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97C73B">
      <w:pPr>
        <w:jc w:val="center"/>
        <w:rPr>
          <w:rFonts w:hint="eastAsia" w:eastAsia="仿宋_GB2312"/>
          <w:color w:val="auto"/>
          <w:sz w:val="36"/>
          <w:szCs w:val="36"/>
          <w:highlight w:val="none"/>
        </w:rPr>
      </w:pPr>
    </w:p>
    <w:p w14:paraId="65963C74">
      <w:pPr>
        <w:jc w:val="center"/>
        <w:rPr>
          <w:rFonts w:eastAsia="仿宋_GB2312"/>
          <w:color w:val="auto"/>
          <w:sz w:val="36"/>
          <w:szCs w:val="36"/>
          <w:highlight w:val="none"/>
        </w:rPr>
      </w:pPr>
    </w:p>
    <w:p w14:paraId="3778CB24">
      <w:pPr>
        <w:jc w:val="center"/>
        <w:rPr>
          <w:rFonts w:eastAsia="仿宋_GB2312"/>
          <w:color w:val="auto"/>
          <w:sz w:val="36"/>
          <w:szCs w:val="36"/>
          <w:highlight w:val="none"/>
        </w:rPr>
      </w:pPr>
    </w:p>
    <w:p w14:paraId="6D54265C">
      <w:pPr>
        <w:jc w:val="center"/>
        <w:rPr>
          <w:rFonts w:hint="eastAsia" w:eastAsia="仿宋_GB2312"/>
          <w:color w:val="auto"/>
          <w:sz w:val="36"/>
          <w:szCs w:val="36"/>
          <w:highlight w:val="none"/>
          <w:lang w:eastAsia="zh-CN"/>
        </w:rPr>
      </w:pPr>
    </w:p>
    <w:p w14:paraId="116F6588">
      <w:pPr>
        <w:adjustRightInd w:val="0"/>
        <w:snapToGrid w:val="0"/>
        <w:jc w:val="center"/>
        <w:outlineLvl w:val="0"/>
        <w:rPr>
          <w:rFonts w:eastAsia="方正小标宋_GBK"/>
          <w:bCs/>
          <w:color w:val="auto"/>
          <w:sz w:val="72"/>
          <w:szCs w:val="72"/>
          <w:highlight w:val="none"/>
        </w:rPr>
      </w:pPr>
      <w:bookmarkStart w:id="0" w:name="_Toc11771"/>
      <w:bookmarkStart w:id="1" w:name="_Toc9180"/>
      <w:bookmarkStart w:id="2" w:name="_Toc191"/>
      <w:bookmarkStart w:id="3" w:name="_Toc30879"/>
      <w:bookmarkStart w:id="4" w:name="_Toc23950"/>
      <w:bookmarkStart w:id="5" w:name="_Toc6600"/>
      <w:bookmarkStart w:id="6" w:name="_Toc16787"/>
      <w:bookmarkStart w:id="7" w:name="_Toc5614"/>
      <w:bookmarkStart w:id="8" w:name="_Toc3256"/>
      <w:bookmarkStart w:id="9" w:name="_Toc14807"/>
      <w:bookmarkStart w:id="10" w:name="_Toc30192"/>
      <w:bookmarkStart w:id="11" w:name="_Toc21780"/>
      <w:bookmarkStart w:id="12" w:name="_Toc28550"/>
      <w:bookmarkStart w:id="13" w:name="_Toc30263"/>
      <w:bookmarkStart w:id="14" w:name="_Toc4556"/>
      <w:bookmarkStart w:id="15" w:name="_Toc7109"/>
      <w:bookmarkStart w:id="16" w:name="_Toc27728"/>
      <w:bookmarkStart w:id="17" w:name="_Toc3993"/>
      <w:bookmarkStart w:id="18" w:name="_Toc29662"/>
      <w:bookmarkStart w:id="19" w:name="_Toc5448"/>
      <w:r>
        <w:rPr>
          <w:rFonts w:eastAsia="方正小标宋_GBK"/>
          <w:bCs/>
          <w:color w:val="auto"/>
          <w:sz w:val="72"/>
          <w:szCs w:val="72"/>
          <w:highlight w:val="none"/>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0EFE74B">
      <w:pPr>
        <w:adjustRightInd w:val="0"/>
        <w:snapToGrid w:val="0"/>
        <w:spacing w:before="192" w:beforeLines="80"/>
        <w:jc w:val="center"/>
        <w:rPr>
          <w:color w:val="auto"/>
          <w:highlight w:val="none"/>
        </w:rPr>
      </w:pPr>
      <w:r>
        <w:rPr>
          <w:rFonts w:eastAsia="楷体_GB2312"/>
          <w:bCs/>
          <w:color w:val="auto"/>
          <w:sz w:val="48"/>
          <w:szCs w:val="48"/>
          <w:highlight w:val="none"/>
        </w:rPr>
        <w:t>（</w:t>
      </w:r>
      <w:r>
        <w:rPr>
          <w:rFonts w:hint="eastAsia" w:eastAsia="楷体_GB2312"/>
          <w:bCs/>
          <w:color w:val="auto"/>
          <w:sz w:val="48"/>
          <w:szCs w:val="48"/>
          <w:highlight w:val="none"/>
        </w:rPr>
        <w:t>生态</w:t>
      </w:r>
      <w:r>
        <w:rPr>
          <w:rFonts w:eastAsia="楷体_GB2312"/>
          <w:bCs/>
          <w:color w:val="auto"/>
          <w:sz w:val="48"/>
          <w:szCs w:val="48"/>
          <w:highlight w:val="none"/>
        </w:rPr>
        <w:t>影响类）</w:t>
      </w:r>
    </w:p>
    <w:p w14:paraId="5A02C09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b/>
          <w:bCs/>
          <w:color w:val="auto"/>
          <w:sz w:val="44"/>
          <w:szCs w:val="44"/>
          <w:highlight w:val="none"/>
          <w:lang w:val="en-US" w:eastAsia="zh-CN"/>
        </w:rPr>
      </w:pPr>
      <w:r>
        <w:rPr>
          <w:rFonts w:hint="eastAsia" w:ascii="Times New Roman" w:hAnsi="Times New Roman" w:eastAsia="仿宋" w:cs="Times New Roman"/>
          <w:b/>
          <w:bCs/>
          <w:color w:val="auto"/>
          <w:sz w:val="44"/>
          <w:szCs w:val="44"/>
          <w:highlight w:val="none"/>
          <w:lang w:eastAsia="zh-CN"/>
        </w:rPr>
        <w:t>（</w:t>
      </w:r>
      <w:r>
        <w:rPr>
          <w:rFonts w:hint="eastAsia" w:eastAsia="仿宋" w:cs="Times New Roman"/>
          <w:b/>
          <w:bCs/>
          <w:color w:val="auto"/>
          <w:sz w:val="44"/>
          <w:szCs w:val="44"/>
          <w:highlight w:val="none"/>
          <w:lang w:val="en-US" w:eastAsia="zh-CN"/>
        </w:rPr>
        <w:t>公示本</w:t>
      </w:r>
      <w:r>
        <w:rPr>
          <w:rFonts w:hint="eastAsia" w:ascii="Times New Roman" w:hAnsi="Times New Roman" w:eastAsia="仿宋" w:cs="Times New Roman"/>
          <w:b/>
          <w:bCs/>
          <w:color w:val="auto"/>
          <w:sz w:val="44"/>
          <w:szCs w:val="44"/>
          <w:highlight w:val="none"/>
          <w:lang w:val="en-US" w:eastAsia="zh-CN"/>
        </w:rPr>
        <w:t>）</w:t>
      </w:r>
    </w:p>
    <w:p w14:paraId="74B81C62">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03781541">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64DEC240">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632FF77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auto"/>
          <w:sz w:val="44"/>
          <w:szCs w:val="44"/>
          <w:highlight w:val="none"/>
          <w:lang w:val="en-US" w:eastAsia="zh-CN"/>
        </w:rPr>
      </w:pPr>
    </w:p>
    <w:p w14:paraId="04EADF3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32CCCFC3">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525610D9">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1C5998EE">
      <w:pPr>
        <w:keepNext w:val="0"/>
        <w:keepLines w:val="0"/>
        <w:pageBreakBefore w:val="0"/>
        <w:widowControl w:val="0"/>
        <w:kinsoku/>
        <w:wordWrap/>
        <w:overflowPunct/>
        <w:topLinePunct w:val="0"/>
        <w:autoSpaceDE/>
        <w:autoSpaceDN/>
        <w:bidi w:val="0"/>
        <w:adjustRightInd w:val="0"/>
        <w:snapToGrid w:val="0"/>
        <w:spacing w:line="288" w:lineRule="auto"/>
        <w:ind w:left="1590" w:leftChars="-100" w:hanging="1800" w:hangingChars="500"/>
        <w:textAlignment w:val="auto"/>
        <w:rPr>
          <w:rFonts w:hint="eastAsia" w:ascii="仿宋_GB2312" w:hAnsi="Times New Roman" w:eastAsia="仿宋_GB2312" w:cs="Times New Roman"/>
          <w:color w:val="auto"/>
          <w:sz w:val="36"/>
          <w:szCs w:val="36"/>
          <w:highlight w:val="none"/>
          <w:u w:val="single"/>
          <w:lang w:eastAsia="zh-CN"/>
        </w:rPr>
      </w:pPr>
      <w:r>
        <w:rPr>
          <w:rFonts w:hint="eastAsia" w:ascii="仿宋_GB2312" w:hAnsi="Times New Roman" w:eastAsia="仿宋_GB2312" w:cs="Times New Roman"/>
          <w:color w:val="auto"/>
          <w:sz w:val="36"/>
          <w:szCs w:val="36"/>
          <w:highlight w:val="none"/>
        </w:rPr>
        <w:t>项目名称：</w:t>
      </w:r>
      <w:r>
        <w:rPr>
          <w:rFonts w:hint="eastAsia" w:ascii="仿宋_GB2312" w:hAnsi="Times New Roman" w:eastAsia="仿宋_GB2312" w:cs="Times New Roman"/>
          <w:color w:val="auto"/>
          <w:sz w:val="36"/>
          <w:szCs w:val="36"/>
          <w:highlight w:val="none"/>
          <w:u w:val="single"/>
          <w:lang w:val="en-US" w:eastAsia="zh-CN"/>
        </w:rPr>
        <w:t>钦州港金谷港区金鼓江作业区16#17#泊位码头停泊及回旋水域清淤疏浚项目（航道内部分）</w:t>
      </w:r>
    </w:p>
    <w:p w14:paraId="15B111B5">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0" w:firstLineChars="0"/>
        <w:textAlignment w:val="auto"/>
        <w:rPr>
          <w:rFonts w:hint="default" w:ascii="仿宋_GB2312" w:eastAsia="仿宋_GB2312"/>
          <w:color w:val="auto"/>
          <w:sz w:val="36"/>
          <w:szCs w:val="36"/>
          <w:highlight w:val="none"/>
          <w:lang w:val="en-US" w:eastAsia="zh-CN"/>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lang w:eastAsia="zh-CN"/>
        </w:rPr>
        <w:t>孚宝（钦州）码头有限公司</w:t>
      </w:r>
      <w:r>
        <w:rPr>
          <w:rFonts w:hint="eastAsia" w:ascii="仿宋_GB2312" w:eastAsia="仿宋_GB2312"/>
          <w:color w:val="auto"/>
          <w:sz w:val="36"/>
          <w:szCs w:val="36"/>
          <w:highlight w:val="none"/>
          <w:u w:val="single"/>
          <w:lang w:val="en-US" w:eastAsia="zh-CN"/>
        </w:rPr>
        <w:t xml:space="preserve">                 </w:t>
      </w:r>
    </w:p>
    <w:p w14:paraId="7381CE8A">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0" w:firstLineChars="0"/>
        <w:textAlignment w:val="auto"/>
        <w:rPr>
          <w:rFonts w:hint="eastAsia"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2026年3月</w:t>
      </w:r>
      <w:r>
        <w:rPr>
          <w:rFonts w:hint="eastAsia" w:ascii="仿宋_GB2312" w:eastAsia="仿宋_GB2312"/>
          <w:color w:val="auto"/>
          <w:sz w:val="36"/>
          <w:szCs w:val="36"/>
          <w:highlight w:val="none"/>
          <w:u w:val="single"/>
        </w:rPr>
        <w:t xml:space="preserve">                  </w:t>
      </w:r>
    </w:p>
    <w:p w14:paraId="4ACCFCD4">
      <w:pPr>
        <w:keepNext w:val="0"/>
        <w:keepLines w:val="0"/>
        <w:pageBreakBefore w:val="0"/>
        <w:widowControl w:val="0"/>
        <w:kinsoku/>
        <w:wordWrap/>
        <w:overflowPunct/>
        <w:topLinePunct w:val="0"/>
        <w:autoSpaceDE/>
        <w:autoSpaceDN/>
        <w:bidi w:val="0"/>
        <w:adjustRightInd/>
        <w:snapToGrid/>
        <w:ind w:left="-210" w:leftChars="-100" w:firstLine="0" w:firstLineChars="0"/>
        <w:jc w:val="center"/>
        <w:textAlignment w:val="auto"/>
        <w:rPr>
          <w:rFonts w:ascii="Times New Roman" w:hAnsi="Times New Roman" w:eastAsia="仿宋" w:cs="Times New Roman"/>
          <w:color w:val="auto"/>
          <w:sz w:val="44"/>
          <w:szCs w:val="44"/>
          <w:highlight w:val="none"/>
        </w:rPr>
      </w:pPr>
    </w:p>
    <w:p w14:paraId="4BFB339D">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bookmarkStart w:id="20" w:name="_Hlk57884087"/>
    </w:p>
    <w:p w14:paraId="3D4BA10F">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07C1CABB">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p w14:paraId="1AA2F824">
      <w:pPr>
        <w:keepNext w:val="0"/>
        <w:keepLines w:val="0"/>
        <w:pageBreakBefore w:val="0"/>
        <w:widowControl w:val="0"/>
        <w:kinsoku/>
        <w:wordWrap/>
        <w:overflowPunct/>
        <w:topLinePunct w:val="0"/>
        <w:autoSpaceDE/>
        <w:autoSpaceDN/>
        <w:bidi w:val="0"/>
        <w:adjustRightInd/>
        <w:snapToGrid/>
        <w:ind w:firstLine="0"/>
        <w:jc w:val="center"/>
        <w:textAlignment w:val="auto"/>
        <w:rPr>
          <w:rFonts w:ascii="Times New Roman" w:hAnsi="Times New Roman" w:eastAsia="仿宋" w:cs="Times New Roman"/>
          <w:color w:val="auto"/>
          <w:sz w:val="44"/>
          <w:szCs w:val="44"/>
          <w:highlight w:val="none"/>
        </w:rPr>
      </w:pPr>
    </w:p>
    <w:bookmarkEnd w:id="20"/>
    <w:p w14:paraId="44D615F5">
      <w:pPr>
        <w:adjustRightInd w:val="0"/>
        <w:snapToGrid w:val="0"/>
        <w:spacing w:line="288" w:lineRule="auto"/>
        <w:jc w:val="center"/>
        <w:rPr>
          <w:rFonts w:eastAsia="仿宋_GB2312"/>
          <w:color w:val="auto"/>
          <w:sz w:val="36"/>
          <w:szCs w:val="36"/>
          <w:highlight w:val="none"/>
        </w:rPr>
      </w:pPr>
      <w:r>
        <w:rPr>
          <w:rFonts w:eastAsia="楷体_GB2312"/>
          <w:color w:val="auto"/>
          <w:sz w:val="36"/>
          <w:szCs w:val="36"/>
          <w:highlight w:val="none"/>
        </w:rPr>
        <w:t>中华人民共和国生态环境部制</w:t>
      </w:r>
    </w:p>
    <w:p w14:paraId="5B35CFC4">
      <w:pPr>
        <w:adjustRightInd w:val="0"/>
        <w:snapToGrid w:val="0"/>
        <w:spacing w:line="288" w:lineRule="auto"/>
        <w:jc w:val="center"/>
        <w:rPr>
          <w:rFonts w:hint="eastAsia" w:ascii="宋体" w:hAnsi="宋体" w:cs="宋体"/>
          <w:b/>
          <w:bCs/>
          <w:color w:val="auto"/>
          <w:sz w:val="36"/>
          <w:szCs w:val="36"/>
          <w:highlight w:val="none"/>
        </w:rPr>
      </w:pPr>
      <w:r>
        <w:rPr>
          <w:rFonts w:hint="eastAsia" w:ascii="宋体" w:hAnsi="宋体" w:cs="宋体"/>
          <w:b/>
          <w:bCs/>
          <w:color w:val="auto"/>
          <w:kern w:val="0"/>
          <w:sz w:val="24"/>
          <w:highlight w:val="none"/>
        </w:rPr>
        <w:br w:type="page"/>
      </w:r>
      <w:r>
        <w:rPr>
          <w:rFonts w:hint="eastAsia" w:ascii="宋体" w:hAnsi="宋体" w:cs="宋体"/>
          <w:b/>
          <w:bCs/>
          <w:color w:val="auto"/>
          <w:sz w:val="36"/>
          <w:szCs w:val="36"/>
          <w:highlight w:val="none"/>
        </w:rPr>
        <w:t>目 录</w:t>
      </w:r>
    </w:p>
    <w:p w14:paraId="1AA121A8">
      <w:pPr>
        <w:pStyle w:val="27"/>
        <w:tabs>
          <w:tab w:val="right" w:leader="dot" w:pos="8844"/>
        </w:tabs>
        <w:rPr>
          <w:color w:val="auto"/>
          <w:highlight w:val="none"/>
        </w:rPr>
      </w:pPr>
      <w:r>
        <w:rPr>
          <w:b/>
          <w:bCs/>
          <w:color w:val="auto"/>
          <w:sz w:val="24"/>
          <w:highlight w:val="none"/>
        </w:rPr>
        <w:fldChar w:fldCharType="begin"/>
      </w:r>
      <w:r>
        <w:rPr>
          <w:b/>
          <w:bCs/>
          <w:color w:val="auto"/>
          <w:sz w:val="24"/>
          <w:highlight w:val="none"/>
        </w:rPr>
        <w:instrText xml:space="preserve">TOC \o "1-2" \h \u </w:instrText>
      </w:r>
      <w:r>
        <w:rPr>
          <w:b/>
          <w:bCs/>
          <w:color w:val="auto"/>
          <w:sz w:val="24"/>
          <w:highlight w:val="none"/>
        </w:rPr>
        <w:fldChar w:fldCharType="separate"/>
      </w:r>
    </w:p>
    <w:p w14:paraId="575A1D90">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_Toc194 </w:instrText>
      </w:r>
      <w:r>
        <w:rPr>
          <w:bCs/>
          <w:color w:val="auto"/>
          <w:sz w:val="24"/>
          <w:highlight w:val="none"/>
        </w:rPr>
        <w:fldChar w:fldCharType="separate"/>
      </w:r>
      <w:r>
        <w:rPr>
          <w:color w:val="auto"/>
          <w:sz w:val="24"/>
          <w:highlight w:val="none"/>
        </w:rPr>
        <w:t>一、建设项目基本情况</w:t>
      </w:r>
      <w:r>
        <w:rPr>
          <w:color w:val="auto"/>
          <w:sz w:val="24"/>
          <w:highlight w:val="none"/>
        </w:rPr>
        <w:tab/>
      </w:r>
      <w:r>
        <w:rPr>
          <w:color w:val="auto"/>
          <w:sz w:val="24"/>
          <w:highlight w:val="none"/>
        </w:rPr>
        <w:fldChar w:fldCharType="begin"/>
      </w:r>
      <w:r>
        <w:rPr>
          <w:color w:val="auto"/>
          <w:sz w:val="24"/>
          <w:highlight w:val="none"/>
        </w:rPr>
        <w:instrText xml:space="preserve"> PAGEREF _Toc194 </w:instrText>
      </w:r>
      <w:r>
        <w:rPr>
          <w:color w:val="auto"/>
          <w:sz w:val="24"/>
          <w:highlight w:val="none"/>
        </w:rPr>
        <w:fldChar w:fldCharType="separate"/>
      </w:r>
      <w:r>
        <w:rPr>
          <w:color w:val="auto"/>
          <w:sz w:val="24"/>
          <w:highlight w:val="none"/>
        </w:rPr>
        <w:t>1</w:t>
      </w:r>
      <w:r>
        <w:rPr>
          <w:color w:val="auto"/>
          <w:sz w:val="24"/>
          <w:highlight w:val="none"/>
        </w:rPr>
        <w:fldChar w:fldCharType="end"/>
      </w:r>
      <w:r>
        <w:rPr>
          <w:bCs/>
          <w:color w:val="auto"/>
          <w:sz w:val="24"/>
          <w:highlight w:val="none"/>
        </w:rPr>
        <w:fldChar w:fldCharType="end"/>
      </w:r>
    </w:p>
    <w:p w14:paraId="35F2B3A4">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_Toc19013 </w:instrText>
      </w:r>
      <w:r>
        <w:rPr>
          <w:bCs/>
          <w:color w:val="auto"/>
          <w:sz w:val="24"/>
          <w:highlight w:val="none"/>
        </w:rPr>
        <w:fldChar w:fldCharType="separate"/>
      </w:r>
      <w:r>
        <w:rPr>
          <w:color w:val="auto"/>
          <w:sz w:val="24"/>
          <w:highlight w:val="none"/>
        </w:rPr>
        <w:t>二、建设内容</w:t>
      </w:r>
      <w:r>
        <w:rPr>
          <w:color w:val="auto"/>
          <w:sz w:val="24"/>
          <w:highlight w:val="none"/>
        </w:rPr>
        <w:tab/>
      </w:r>
      <w:r>
        <w:rPr>
          <w:color w:val="auto"/>
          <w:sz w:val="24"/>
          <w:highlight w:val="none"/>
        </w:rPr>
        <w:fldChar w:fldCharType="begin"/>
      </w:r>
      <w:r>
        <w:rPr>
          <w:color w:val="auto"/>
          <w:sz w:val="24"/>
          <w:highlight w:val="none"/>
        </w:rPr>
        <w:instrText xml:space="preserve"> PAGEREF _Toc19013 </w:instrText>
      </w:r>
      <w:r>
        <w:rPr>
          <w:color w:val="auto"/>
          <w:sz w:val="24"/>
          <w:highlight w:val="none"/>
        </w:rPr>
        <w:fldChar w:fldCharType="separate"/>
      </w:r>
      <w:r>
        <w:rPr>
          <w:color w:val="auto"/>
          <w:sz w:val="24"/>
          <w:highlight w:val="none"/>
        </w:rPr>
        <w:t>21</w:t>
      </w:r>
      <w:r>
        <w:rPr>
          <w:color w:val="auto"/>
          <w:sz w:val="24"/>
          <w:highlight w:val="none"/>
        </w:rPr>
        <w:fldChar w:fldCharType="end"/>
      </w:r>
      <w:r>
        <w:rPr>
          <w:bCs/>
          <w:color w:val="auto"/>
          <w:sz w:val="24"/>
          <w:highlight w:val="none"/>
        </w:rPr>
        <w:fldChar w:fldCharType="end"/>
      </w:r>
    </w:p>
    <w:p w14:paraId="1654F321">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_Toc15298 </w:instrText>
      </w:r>
      <w:r>
        <w:rPr>
          <w:bCs/>
          <w:color w:val="auto"/>
          <w:sz w:val="24"/>
          <w:highlight w:val="none"/>
        </w:rPr>
        <w:fldChar w:fldCharType="separate"/>
      </w:r>
      <w:r>
        <w:rPr>
          <w:color w:val="auto"/>
          <w:sz w:val="24"/>
          <w:highlight w:val="none"/>
        </w:rPr>
        <w:t>三、生态环境现状、保护目标及评价标准</w:t>
      </w:r>
      <w:r>
        <w:rPr>
          <w:color w:val="auto"/>
          <w:sz w:val="24"/>
          <w:highlight w:val="none"/>
        </w:rPr>
        <w:tab/>
      </w:r>
      <w:r>
        <w:rPr>
          <w:color w:val="auto"/>
          <w:sz w:val="24"/>
          <w:highlight w:val="none"/>
        </w:rPr>
        <w:fldChar w:fldCharType="begin"/>
      </w:r>
      <w:r>
        <w:rPr>
          <w:color w:val="auto"/>
          <w:sz w:val="24"/>
          <w:highlight w:val="none"/>
        </w:rPr>
        <w:instrText xml:space="preserve"> PAGEREF _Toc15298 </w:instrText>
      </w:r>
      <w:r>
        <w:rPr>
          <w:color w:val="auto"/>
          <w:sz w:val="24"/>
          <w:highlight w:val="none"/>
        </w:rPr>
        <w:fldChar w:fldCharType="separate"/>
      </w:r>
      <w:r>
        <w:rPr>
          <w:color w:val="auto"/>
          <w:sz w:val="24"/>
          <w:highlight w:val="none"/>
        </w:rPr>
        <w:t>35</w:t>
      </w:r>
      <w:r>
        <w:rPr>
          <w:color w:val="auto"/>
          <w:sz w:val="24"/>
          <w:highlight w:val="none"/>
        </w:rPr>
        <w:fldChar w:fldCharType="end"/>
      </w:r>
      <w:r>
        <w:rPr>
          <w:bCs/>
          <w:color w:val="auto"/>
          <w:sz w:val="24"/>
          <w:highlight w:val="none"/>
        </w:rPr>
        <w:fldChar w:fldCharType="end"/>
      </w:r>
    </w:p>
    <w:p w14:paraId="634C90EB">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_Toc31957 </w:instrText>
      </w:r>
      <w:r>
        <w:rPr>
          <w:bCs/>
          <w:color w:val="auto"/>
          <w:sz w:val="24"/>
          <w:highlight w:val="none"/>
        </w:rPr>
        <w:fldChar w:fldCharType="separate"/>
      </w:r>
      <w:r>
        <w:rPr>
          <w:color w:val="auto"/>
          <w:sz w:val="24"/>
          <w:highlight w:val="none"/>
        </w:rPr>
        <w:t>四、生态环境影响分析</w:t>
      </w:r>
      <w:r>
        <w:rPr>
          <w:color w:val="auto"/>
          <w:sz w:val="24"/>
          <w:highlight w:val="none"/>
        </w:rPr>
        <w:tab/>
      </w:r>
      <w:r>
        <w:rPr>
          <w:color w:val="auto"/>
          <w:sz w:val="24"/>
          <w:highlight w:val="none"/>
        </w:rPr>
        <w:fldChar w:fldCharType="begin"/>
      </w:r>
      <w:r>
        <w:rPr>
          <w:color w:val="auto"/>
          <w:sz w:val="24"/>
          <w:highlight w:val="none"/>
        </w:rPr>
        <w:instrText xml:space="preserve"> PAGEREF _Toc31957 </w:instrText>
      </w:r>
      <w:r>
        <w:rPr>
          <w:color w:val="auto"/>
          <w:sz w:val="24"/>
          <w:highlight w:val="none"/>
        </w:rPr>
        <w:fldChar w:fldCharType="separate"/>
      </w:r>
      <w:r>
        <w:rPr>
          <w:color w:val="auto"/>
          <w:sz w:val="24"/>
          <w:highlight w:val="none"/>
        </w:rPr>
        <w:t>61</w:t>
      </w:r>
      <w:r>
        <w:rPr>
          <w:color w:val="auto"/>
          <w:sz w:val="24"/>
          <w:highlight w:val="none"/>
        </w:rPr>
        <w:fldChar w:fldCharType="end"/>
      </w:r>
      <w:r>
        <w:rPr>
          <w:bCs/>
          <w:color w:val="auto"/>
          <w:sz w:val="24"/>
          <w:highlight w:val="none"/>
        </w:rPr>
        <w:fldChar w:fldCharType="end"/>
      </w:r>
    </w:p>
    <w:p w14:paraId="3BD06267">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_Toc22675 </w:instrText>
      </w:r>
      <w:r>
        <w:rPr>
          <w:bCs/>
          <w:color w:val="auto"/>
          <w:sz w:val="24"/>
          <w:highlight w:val="none"/>
        </w:rPr>
        <w:fldChar w:fldCharType="separate"/>
      </w:r>
      <w:r>
        <w:rPr>
          <w:color w:val="auto"/>
          <w:sz w:val="24"/>
          <w:highlight w:val="none"/>
        </w:rPr>
        <w:t>五、主要生态环境保护措施</w:t>
      </w:r>
      <w:r>
        <w:rPr>
          <w:color w:val="auto"/>
          <w:sz w:val="24"/>
          <w:highlight w:val="none"/>
        </w:rPr>
        <w:tab/>
      </w:r>
      <w:r>
        <w:rPr>
          <w:color w:val="auto"/>
          <w:sz w:val="24"/>
          <w:highlight w:val="none"/>
        </w:rPr>
        <w:fldChar w:fldCharType="begin"/>
      </w:r>
      <w:r>
        <w:rPr>
          <w:color w:val="auto"/>
          <w:sz w:val="24"/>
          <w:highlight w:val="none"/>
        </w:rPr>
        <w:instrText xml:space="preserve"> PAGEREF _Toc22675 </w:instrText>
      </w:r>
      <w:r>
        <w:rPr>
          <w:color w:val="auto"/>
          <w:sz w:val="24"/>
          <w:highlight w:val="none"/>
        </w:rPr>
        <w:fldChar w:fldCharType="separate"/>
      </w:r>
      <w:r>
        <w:rPr>
          <w:color w:val="auto"/>
          <w:sz w:val="24"/>
          <w:highlight w:val="none"/>
        </w:rPr>
        <w:t>97</w:t>
      </w:r>
      <w:r>
        <w:rPr>
          <w:color w:val="auto"/>
          <w:sz w:val="24"/>
          <w:highlight w:val="none"/>
        </w:rPr>
        <w:fldChar w:fldCharType="end"/>
      </w:r>
      <w:r>
        <w:rPr>
          <w:bCs/>
          <w:color w:val="auto"/>
          <w:sz w:val="24"/>
          <w:highlight w:val="none"/>
        </w:rPr>
        <w:fldChar w:fldCharType="end"/>
      </w:r>
    </w:p>
    <w:p w14:paraId="42B9FF68">
      <w:pPr>
        <w:pStyle w:val="27"/>
        <w:tabs>
          <w:tab w:val="right" w:leader="dot" w:pos="8844"/>
        </w:tabs>
        <w:spacing w:line="360" w:lineRule="auto"/>
        <w:rPr>
          <w:color w:val="auto"/>
          <w:sz w:val="24"/>
          <w:highlight w:val="none"/>
        </w:rPr>
      </w:pPr>
      <w:r>
        <w:rPr>
          <w:bCs/>
          <w:color w:val="auto"/>
          <w:sz w:val="24"/>
          <w:highlight w:val="none"/>
        </w:rPr>
        <w:fldChar w:fldCharType="begin"/>
      </w:r>
      <w:r>
        <w:rPr>
          <w:bCs/>
          <w:color w:val="auto"/>
          <w:sz w:val="24"/>
          <w:highlight w:val="none"/>
        </w:rPr>
        <w:instrText xml:space="preserve"> HYPERLINK \l _Toc5837 </w:instrText>
      </w:r>
      <w:r>
        <w:rPr>
          <w:bCs/>
          <w:color w:val="auto"/>
          <w:sz w:val="24"/>
          <w:highlight w:val="none"/>
        </w:rPr>
        <w:fldChar w:fldCharType="separate"/>
      </w:r>
      <w:r>
        <w:rPr>
          <w:color w:val="auto"/>
          <w:sz w:val="24"/>
          <w:highlight w:val="none"/>
        </w:rPr>
        <w:t>六、生态环境保护措施监督检查清单</w:t>
      </w:r>
      <w:r>
        <w:rPr>
          <w:color w:val="auto"/>
          <w:sz w:val="24"/>
          <w:highlight w:val="none"/>
        </w:rPr>
        <w:tab/>
      </w:r>
      <w:r>
        <w:rPr>
          <w:color w:val="auto"/>
          <w:sz w:val="24"/>
          <w:highlight w:val="none"/>
        </w:rPr>
        <w:fldChar w:fldCharType="begin"/>
      </w:r>
      <w:r>
        <w:rPr>
          <w:color w:val="auto"/>
          <w:sz w:val="24"/>
          <w:highlight w:val="none"/>
        </w:rPr>
        <w:instrText xml:space="preserve"> PAGEREF _Toc5837 </w:instrText>
      </w:r>
      <w:r>
        <w:rPr>
          <w:color w:val="auto"/>
          <w:sz w:val="24"/>
          <w:highlight w:val="none"/>
        </w:rPr>
        <w:fldChar w:fldCharType="separate"/>
      </w:r>
      <w:r>
        <w:rPr>
          <w:color w:val="auto"/>
          <w:sz w:val="24"/>
          <w:highlight w:val="none"/>
        </w:rPr>
        <w:t>113</w:t>
      </w:r>
      <w:r>
        <w:rPr>
          <w:color w:val="auto"/>
          <w:sz w:val="24"/>
          <w:highlight w:val="none"/>
        </w:rPr>
        <w:fldChar w:fldCharType="end"/>
      </w:r>
      <w:r>
        <w:rPr>
          <w:bCs/>
          <w:color w:val="auto"/>
          <w:sz w:val="24"/>
          <w:highlight w:val="none"/>
        </w:rPr>
        <w:fldChar w:fldCharType="end"/>
      </w:r>
    </w:p>
    <w:p w14:paraId="570FF942">
      <w:pPr>
        <w:pStyle w:val="27"/>
        <w:tabs>
          <w:tab w:val="right" w:leader="dot" w:pos="8844"/>
        </w:tabs>
        <w:spacing w:line="360" w:lineRule="auto"/>
        <w:rPr>
          <w:color w:val="auto"/>
          <w:highlight w:val="none"/>
        </w:rPr>
      </w:pPr>
      <w:r>
        <w:rPr>
          <w:bCs/>
          <w:color w:val="auto"/>
          <w:sz w:val="24"/>
          <w:highlight w:val="none"/>
        </w:rPr>
        <w:fldChar w:fldCharType="begin"/>
      </w:r>
      <w:r>
        <w:rPr>
          <w:bCs/>
          <w:color w:val="auto"/>
          <w:sz w:val="24"/>
          <w:highlight w:val="none"/>
        </w:rPr>
        <w:instrText xml:space="preserve"> HYPERLINK \l _Toc5324 </w:instrText>
      </w:r>
      <w:r>
        <w:rPr>
          <w:bCs/>
          <w:color w:val="auto"/>
          <w:sz w:val="24"/>
          <w:highlight w:val="none"/>
        </w:rPr>
        <w:fldChar w:fldCharType="separate"/>
      </w:r>
      <w:r>
        <w:rPr>
          <w:color w:val="auto"/>
          <w:sz w:val="24"/>
          <w:highlight w:val="none"/>
        </w:rPr>
        <w:t>七、结论</w:t>
      </w:r>
      <w:r>
        <w:rPr>
          <w:color w:val="auto"/>
          <w:sz w:val="24"/>
          <w:highlight w:val="none"/>
        </w:rPr>
        <w:tab/>
      </w:r>
      <w:r>
        <w:rPr>
          <w:color w:val="auto"/>
          <w:sz w:val="24"/>
          <w:highlight w:val="none"/>
        </w:rPr>
        <w:fldChar w:fldCharType="begin"/>
      </w:r>
      <w:r>
        <w:rPr>
          <w:color w:val="auto"/>
          <w:sz w:val="24"/>
          <w:highlight w:val="none"/>
        </w:rPr>
        <w:instrText xml:space="preserve"> PAGEREF _Toc5324 </w:instrText>
      </w:r>
      <w:r>
        <w:rPr>
          <w:color w:val="auto"/>
          <w:sz w:val="24"/>
          <w:highlight w:val="none"/>
        </w:rPr>
        <w:fldChar w:fldCharType="separate"/>
      </w:r>
      <w:r>
        <w:rPr>
          <w:color w:val="auto"/>
          <w:sz w:val="24"/>
          <w:highlight w:val="none"/>
        </w:rPr>
        <w:t>114</w:t>
      </w:r>
      <w:r>
        <w:rPr>
          <w:color w:val="auto"/>
          <w:sz w:val="24"/>
          <w:highlight w:val="none"/>
        </w:rPr>
        <w:fldChar w:fldCharType="end"/>
      </w:r>
      <w:r>
        <w:rPr>
          <w:bCs/>
          <w:color w:val="auto"/>
          <w:sz w:val="24"/>
          <w:highlight w:val="none"/>
        </w:rPr>
        <w:fldChar w:fldCharType="end"/>
      </w:r>
    </w:p>
    <w:p w14:paraId="0F47C721">
      <w:pPr>
        <w:spacing w:line="360" w:lineRule="auto"/>
        <w:ind w:firstLine="480"/>
        <w:jc w:val="left"/>
        <w:rPr>
          <w:bCs/>
          <w:color w:val="auto"/>
          <w:highlight w:val="none"/>
        </w:rPr>
      </w:pPr>
      <w:r>
        <w:rPr>
          <w:bCs/>
          <w:color w:val="auto"/>
          <w:highlight w:val="none"/>
        </w:rPr>
        <w:fldChar w:fldCharType="end"/>
      </w:r>
    </w:p>
    <w:p w14:paraId="1C323ECB">
      <w:pPr>
        <w:pStyle w:val="27"/>
        <w:tabs>
          <w:tab w:val="right" w:leader="dot" w:pos="8844"/>
        </w:tabs>
        <w:spacing w:line="360" w:lineRule="auto"/>
        <w:rPr>
          <w:b/>
          <w:bCs/>
          <w:color w:val="auto"/>
          <w:sz w:val="24"/>
          <w:highlight w:val="none"/>
          <w:u w:val="none"/>
        </w:rPr>
      </w:pPr>
      <w:r>
        <w:rPr>
          <w:b/>
          <w:bCs/>
          <w:color w:val="auto"/>
          <w:sz w:val="24"/>
          <w:highlight w:val="none"/>
          <w:u w:val="none"/>
        </w:rPr>
        <w:t>附图</w:t>
      </w:r>
      <w:r>
        <w:rPr>
          <w:rFonts w:hint="eastAsia"/>
          <w:b/>
          <w:bCs/>
          <w:color w:val="auto"/>
          <w:sz w:val="24"/>
          <w:highlight w:val="none"/>
          <w:u w:val="none"/>
        </w:rPr>
        <w:t>：</w:t>
      </w:r>
    </w:p>
    <w:p w14:paraId="0803B62E">
      <w:pPr>
        <w:spacing w:line="360" w:lineRule="auto"/>
        <w:ind w:firstLine="480"/>
        <w:rPr>
          <w:color w:val="auto"/>
          <w:sz w:val="24"/>
          <w:highlight w:val="none"/>
          <w:u w:val="none"/>
        </w:rPr>
      </w:pPr>
      <w:r>
        <w:rPr>
          <w:rFonts w:hint="eastAsia"/>
          <w:color w:val="auto"/>
          <w:sz w:val="24"/>
          <w:highlight w:val="none"/>
          <w:u w:val="none"/>
        </w:rPr>
        <w:t>附图</w:t>
      </w:r>
      <w:r>
        <w:rPr>
          <w:color w:val="auto"/>
          <w:sz w:val="24"/>
          <w:highlight w:val="none"/>
          <w:u w:val="none"/>
        </w:rPr>
        <w:t xml:space="preserve">1  </w:t>
      </w:r>
      <w:r>
        <w:rPr>
          <w:rFonts w:hint="eastAsia"/>
          <w:color w:val="auto"/>
          <w:sz w:val="24"/>
          <w:highlight w:val="none"/>
          <w:u w:val="none"/>
        </w:rPr>
        <w:t>项目地理位置图</w:t>
      </w:r>
    </w:p>
    <w:p w14:paraId="71CBEB33">
      <w:pPr>
        <w:spacing w:line="360" w:lineRule="auto"/>
        <w:ind w:firstLine="480"/>
        <w:jc w:val="left"/>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附图2  项目总平面布置图</w:t>
      </w:r>
    </w:p>
    <w:p w14:paraId="57C9C152">
      <w:pPr>
        <w:spacing w:line="360" w:lineRule="auto"/>
        <w:ind w:firstLine="480"/>
        <w:jc w:val="left"/>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附图3  项目评价范围及保护目标分布示意图</w:t>
      </w:r>
    </w:p>
    <w:p w14:paraId="13A86B28">
      <w:pPr>
        <w:spacing w:line="360" w:lineRule="auto"/>
        <w:ind w:firstLine="480"/>
        <w:rPr>
          <w:rFonts w:hint="eastAsia"/>
          <w:color w:val="auto"/>
          <w:sz w:val="24"/>
          <w:szCs w:val="24"/>
          <w:highlight w:val="none"/>
          <w:u w:val="none"/>
        </w:rPr>
      </w:pPr>
      <w:r>
        <w:rPr>
          <w:rFonts w:hint="eastAsia"/>
          <w:color w:val="auto"/>
          <w:sz w:val="24"/>
          <w:highlight w:val="none"/>
          <w:u w:val="none"/>
        </w:rPr>
        <w:t xml:space="preserve">附图4  </w:t>
      </w:r>
      <w:r>
        <w:rPr>
          <w:rFonts w:hint="eastAsia"/>
          <w:color w:val="auto"/>
          <w:sz w:val="24"/>
          <w:szCs w:val="24"/>
          <w:highlight w:val="none"/>
          <w:u w:val="none"/>
        </w:rPr>
        <w:t>项目与</w:t>
      </w:r>
      <w:r>
        <w:rPr>
          <w:rFonts w:hint="eastAsia"/>
          <w:color w:val="auto"/>
          <w:sz w:val="24"/>
          <w:szCs w:val="24"/>
          <w:highlight w:val="none"/>
          <w:u w:val="none"/>
          <w:lang w:eastAsia="zh-CN"/>
        </w:rPr>
        <w:t>钦州市近岸海域</w:t>
      </w:r>
      <w:r>
        <w:rPr>
          <w:rFonts w:hint="eastAsia"/>
          <w:color w:val="auto"/>
          <w:sz w:val="24"/>
          <w:szCs w:val="24"/>
          <w:highlight w:val="none"/>
          <w:u w:val="none"/>
        </w:rPr>
        <w:t>环境管控单元分类位置关系图</w:t>
      </w:r>
    </w:p>
    <w:p w14:paraId="378A9F19">
      <w:pPr>
        <w:spacing w:line="360" w:lineRule="auto"/>
        <w:ind w:firstLine="48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lang w:val="en-US" w:eastAsia="zh-CN"/>
        </w:rPr>
        <w:t xml:space="preserve">附图5  </w:t>
      </w:r>
      <w:r>
        <w:rPr>
          <w:rFonts w:hint="eastAsia" w:ascii="Times New Roman" w:hAnsi="Times New Roman" w:eastAsia="宋体" w:cs="Times New Roman"/>
          <w:color w:val="auto"/>
          <w:sz w:val="24"/>
          <w:highlight w:val="none"/>
          <w:u w:val="none"/>
        </w:rPr>
        <w:t>项目与钦州市中心城区声环境功能区划关系示意图</w:t>
      </w:r>
    </w:p>
    <w:p w14:paraId="0415F8D0">
      <w:pPr>
        <w:spacing w:line="360" w:lineRule="auto"/>
        <w:ind w:firstLine="48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eastAsia="zh-CN"/>
        </w:rPr>
        <w:t>附图</w:t>
      </w:r>
      <w:r>
        <w:rPr>
          <w:rFonts w:hint="eastAsia" w:ascii="Times New Roman" w:hAnsi="Times New Roman" w:eastAsia="宋体" w:cs="Times New Roman"/>
          <w:color w:val="auto"/>
          <w:sz w:val="24"/>
          <w:highlight w:val="none"/>
          <w:u w:val="none"/>
          <w:lang w:val="en-US" w:eastAsia="zh-CN"/>
        </w:rPr>
        <w:t>6  项目与广西壮族自治区近岸海域环境功能区划位置关系示意图</w:t>
      </w:r>
    </w:p>
    <w:p w14:paraId="09C47C4F">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附图7  项目与红树林资源现状关系图</w:t>
      </w:r>
    </w:p>
    <w:p w14:paraId="7F9EF166">
      <w:pPr>
        <w:spacing w:line="360" w:lineRule="auto"/>
        <w:ind w:firstLine="48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附图8 项目与海洋“两空间内部一红线”分布位置关系示意图</w:t>
      </w:r>
    </w:p>
    <w:p w14:paraId="7FB440C0">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附图9  海洋生态环境监测点位图（秋季）</w:t>
      </w:r>
    </w:p>
    <w:p w14:paraId="2F6257E3">
      <w:pPr>
        <w:spacing w:line="360" w:lineRule="auto"/>
        <w:ind w:firstLine="480"/>
        <w:jc w:val="left"/>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附图10 项目与钦州市国土空间规划（2021-2035年）位置关系示意图</w:t>
      </w:r>
    </w:p>
    <w:p w14:paraId="0B52F860">
      <w:pPr>
        <w:spacing w:line="360" w:lineRule="auto"/>
        <w:ind w:firstLine="480"/>
        <w:jc w:val="left"/>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附图11 项目与广西重要湿地图位置关系示意图</w:t>
      </w:r>
    </w:p>
    <w:p w14:paraId="64092BD7">
      <w:pPr>
        <w:spacing w:line="360" w:lineRule="auto"/>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附图12  项目现状照片</w:t>
      </w:r>
    </w:p>
    <w:p w14:paraId="3F168F74">
      <w:pPr>
        <w:spacing w:line="360" w:lineRule="auto"/>
        <w:ind w:firstLine="480"/>
        <w:jc w:val="left"/>
        <w:rPr>
          <w:rFonts w:hint="default" w:ascii="Times New Roman" w:hAnsi="Times New Roman" w:eastAsia="宋体" w:cs="Times New Roman"/>
          <w:color w:val="auto"/>
          <w:sz w:val="24"/>
          <w:highlight w:val="none"/>
          <w:u w:val="none"/>
          <w:lang w:val="en-US" w:eastAsia="zh-CN"/>
        </w:rPr>
      </w:pPr>
    </w:p>
    <w:p w14:paraId="7FD1B1BF">
      <w:pPr>
        <w:spacing w:line="360" w:lineRule="auto"/>
        <w:ind w:firstLine="480"/>
        <w:jc w:val="left"/>
        <w:rPr>
          <w:rFonts w:hint="default"/>
          <w:color w:val="auto"/>
          <w:highlight w:val="none"/>
          <w:lang w:val="en-US" w:eastAsia="zh-CN"/>
        </w:rPr>
      </w:pPr>
    </w:p>
    <w:p w14:paraId="0EE2D1A0">
      <w:pPr>
        <w:spacing w:line="360" w:lineRule="auto"/>
        <w:rPr>
          <w:b/>
          <w:bCs/>
          <w:color w:val="auto"/>
          <w:sz w:val="24"/>
          <w:highlight w:val="none"/>
          <w:u w:val="none"/>
        </w:rPr>
      </w:pPr>
      <w:r>
        <w:rPr>
          <w:b/>
          <w:bCs/>
          <w:color w:val="auto"/>
          <w:sz w:val="24"/>
          <w:highlight w:val="none"/>
          <w:u w:val="none"/>
        </w:rPr>
        <w:t>附件</w:t>
      </w:r>
      <w:r>
        <w:rPr>
          <w:rFonts w:hint="eastAsia"/>
          <w:b/>
          <w:bCs/>
          <w:color w:val="auto"/>
          <w:sz w:val="24"/>
          <w:highlight w:val="none"/>
          <w:u w:val="none"/>
        </w:rPr>
        <w:t>：</w:t>
      </w:r>
    </w:p>
    <w:p w14:paraId="6F3F2874">
      <w:pPr>
        <w:spacing w:line="360" w:lineRule="auto"/>
        <w:ind w:firstLine="480"/>
        <w:rPr>
          <w:color w:val="auto"/>
          <w:sz w:val="24"/>
          <w:highlight w:val="none"/>
          <w:u w:val="none"/>
        </w:rPr>
      </w:pPr>
      <w:r>
        <w:rPr>
          <w:color w:val="auto"/>
          <w:sz w:val="24"/>
          <w:highlight w:val="none"/>
          <w:u w:val="none"/>
        </w:rPr>
        <w:t xml:space="preserve">附件1 </w:t>
      </w:r>
      <w:r>
        <w:rPr>
          <w:rFonts w:hint="eastAsia"/>
          <w:color w:val="auto"/>
          <w:sz w:val="24"/>
          <w:highlight w:val="none"/>
          <w:u w:val="none"/>
        </w:rPr>
        <w:t>环评</w:t>
      </w:r>
      <w:r>
        <w:rPr>
          <w:color w:val="auto"/>
          <w:sz w:val="24"/>
          <w:highlight w:val="none"/>
          <w:u w:val="none"/>
        </w:rPr>
        <w:t>委托书</w:t>
      </w:r>
    </w:p>
    <w:p w14:paraId="6EBFC783">
      <w:pPr>
        <w:spacing w:line="360" w:lineRule="auto"/>
        <w:ind w:firstLine="480"/>
        <w:jc w:val="left"/>
        <w:rPr>
          <w:rFonts w:hint="eastAsia"/>
          <w:color w:val="auto"/>
          <w:sz w:val="24"/>
          <w:highlight w:val="none"/>
          <w:u w:val="none"/>
        </w:rPr>
      </w:pPr>
      <w:r>
        <w:rPr>
          <w:rFonts w:hint="eastAsia"/>
          <w:color w:val="auto"/>
          <w:sz w:val="24"/>
          <w:highlight w:val="none"/>
          <w:u w:val="none"/>
        </w:rPr>
        <w:t>附件2 项目备案证明</w:t>
      </w:r>
    </w:p>
    <w:p w14:paraId="15792F30">
      <w:pPr>
        <w:spacing w:line="360" w:lineRule="auto"/>
        <w:ind w:firstLine="480"/>
        <w:jc w:val="left"/>
        <w:rPr>
          <w:rFonts w:hint="eastAsia"/>
          <w:color w:val="auto"/>
          <w:sz w:val="24"/>
          <w:highlight w:val="none"/>
          <w:u w:val="none"/>
        </w:rPr>
      </w:pPr>
      <w:r>
        <w:rPr>
          <w:color w:val="auto"/>
          <w:sz w:val="24"/>
          <w:highlight w:val="none"/>
          <w:u w:val="none"/>
        </w:rPr>
        <w:t>附件</w:t>
      </w:r>
      <w:r>
        <w:rPr>
          <w:rFonts w:hint="eastAsia"/>
          <w:color w:val="auto"/>
          <w:sz w:val="24"/>
          <w:highlight w:val="none"/>
          <w:u w:val="none"/>
        </w:rPr>
        <w:t>3</w:t>
      </w:r>
      <w:r>
        <w:rPr>
          <w:color w:val="auto"/>
          <w:sz w:val="24"/>
          <w:highlight w:val="none"/>
          <w:u w:val="none"/>
        </w:rPr>
        <w:t xml:space="preserve"> </w:t>
      </w:r>
      <w:r>
        <w:rPr>
          <w:rFonts w:hint="eastAsia"/>
          <w:color w:val="auto"/>
          <w:sz w:val="24"/>
          <w:highlight w:val="none"/>
          <w:u w:val="none"/>
        </w:rPr>
        <w:t>关于</w:t>
      </w:r>
      <w:r>
        <w:rPr>
          <w:rFonts w:hint="eastAsia"/>
          <w:color w:val="auto"/>
          <w:sz w:val="24"/>
          <w:highlight w:val="none"/>
          <w:u w:val="none"/>
          <w:lang w:eastAsia="zh-CN"/>
        </w:rPr>
        <w:t>钦州港金谷港区金鼓江作业区16#17#泊位码头停泊及回旋水域清淤疏浚项目（航道内部</w:t>
      </w:r>
      <w:r>
        <w:rPr>
          <w:rFonts w:hint="eastAsia"/>
          <w:color w:val="auto"/>
          <w:sz w:val="24"/>
          <w:highlight w:val="none"/>
          <w:u w:val="none"/>
          <w:lang w:val="en-US" w:eastAsia="zh-CN"/>
        </w:rPr>
        <w:t>分</w:t>
      </w:r>
      <w:r>
        <w:rPr>
          <w:rFonts w:hint="eastAsia"/>
          <w:color w:val="auto"/>
          <w:sz w:val="24"/>
          <w:highlight w:val="none"/>
          <w:u w:val="none"/>
          <w:lang w:eastAsia="zh-CN"/>
        </w:rPr>
        <w:t>）</w:t>
      </w:r>
      <w:r>
        <w:rPr>
          <w:rFonts w:hint="eastAsia"/>
          <w:color w:val="auto"/>
          <w:sz w:val="24"/>
          <w:highlight w:val="none"/>
          <w:u w:val="none"/>
        </w:rPr>
        <w:t>研判初步结论</w:t>
      </w:r>
    </w:p>
    <w:p w14:paraId="6958D923">
      <w:pPr>
        <w:spacing w:line="360" w:lineRule="auto"/>
        <w:ind w:firstLine="480"/>
        <w:jc w:val="left"/>
        <w:rPr>
          <w:rFonts w:hint="eastAsia"/>
          <w:color w:val="auto"/>
          <w:sz w:val="24"/>
          <w:highlight w:val="none"/>
          <w:u w:val="none"/>
          <w:lang w:val="en-US" w:eastAsia="zh-CN"/>
        </w:rPr>
      </w:pPr>
      <w:r>
        <w:rPr>
          <w:rFonts w:hint="eastAsia"/>
          <w:color w:val="auto"/>
          <w:sz w:val="24"/>
          <w:highlight w:val="none"/>
          <w:u w:val="none"/>
          <w:lang w:val="en-US" w:eastAsia="zh-CN"/>
        </w:rPr>
        <w:t>附件4 《钦州港金谷港区金鼓江作业区16#17#泊位码头停泊及回旋水域清淤疏浚项目疏浚物海洋倾倒检测报告》</w:t>
      </w:r>
    </w:p>
    <w:p w14:paraId="152912F4">
      <w:pPr>
        <w:spacing w:line="360" w:lineRule="auto"/>
        <w:ind w:firstLine="480"/>
        <w:jc w:val="left"/>
        <w:rPr>
          <w:rFonts w:hint="default"/>
          <w:color w:val="auto"/>
          <w:sz w:val="24"/>
          <w:highlight w:val="none"/>
          <w:u w:val="none"/>
          <w:lang w:val="en-US" w:eastAsia="zh-CN"/>
        </w:rPr>
      </w:pPr>
      <w:r>
        <w:rPr>
          <w:rFonts w:hint="eastAsia"/>
          <w:color w:val="auto"/>
          <w:sz w:val="24"/>
          <w:highlight w:val="none"/>
          <w:u w:val="none"/>
          <w:lang w:val="en-US" w:eastAsia="zh-CN"/>
        </w:rPr>
        <w:t xml:space="preserve">附件5加强港口基础设施维护主体责任落实约谈会议纪要 </w:t>
      </w:r>
    </w:p>
    <w:p w14:paraId="5210C19B">
      <w:pPr>
        <w:spacing w:line="360" w:lineRule="auto"/>
        <w:rPr>
          <w:rFonts w:hint="eastAsia" w:ascii="宋体" w:hAnsi="宋体" w:cs="宋体"/>
          <w:color w:val="auto"/>
          <w:sz w:val="24"/>
          <w:highlight w:val="none"/>
          <w:u w:val="single"/>
        </w:rPr>
        <w:sectPr>
          <w:headerReference r:id="rId3" w:type="default"/>
          <w:footerReference r:id="rId4" w:type="default"/>
          <w:pgSz w:w="11906" w:h="16838"/>
          <w:pgMar w:top="1701" w:right="1531" w:bottom="1701" w:left="1531" w:header="851" w:footer="1077" w:gutter="0"/>
          <w:cols w:space="720" w:num="1"/>
          <w:docGrid w:linePitch="312" w:charSpace="0"/>
        </w:sectPr>
      </w:pPr>
    </w:p>
    <w:p w14:paraId="5C86DCC3">
      <w:pPr>
        <w:pStyle w:val="2"/>
        <w:snapToGrid/>
        <w:spacing w:before="0" w:after="0" w:line="360" w:lineRule="auto"/>
        <w:jc w:val="center"/>
        <w:rPr>
          <w:color w:val="auto"/>
          <w:highlight w:val="none"/>
        </w:rPr>
      </w:pPr>
      <w:bookmarkStart w:id="21" w:name="_Toc2309"/>
      <w:bookmarkStart w:id="22" w:name="_Toc194"/>
      <w:bookmarkStart w:id="23" w:name="_Toc14319"/>
      <w:bookmarkStart w:id="24" w:name="_Toc15250"/>
      <w:r>
        <w:rPr>
          <w:color w:val="auto"/>
          <w:highlight w:val="none"/>
        </w:rPr>
        <w:t>一、建设项目基本情况</w:t>
      </w:r>
      <w:bookmarkEnd w:id="21"/>
      <w:bookmarkEnd w:id="22"/>
      <w:bookmarkEnd w:id="23"/>
      <w:bookmarkEnd w:id="24"/>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4"/>
        <w:gridCol w:w="2113"/>
        <w:gridCol w:w="2185"/>
        <w:gridCol w:w="3238"/>
      </w:tblGrid>
      <w:tr w14:paraId="19E86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2032" w:type="dxa"/>
            <w:noWrap w:val="0"/>
            <w:tcMar>
              <w:top w:w="16" w:type="dxa"/>
              <w:left w:w="16" w:type="dxa"/>
              <w:right w:w="16" w:type="dxa"/>
            </w:tcMar>
            <w:vAlign w:val="center"/>
          </w:tcPr>
          <w:p w14:paraId="50D07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建设项目名称</w:t>
            </w:r>
          </w:p>
        </w:tc>
        <w:tc>
          <w:tcPr>
            <w:tcW w:w="6838" w:type="dxa"/>
            <w:gridSpan w:val="3"/>
            <w:noWrap w:val="0"/>
            <w:vAlign w:val="center"/>
          </w:tcPr>
          <w:p w14:paraId="225625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4"/>
                <w:highlight w:val="none"/>
                <w:lang w:eastAsia="zh-CN"/>
              </w:rPr>
            </w:pPr>
            <w:r>
              <w:rPr>
                <w:rFonts w:hint="eastAsia"/>
                <w:color w:val="auto"/>
                <w:sz w:val="24"/>
                <w:highlight w:val="none"/>
                <w:lang w:eastAsia="zh-CN"/>
              </w:rPr>
              <w:t>钦州港金谷港区金鼓江作业区16#17#泊位码头停泊及回旋水域清淤疏浚项目（航道内部分）</w:t>
            </w:r>
          </w:p>
        </w:tc>
      </w:tr>
      <w:tr w14:paraId="5C1BF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736E8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项目代码</w:t>
            </w:r>
          </w:p>
        </w:tc>
        <w:tc>
          <w:tcPr>
            <w:tcW w:w="6838" w:type="dxa"/>
            <w:gridSpan w:val="3"/>
            <w:noWrap w:val="0"/>
            <w:vAlign w:val="center"/>
          </w:tcPr>
          <w:p w14:paraId="46E4C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4"/>
                <w:highlight w:val="none"/>
                <w:lang w:eastAsia="zh-CN"/>
              </w:rPr>
            </w:pPr>
            <w:r>
              <w:rPr>
                <w:rFonts w:hint="eastAsia" w:eastAsia="宋体"/>
                <w:color w:val="auto"/>
                <w:sz w:val="24"/>
                <w:highlight w:val="none"/>
                <w:lang w:eastAsia="zh-CN"/>
              </w:rPr>
              <w:t>2512-450704-04-05-221481</w:t>
            </w:r>
          </w:p>
        </w:tc>
      </w:tr>
      <w:tr w14:paraId="1E6A1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1853B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建设单位联系人</w:t>
            </w:r>
          </w:p>
        </w:tc>
        <w:tc>
          <w:tcPr>
            <w:tcW w:w="1987" w:type="dxa"/>
            <w:noWrap w:val="0"/>
            <w:vAlign w:val="center"/>
          </w:tcPr>
          <w:p w14:paraId="391AC5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rPr>
            </w:pPr>
            <w:r>
              <w:rPr>
                <w:rFonts w:hint="eastAsia" w:cs="Times New Roman"/>
                <w:color w:val="auto"/>
                <w:sz w:val="24"/>
                <w:highlight w:val="none"/>
                <w:lang w:val="en-US" w:eastAsia="zh-CN"/>
              </w:rPr>
              <w:t>*****</w:t>
            </w:r>
          </w:p>
        </w:tc>
        <w:tc>
          <w:tcPr>
            <w:tcW w:w="1930" w:type="dxa"/>
            <w:noWrap w:val="0"/>
            <w:vAlign w:val="center"/>
          </w:tcPr>
          <w:p w14:paraId="43E62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联系方式</w:t>
            </w:r>
          </w:p>
        </w:tc>
        <w:tc>
          <w:tcPr>
            <w:tcW w:w="2921" w:type="dxa"/>
            <w:noWrap w:val="0"/>
            <w:vAlign w:val="center"/>
          </w:tcPr>
          <w:p w14:paraId="1806C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rPr>
            </w:pPr>
            <w:r>
              <w:rPr>
                <w:rFonts w:hint="eastAsia" w:cs="Times New Roman"/>
                <w:color w:val="auto"/>
                <w:sz w:val="24"/>
                <w:highlight w:val="none"/>
                <w:lang w:val="en-US" w:eastAsia="zh-CN"/>
              </w:rPr>
              <w:t>****</w:t>
            </w:r>
          </w:p>
        </w:tc>
      </w:tr>
      <w:tr w14:paraId="361C3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0438BA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建设地点</w:t>
            </w:r>
          </w:p>
        </w:tc>
        <w:tc>
          <w:tcPr>
            <w:tcW w:w="6838" w:type="dxa"/>
            <w:gridSpan w:val="3"/>
            <w:noWrap w:val="0"/>
            <w:vAlign w:val="center"/>
          </w:tcPr>
          <w:p w14:paraId="47102F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广西壮族自治区钦州市中国（广西）自由贸易试验区钦州港片区</w:t>
            </w:r>
          </w:p>
          <w:p w14:paraId="3742B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ascii="Times New Roman" w:hAnsi="Times New Roman" w:eastAsia="宋体" w:cs="Times New Roman"/>
                <w:color w:val="auto"/>
                <w:sz w:val="24"/>
                <w:highlight w:val="none"/>
                <w:lang w:val="en-US" w:eastAsia="zh-CN"/>
              </w:rPr>
              <w:t>钦州港金谷港区金鼓江作业区16#17#泊位码头航道内回旋水域</w:t>
            </w:r>
          </w:p>
        </w:tc>
      </w:tr>
      <w:tr w14:paraId="75ED4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00E13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rPr>
            </w:pPr>
            <w:r>
              <w:rPr>
                <w:color w:val="auto"/>
                <w:sz w:val="24"/>
                <w:highlight w:val="none"/>
              </w:rPr>
              <w:t>地理坐标</w:t>
            </w:r>
          </w:p>
        </w:tc>
        <w:tc>
          <w:tcPr>
            <w:tcW w:w="6838" w:type="dxa"/>
            <w:gridSpan w:val="3"/>
            <w:noWrap w:val="0"/>
            <w:vAlign w:val="center"/>
          </w:tcPr>
          <w:p w14:paraId="6480E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4"/>
                <w:highlight w:val="none"/>
                <w:u w:val="single"/>
              </w:rPr>
            </w:pPr>
            <w:r>
              <w:rPr>
                <w:rFonts w:hint="eastAsia"/>
                <w:color w:val="auto"/>
                <w:sz w:val="24"/>
                <w:highlight w:val="none"/>
                <w:u w:val="none"/>
              </w:rPr>
              <w:t>（经度：108.637072°，纬度：21.708507°）</w:t>
            </w:r>
          </w:p>
        </w:tc>
      </w:tr>
      <w:tr w14:paraId="566C7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28C9544B">
            <w:pPr>
              <w:spacing w:line="240" w:lineRule="auto"/>
              <w:jc w:val="center"/>
              <w:rPr>
                <w:color w:val="auto"/>
                <w:sz w:val="24"/>
                <w:highlight w:val="none"/>
              </w:rPr>
            </w:pPr>
            <w:r>
              <w:rPr>
                <w:color w:val="auto"/>
                <w:sz w:val="24"/>
                <w:highlight w:val="none"/>
              </w:rPr>
              <w:t>建设项目行业类别</w:t>
            </w:r>
          </w:p>
        </w:tc>
        <w:tc>
          <w:tcPr>
            <w:tcW w:w="1987" w:type="dxa"/>
            <w:noWrap w:val="0"/>
            <w:vAlign w:val="center"/>
          </w:tcPr>
          <w:p w14:paraId="34B42157">
            <w:pPr>
              <w:spacing w:line="240" w:lineRule="auto"/>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五十</w:t>
            </w:r>
            <w:r>
              <w:rPr>
                <w:rFonts w:hint="eastAsia" w:ascii="Times New Roman" w:hAnsi="Times New Roman" w:eastAsia="宋体" w:cs="Times New Roman"/>
                <w:color w:val="auto"/>
                <w:sz w:val="24"/>
                <w:highlight w:val="none"/>
                <w:lang w:eastAsia="zh-CN"/>
              </w:rPr>
              <w:t>四、海洋工程</w:t>
            </w:r>
            <w:r>
              <w:rPr>
                <w:rFonts w:hint="eastAsia" w:ascii="Times New Roman" w:hAnsi="Times New Roman" w:eastAsia="宋体" w:cs="Times New Roman"/>
                <w:color w:val="auto"/>
                <w:sz w:val="24"/>
                <w:highlight w:val="none"/>
                <w:lang w:val="en-US" w:eastAsia="zh-CN"/>
              </w:rPr>
              <w:t>-160.其他海洋工程</w:t>
            </w:r>
          </w:p>
          <w:p w14:paraId="62A3E0E3">
            <w:pPr>
              <w:spacing w:line="240" w:lineRule="auto"/>
              <w:jc w:val="center"/>
              <w:rPr>
                <w:color w:val="auto"/>
                <w:sz w:val="24"/>
                <w:highlight w:val="none"/>
              </w:rPr>
            </w:pPr>
            <w:r>
              <w:rPr>
                <w:rFonts w:hint="eastAsia" w:ascii="Times New Roman" w:hAnsi="Times New Roman" w:eastAsia="宋体" w:cs="Times New Roman"/>
                <w:color w:val="auto"/>
                <w:sz w:val="24"/>
                <w:highlight w:val="none"/>
                <w:lang w:val="en-US" w:eastAsia="zh-CN"/>
              </w:rPr>
              <w:t>-其他</w:t>
            </w:r>
          </w:p>
        </w:tc>
        <w:tc>
          <w:tcPr>
            <w:tcW w:w="1930" w:type="dxa"/>
            <w:noWrap w:val="0"/>
            <w:vAlign w:val="center"/>
          </w:tcPr>
          <w:p w14:paraId="634F03AA">
            <w:pPr>
              <w:spacing w:line="240" w:lineRule="auto"/>
              <w:jc w:val="center"/>
              <w:rPr>
                <w:color w:val="auto"/>
                <w:sz w:val="24"/>
                <w:highlight w:val="none"/>
              </w:rPr>
            </w:pPr>
            <w:r>
              <w:rPr>
                <w:color w:val="auto"/>
                <w:sz w:val="24"/>
                <w:highlight w:val="none"/>
              </w:rPr>
              <w:t>用地面积（m</w:t>
            </w:r>
            <w:r>
              <w:rPr>
                <w:color w:val="auto"/>
                <w:sz w:val="24"/>
                <w:highlight w:val="none"/>
                <w:vertAlign w:val="superscript"/>
              </w:rPr>
              <w:t>2</w:t>
            </w:r>
            <w:r>
              <w:rPr>
                <w:color w:val="auto"/>
                <w:sz w:val="24"/>
                <w:highlight w:val="none"/>
              </w:rPr>
              <w:t>）</w:t>
            </w:r>
          </w:p>
        </w:tc>
        <w:tc>
          <w:tcPr>
            <w:tcW w:w="2921" w:type="dxa"/>
            <w:noWrap w:val="0"/>
            <w:vAlign w:val="center"/>
          </w:tcPr>
          <w:p w14:paraId="325F5B5B">
            <w:pPr>
              <w:spacing w:line="240" w:lineRule="auto"/>
              <w:jc w:val="center"/>
              <w:rPr>
                <w:rFonts w:hint="eastAsia"/>
                <w:color w:val="auto"/>
                <w:sz w:val="24"/>
                <w:highlight w:val="none"/>
              </w:rPr>
            </w:pPr>
            <w:r>
              <w:rPr>
                <w:rFonts w:hint="eastAsia"/>
                <w:color w:val="auto"/>
                <w:sz w:val="24"/>
                <w:highlight w:val="none"/>
                <w:lang w:eastAsia="zh-CN"/>
              </w:rPr>
              <w:t>临时用海面积</w:t>
            </w:r>
            <w:r>
              <w:rPr>
                <w:rFonts w:hint="eastAsia"/>
                <w:color w:val="auto"/>
                <w:sz w:val="24"/>
                <w:highlight w:val="none"/>
                <w:lang w:val="en-US" w:eastAsia="zh-CN"/>
              </w:rPr>
              <w:t>79349.4</w:t>
            </w:r>
            <w:r>
              <w:rPr>
                <w:rFonts w:hint="eastAsia"/>
                <w:color w:val="auto"/>
                <w:sz w:val="24"/>
                <w:highlight w:val="none"/>
              </w:rPr>
              <w:t>m</w:t>
            </w:r>
            <w:r>
              <w:rPr>
                <w:rFonts w:hint="eastAsia"/>
                <w:color w:val="auto"/>
                <w:sz w:val="24"/>
                <w:highlight w:val="none"/>
                <w:vertAlign w:val="superscript"/>
              </w:rPr>
              <w:t>2</w:t>
            </w:r>
          </w:p>
        </w:tc>
      </w:tr>
      <w:tr w14:paraId="5CF8E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0F824F6C">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建设性质</w:t>
            </w:r>
          </w:p>
        </w:tc>
        <w:tc>
          <w:tcPr>
            <w:tcW w:w="1987" w:type="dxa"/>
            <w:noWrap w:val="0"/>
            <w:vAlign w:val="center"/>
          </w:tcPr>
          <w:p w14:paraId="3E08ADB4">
            <w:pPr>
              <w:spacing w:line="240" w:lineRule="auto"/>
              <w:jc w:val="left"/>
              <w:rPr>
                <w:color w:val="auto"/>
                <w:sz w:val="24"/>
                <w:highlight w:val="none"/>
              </w:rPr>
            </w:pPr>
            <w:r>
              <w:rPr>
                <w:color w:val="auto"/>
                <w:sz w:val="24"/>
                <w:highlight w:val="none"/>
              </w:rPr>
              <w:sym w:font="Wingdings 2" w:char="0052"/>
            </w:r>
            <w:r>
              <w:rPr>
                <w:color w:val="auto"/>
                <w:sz w:val="24"/>
                <w:highlight w:val="none"/>
              </w:rPr>
              <w:t>新建（迁建）</w:t>
            </w:r>
          </w:p>
          <w:p w14:paraId="1F022942">
            <w:pPr>
              <w:spacing w:line="240" w:lineRule="auto"/>
              <w:jc w:val="left"/>
              <w:rPr>
                <w:color w:val="auto"/>
                <w:sz w:val="24"/>
                <w:highlight w:val="none"/>
              </w:rPr>
            </w:pPr>
            <w:r>
              <w:rPr>
                <w:color w:val="auto"/>
                <w:sz w:val="24"/>
                <w:highlight w:val="none"/>
              </w:rPr>
              <w:sym w:font="Wingdings 2" w:char="00A3"/>
            </w:r>
            <w:r>
              <w:rPr>
                <w:color w:val="auto"/>
                <w:sz w:val="24"/>
                <w:highlight w:val="none"/>
              </w:rPr>
              <w:t>改建</w:t>
            </w:r>
          </w:p>
          <w:p w14:paraId="45962FC0">
            <w:pPr>
              <w:spacing w:line="240" w:lineRule="auto"/>
              <w:jc w:val="left"/>
              <w:rPr>
                <w:color w:val="auto"/>
                <w:sz w:val="24"/>
                <w:highlight w:val="none"/>
              </w:rPr>
            </w:pPr>
            <w:r>
              <w:rPr>
                <w:color w:val="auto"/>
                <w:sz w:val="24"/>
                <w:highlight w:val="none"/>
              </w:rPr>
              <w:sym w:font="Wingdings 2" w:char="00A3"/>
            </w:r>
            <w:r>
              <w:rPr>
                <w:color w:val="auto"/>
                <w:sz w:val="24"/>
                <w:highlight w:val="none"/>
              </w:rPr>
              <w:t>扩建</w:t>
            </w:r>
          </w:p>
          <w:p w14:paraId="0101E352">
            <w:pPr>
              <w:spacing w:line="240" w:lineRule="auto"/>
              <w:jc w:val="left"/>
              <w:rPr>
                <w:color w:val="auto"/>
                <w:sz w:val="24"/>
                <w:highlight w:val="none"/>
              </w:rPr>
            </w:pPr>
            <w:r>
              <w:rPr>
                <w:color w:val="auto"/>
                <w:sz w:val="24"/>
                <w:highlight w:val="none"/>
              </w:rPr>
              <w:sym w:font="Wingdings 2" w:char="00A3"/>
            </w:r>
            <w:r>
              <w:rPr>
                <w:color w:val="auto"/>
                <w:sz w:val="24"/>
                <w:highlight w:val="none"/>
              </w:rPr>
              <w:t>技术改造</w:t>
            </w:r>
          </w:p>
        </w:tc>
        <w:tc>
          <w:tcPr>
            <w:tcW w:w="1930" w:type="dxa"/>
            <w:noWrap w:val="0"/>
            <w:vAlign w:val="center"/>
          </w:tcPr>
          <w:p w14:paraId="334A1044">
            <w:pPr>
              <w:adjustRightInd w:val="0"/>
              <w:snapToGrid w:val="0"/>
              <w:spacing w:line="240" w:lineRule="auto"/>
              <w:jc w:val="center"/>
              <w:rPr>
                <w:rFonts w:hint="default" w:eastAsia="宋体"/>
                <w:color w:val="auto"/>
                <w:highlight w:val="none"/>
                <w:lang w:val="en-US" w:eastAsia="zh-CN"/>
              </w:rPr>
            </w:pPr>
            <w:r>
              <w:rPr>
                <w:rFonts w:hint="eastAsia" w:ascii="宋体" w:hAnsi="宋体" w:cs="宋体"/>
                <w:color w:val="auto"/>
                <w:sz w:val="24"/>
                <w:highlight w:val="none"/>
              </w:rPr>
              <w:t>建设项目</w:t>
            </w:r>
          </w:p>
          <w:p w14:paraId="44E77D83">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申报情形</w:t>
            </w:r>
          </w:p>
        </w:tc>
        <w:tc>
          <w:tcPr>
            <w:tcW w:w="2921" w:type="dxa"/>
            <w:noWrap w:val="0"/>
            <w:vAlign w:val="center"/>
          </w:tcPr>
          <w:p w14:paraId="3DB47085">
            <w:pPr>
              <w:spacing w:line="240" w:lineRule="auto"/>
              <w:jc w:val="left"/>
              <w:rPr>
                <w:color w:val="auto"/>
                <w:sz w:val="24"/>
                <w:highlight w:val="none"/>
              </w:rPr>
            </w:pPr>
            <w:r>
              <w:rPr>
                <w:color w:val="auto"/>
                <w:sz w:val="24"/>
                <w:highlight w:val="none"/>
              </w:rPr>
              <w:sym w:font="Wingdings 2" w:char="0052"/>
            </w:r>
            <w:r>
              <w:rPr>
                <w:color w:val="auto"/>
                <w:sz w:val="24"/>
                <w:highlight w:val="none"/>
              </w:rPr>
              <w:t xml:space="preserve">首次申报项目             </w:t>
            </w:r>
          </w:p>
          <w:p w14:paraId="503A4FC5">
            <w:pPr>
              <w:spacing w:line="240" w:lineRule="auto"/>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4CC02638">
            <w:pPr>
              <w:spacing w:line="240" w:lineRule="auto"/>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2009154F">
            <w:pPr>
              <w:spacing w:line="240" w:lineRule="auto"/>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14:paraId="14EA3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0D2C00CE">
            <w:pPr>
              <w:spacing w:line="240" w:lineRule="auto"/>
              <w:rPr>
                <w:color w:val="auto"/>
                <w:sz w:val="24"/>
                <w:highlight w:val="none"/>
              </w:rPr>
            </w:pPr>
            <w:r>
              <w:rPr>
                <w:color w:val="auto"/>
                <w:sz w:val="24"/>
                <w:highlight w:val="none"/>
              </w:rPr>
              <w:t>项目审批（核准/</w:t>
            </w:r>
          </w:p>
          <w:p w14:paraId="34966D34">
            <w:pPr>
              <w:spacing w:line="240" w:lineRule="auto"/>
              <w:jc w:val="center"/>
              <w:rPr>
                <w:color w:val="auto"/>
                <w:sz w:val="24"/>
                <w:highlight w:val="none"/>
              </w:rPr>
            </w:pPr>
            <w:r>
              <w:rPr>
                <w:color w:val="auto"/>
                <w:sz w:val="24"/>
                <w:highlight w:val="none"/>
              </w:rPr>
              <w:t>备案）部门（选填）</w:t>
            </w:r>
          </w:p>
        </w:tc>
        <w:tc>
          <w:tcPr>
            <w:tcW w:w="1987" w:type="dxa"/>
            <w:noWrap w:val="0"/>
            <w:vAlign w:val="center"/>
          </w:tcPr>
          <w:p w14:paraId="6AAD3023">
            <w:pPr>
              <w:spacing w:line="240" w:lineRule="auto"/>
              <w:jc w:val="both"/>
              <w:rPr>
                <w:rFonts w:hint="eastAsia" w:eastAsia="宋体"/>
                <w:color w:val="auto"/>
                <w:sz w:val="24"/>
                <w:highlight w:val="none"/>
                <w:lang w:eastAsia="zh-CN"/>
              </w:rPr>
            </w:pPr>
            <w:r>
              <w:rPr>
                <w:rFonts w:hint="eastAsia" w:eastAsia="宋体"/>
                <w:color w:val="auto"/>
                <w:sz w:val="24"/>
                <w:highlight w:val="none"/>
                <w:lang w:eastAsia="zh-CN"/>
              </w:rPr>
              <w:t>中国—马来西亚钦州产业园区行政审批局</w:t>
            </w:r>
          </w:p>
        </w:tc>
        <w:tc>
          <w:tcPr>
            <w:tcW w:w="1930" w:type="dxa"/>
            <w:noWrap w:val="0"/>
            <w:vAlign w:val="center"/>
          </w:tcPr>
          <w:p w14:paraId="0CD323EF">
            <w:pPr>
              <w:spacing w:line="240" w:lineRule="auto"/>
              <w:rPr>
                <w:color w:val="auto"/>
                <w:sz w:val="24"/>
                <w:highlight w:val="none"/>
              </w:rPr>
            </w:pPr>
            <w:r>
              <w:rPr>
                <w:color w:val="auto"/>
                <w:sz w:val="24"/>
                <w:highlight w:val="none"/>
              </w:rPr>
              <w:t>项目审批（核准/</w:t>
            </w:r>
          </w:p>
          <w:p w14:paraId="16A6222A">
            <w:pPr>
              <w:spacing w:line="240" w:lineRule="auto"/>
              <w:jc w:val="center"/>
              <w:rPr>
                <w:color w:val="auto"/>
                <w:sz w:val="24"/>
                <w:highlight w:val="none"/>
              </w:rPr>
            </w:pPr>
            <w:r>
              <w:rPr>
                <w:color w:val="auto"/>
                <w:sz w:val="24"/>
                <w:highlight w:val="none"/>
              </w:rPr>
              <w:t>备案）文号（选填）</w:t>
            </w:r>
          </w:p>
        </w:tc>
        <w:tc>
          <w:tcPr>
            <w:tcW w:w="2921" w:type="dxa"/>
            <w:noWrap w:val="0"/>
            <w:vAlign w:val="center"/>
          </w:tcPr>
          <w:p w14:paraId="1B1736B2">
            <w:pPr>
              <w:spacing w:line="240" w:lineRule="auto"/>
              <w:jc w:val="center"/>
              <w:rPr>
                <w:rFonts w:hint="eastAsia" w:eastAsia="宋体"/>
                <w:color w:val="auto"/>
                <w:sz w:val="24"/>
                <w:highlight w:val="none"/>
                <w:lang w:eastAsia="zh-CN"/>
              </w:rPr>
            </w:pPr>
            <w:r>
              <w:rPr>
                <w:rFonts w:hint="eastAsia"/>
                <w:color w:val="auto"/>
                <w:sz w:val="24"/>
                <w:highlight w:val="none"/>
                <w:lang w:val="en-US" w:eastAsia="zh-CN"/>
              </w:rPr>
              <w:t>/</w:t>
            </w:r>
          </w:p>
        </w:tc>
      </w:tr>
      <w:tr w14:paraId="64232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398A6A13">
            <w:pPr>
              <w:spacing w:line="240" w:lineRule="auto"/>
              <w:jc w:val="center"/>
              <w:rPr>
                <w:color w:val="auto"/>
                <w:sz w:val="24"/>
                <w:highlight w:val="none"/>
              </w:rPr>
            </w:pPr>
            <w:r>
              <w:rPr>
                <w:color w:val="auto"/>
                <w:sz w:val="24"/>
                <w:highlight w:val="none"/>
              </w:rPr>
              <w:t>总投资（万元）</w:t>
            </w:r>
          </w:p>
        </w:tc>
        <w:tc>
          <w:tcPr>
            <w:tcW w:w="1987" w:type="dxa"/>
            <w:noWrap w:val="0"/>
            <w:vAlign w:val="center"/>
          </w:tcPr>
          <w:p w14:paraId="7A689458">
            <w:pPr>
              <w:spacing w:line="240" w:lineRule="auto"/>
              <w:jc w:val="center"/>
              <w:rPr>
                <w:rFonts w:hint="default" w:eastAsia="宋体"/>
                <w:color w:val="auto"/>
                <w:sz w:val="24"/>
                <w:highlight w:val="none"/>
                <w:lang w:val="en-US" w:eastAsia="zh-CN"/>
              </w:rPr>
            </w:pPr>
            <w:r>
              <w:rPr>
                <w:rFonts w:hint="eastAsia"/>
                <w:color w:val="auto"/>
                <w:sz w:val="24"/>
                <w:highlight w:val="none"/>
                <w:lang w:val="en-US" w:eastAsia="zh-CN"/>
              </w:rPr>
              <w:t>300.0</w:t>
            </w:r>
          </w:p>
        </w:tc>
        <w:tc>
          <w:tcPr>
            <w:tcW w:w="1930" w:type="dxa"/>
            <w:noWrap w:val="0"/>
            <w:tcMar>
              <w:top w:w="16" w:type="dxa"/>
              <w:left w:w="16" w:type="dxa"/>
              <w:right w:w="16" w:type="dxa"/>
            </w:tcMar>
            <w:vAlign w:val="center"/>
          </w:tcPr>
          <w:p w14:paraId="05631762">
            <w:pPr>
              <w:spacing w:line="240" w:lineRule="auto"/>
              <w:jc w:val="center"/>
              <w:rPr>
                <w:color w:val="auto"/>
                <w:sz w:val="24"/>
                <w:highlight w:val="none"/>
              </w:rPr>
            </w:pPr>
            <w:r>
              <w:rPr>
                <w:color w:val="auto"/>
                <w:sz w:val="24"/>
                <w:highlight w:val="none"/>
              </w:rPr>
              <w:t>环保投资（万元）</w:t>
            </w:r>
          </w:p>
        </w:tc>
        <w:tc>
          <w:tcPr>
            <w:tcW w:w="2921" w:type="dxa"/>
            <w:noWrap w:val="0"/>
            <w:vAlign w:val="center"/>
          </w:tcPr>
          <w:p w14:paraId="4618ECBD">
            <w:pPr>
              <w:spacing w:line="240" w:lineRule="auto"/>
              <w:jc w:val="center"/>
              <w:rPr>
                <w:rFonts w:hint="default" w:eastAsia="宋体"/>
                <w:color w:val="auto"/>
                <w:sz w:val="24"/>
                <w:highlight w:val="none"/>
                <w:lang w:val="en-US" w:eastAsia="zh-CN"/>
              </w:rPr>
            </w:pPr>
            <w:r>
              <w:rPr>
                <w:rFonts w:hint="eastAsia" w:cs="Times New Roman"/>
                <w:color w:val="auto"/>
                <w:sz w:val="24"/>
                <w:highlight w:val="none"/>
                <w:u w:val="single"/>
                <w:lang w:val="en-US" w:eastAsia="zh-CN"/>
              </w:rPr>
              <w:t>70.34</w:t>
            </w:r>
          </w:p>
        </w:tc>
      </w:tr>
      <w:tr w14:paraId="0E16D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597F7355">
            <w:pPr>
              <w:spacing w:line="240" w:lineRule="auto"/>
              <w:jc w:val="center"/>
              <w:rPr>
                <w:color w:val="auto"/>
                <w:sz w:val="24"/>
                <w:highlight w:val="none"/>
              </w:rPr>
            </w:pPr>
            <w:r>
              <w:rPr>
                <w:color w:val="auto"/>
                <w:sz w:val="24"/>
                <w:highlight w:val="none"/>
              </w:rPr>
              <w:t>环保投资占比（%）</w:t>
            </w:r>
          </w:p>
        </w:tc>
        <w:tc>
          <w:tcPr>
            <w:tcW w:w="1987" w:type="dxa"/>
            <w:noWrap w:val="0"/>
            <w:vAlign w:val="center"/>
          </w:tcPr>
          <w:p w14:paraId="78F2BA92">
            <w:pPr>
              <w:spacing w:line="240" w:lineRule="auto"/>
              <w:jc w:val="center"/>
              <w:rPr>
                <w:rFonts w:hint="default"/>
                <w:color w:val="auto"/>
                <w:sz w:val="24"/>
                <w:highlight w:val="none"/>
                <w:lang w:val="en-US"/>
              </w:rPr>
            </w:pPr>
            <w:r>
              <w:rPr>
                <w:rFonts w:hint="eastAsia"/>
                <w:color w:val="auto"/>
                <w:sz w:val="24"/>
                <w:highlight w:val="none"/>
                <w:u w:val="single"/>
                <w:lang w:val="en-US" w:eastAsia="zh-CN"/>
              </w:rPr>
              <w:t>23.45</w:t>
            </w:r>
          </w:p>
        </w:tc>
        <w:tc>
          <w:tcPr>
            <w:tcW w:w="1930" w:type="dxa"/>
            <w:noWrap w:val="0"/>
            <w:tcMar>
              <w:top w:w="16" w:type="dxa"/>
              <w:left w:w="16" w:type="dxa"/>
              <w:right w:w="16" w:type="dxa"/>
            </w:tcMar>
            <w:vAlign w:val="center"/>
          </w:tcPr>
          <w:p w14:paraId="42F8A3BF">
            <w:pPr>
              <w:spacing w:line="240" w:lineRule="auto"/>
              <w:jc w:val="center"/>
              <w:rPr>
                <w:color w:val="auto"/>
                <w:sz w:val="24"/>
                <w:highlight w:val="none"/>
                <w:u w:val="none"/>
              </w:rPr>
            </w:pPr>
            <w:r>
              <w:rPr>
                <w:color w:val="auto"/>
                <w:sz w:val="24"/>
                <w:highlight w:val="none"/>
                <w:u w:val="none"/>
              </w:rPr>
              <w:t>施工工期</w:t>
            </w:r>
          </w:p>
        </w:tc>
        <w:tc>
          <w:tcPr>
            <w:tcW w:w="2921" w:type="dxa"/>
            <w:noWrap w:val="0"/>
            <w:vAlign w:val="center"/>
          </w:tcPr>
          <w:p w14:paraId="55B2EA15">
            <w:pPr>
              <w:spacing w:line="240" w:lineRule="auto"/>
              <w:jc w:val="center"/>
              <w:rPr>
                <w:rFonts w:hint="default" w:eastAsia="宋体"/>
                <w:color w:val="auto"/>
                <w:sz w:val="24"/>
                <w:highlight w:val="none"/>
                <w:u w:val="none"/>
                <w:lang w:val="en-US" w:eastAsia="zh-CN"/>
              </w:rPr>
            </w:pPr>
            <w:r>
              <w:rPr>
                <w:rFonts w:hint="eastAsia"/>
                <w:color w:val="auto"/>
                <w:sz w:val="24"/>
                <w:highlight w:val="none"/>
                <w:u w:val="none"/>
                <w:lang w:val="en-US" w:eastAsia="zh-CN"/>
              </w:rPr>
              <w:t>3</w:t>
            </w:r>
            <w:r>
              <w:rPr>
                <w:color w:val="auto"/>
                <w:sz w:val="24"/>
                <w:highlight w:val="none"/>
                <w:u w:val="none"/>
              </w:rPr>
              <w:t>个月</w:t>
            </w:r>
            <w:r>
              <w:rPr>
                <w:rFonts w:hint="eastAsia"/>
                <w:color w:val="auto"/>
                <w:sz w:val="24"/>
                <w:highlight w:val="none"/>
                <w:u w:val="none"/>
                <w:lang w:eastAsia="zh-CN"/>
              </w:rPr>
              <w:t>，计划</w:t>
            </w:r>
            <w:r>
              <w:rPr>
                <w:rFonts w:hint="eastAsia"/>
                <w:color w:val="auto"/>
                <w:sz w:val="24"/>
                <w:highlight w:val="none"/>
                <w:u w:val="none"/>
                <w:lang w:val="en-US" w:eastAsia="zh-CN"/>
              </w:rPr>
              <w:t>2026年5月开工，2026年7月完工</w:t>
            </w:r>
          </w:p>
        </w:tc>
      </w:tr>
      <w:tr w14:paraId="374E9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032" w:type="dxa"/>
            <w:noWrap w:val="0"/>
            <w:tcMar>
              <w:top w:w="16" w:type="dxa"/>
              <w:left w:w="16" w:type="dxa"/>
              <w:right w:w="16" w:type="dxa"/>
            </w:tcMar>
            <w:vAlign w:val="center"/>
          </w:tcPr>
          <w:p w14:paraId="4D706E18">
            <w:pPr>
              <w:adjustRightInd w:val="0"/>
              <w:snapToGrid w:val="0"/>
              <w:spacing w:line="240" w:lineRule="auto"/>
              <w:jc w:val="center"/>
              <w:rPr>
                <w:rFonts w:hint="eastAsia" w:ascii="宋体" w:hAnsi="宋体" w:cs="宋体"/>
                <w:color w:val="auto"/>
                <w:sz w:val="24"/>
                <w:highlight w:val="none"/>
              </w:rPr>
            </w:pPr>
            <w:r>
              <w:rPr>
                <w:rFonts w:hint="eastAsia" w:ascii="宋体" w:hAnsi="宋体" w:cs="宋体"/>
                <w:color w:val="auto"/>
                <w:sz w:val="24"/>
                <w:highlight w:val="none"/>
              </w:rPr>
              <w:t>是否开工建设</w:t>
            </w:r>
          </w:p>
        </w:tc>
        <w:tc>
          <w:tcPr>
            <w:tcW w:w="6838" w:type="dxa"/>
            <w:gridSpan w:val="3"/>
            <w:noWrap w:val="0"/>
            <w:vAlign w:val="center"/>
          </w:tcPr>
          <w:p w14:paraId="21B6E06F">
            <w:pPr>
              <w:adjustRightInd w:val="0"/>
              <w:snapToGrid w:val="0"/>
              <w:spacing w:line="240" w:lineRule="auto"/>
              <w:rPr>
                <w:color w:val="auto"/>
                <w:sz w:val="24"/>
                <w:highlight w:val="none"/>
              </w:rPr>
            </w:pPr>
            <w:r>
              <w:rPr>
                <w:color w:val="auto"/>
                <w:sz w:val="24"/>
                <w:highlight w:val="none"/>
              </w:rPr>
              <w:sym w:font="Wingdings 2" w:char="0052"/>
            </w:r>
            <w:r>
              <w:rPr>
                <w:color w:val="auto"/>
                <w:sz w:val="24"/>
                <w:highlight w:val="none"/>
              </w:rPr>
              <w:t>否</w:t>
            </w:r>
          </w:p>
          <w:p w14:paraId="28628E91">
            <w:pPr>
              <w:adjustRightInd w:val="0"/>
              <w:snapToGrid w:val="0"/>
              <w:spacing w:line="240" w:lineRule="auto"/>
              <w:rPr>
                <w:rFonts w:hint="eastAsia"/>
                <w:color w:val="auto"/>
                <w:sz w:val="24"/>
                <w:highlight w:val="none"/>
              </w:rPr>
            </w:pPr>
            <w:r>
              <w:rPr>
                <w:color w:val="auto"/>
                <w:sz w:val="24"/>
                <w:highlight w:val="none"/>
              </w:rPr>
              <w:sym w:font="Wingdings 2" w:char="00A3"/>
            </w:r>
            <w:r>
              <w:rPr>
                <w:color w:val="auto"/>
                <w:sz w:val="24"/>
                <w:highlight w:val="none"/>
              </w:rPr>
              <w:t xml:space="preserve">是：        </w:t>
            </w:r>
          </w:p>
        </w:tc>
      </w:tr>
      <w:tr w14:paraId="27625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625C9641">
            <w:pPr>
              <w:adjustRightInd w:val="0"/>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专项评价设置情况</w:t>
            </w:r>
          </w:p>
        </w:tc>
        <w:tc>
          <w:tcPr>
            <w:tcW w:w="6838" w:type="dxa"/>
            <w:gridSpan w:val="3"/>
            <w:noWrap w:val="0"/>
            <w:vAlign w:val="center"/>
          </w:tcPr>
          <w:p w14:paraId="106D81B9">
            <w:pPr>
              <w:autoSpaceDE w:val="0"/>
              <w:autoSpaceDN w:val="0"/>
              <w:adjustRightInd w:val="0"/>
              <w:snapToGrid w:val="0"/>
              <w:spacing w:line="360" w:lineRule="auto"/>
              <w:ind w:firstLine="480" w:firstLineChars="200"/>
              <w:rPr>
                <w:rFonts w:hint="default" w:eastAsia="宋体"/>
                <w:color w:val="auto"/>
                <w:kern w:val="0"/>
                <w:sz w:val="24"/>
                <w:highlight w:val="none"/>
                <w:lang w:val="en-US" w:eastAsia="zh-CN"/>
              </w:rPr>
            </w:pPr>
            <w:r>
              <w:rPr>
                <w:rFonts w:hint="eastAsia" w:ascii="Times New Roman" w:hAnsi="Times New Roman" w:eastAsia="宋体" w:cs="Times New Roman"/>
                <w:color w:val="auto"/>
                <w:kern w:val="0"/>
                <w:sz w:val="24"/>
                <w:highlight w:val="none"/>
                <w:u w:val="none"/>
                <w:lang w:eastAsia="zh-CN"/>
              </w:rPr>
              <w:t>根据</w:t>
            </w:r>
            <w:r>
              <w:rPr>
                <w:rFonts w:hint="eastAsia" w:ascii="Times New Roman" w:hAnsi="Times New Roman" w:eastAsia="宋体" w:cs="Times New Roman"/>
                <w:color w:val="auto"/>
                <w:kern w:val="0"/>
                <w:sz w:val="24"/>
                <w:highlight w:val="none"/>
                <w:u w:val="none"/>
              </w:rPr>
              <w:t>《建设项目环境影响评价分类管理名录》（2021年版）</w:t>
            </w:r>
            <w:r>
              <w:rPr>
                <w:rFonts w:hint="eastAsia" w:ascii="Times New Roman" w:hAnsi="Times New Roman" w:eastAsia="宋体" w:cs="Times New Roman"/>
                <w:color w:val="auto"/>
                <w:kern w:val="0"/>
                <w:sz w:val="24"/>
                <w:highlight w:val="none"/>
                <w:u w:val="none"/>
                <w:lang w:eastAsia="zh-CN"/>
              </w:rPr>
              <w:t>、《建设项目环境影响报告表编制技术指南（生态影响类）（试行）》表</w:t>
            </w:r>
            <w:r>
              <w:rPr>
                <w:rFonts w:hint="eastAsia" w:ascii="Times New Roman" w:hAnsi="Times New Roman" w:eastAsia="宋体" w:cs="Times New Roman"/>
                <w:color w:val="auto"/>
                <w:kern w:val="0"/>
                <w:sz w:val="24"/>
                <w:highlight w:val="none"/>
                <w:u w:val="none"/>
                <w:lang w:val="en-US" w:eastAsia="zh-CN"/>
              </w:rPr>
              <w:t>1 专项评价设置原则表，无须设置专项评价报告。</w:t>
            </w:r>
          </w:p>
        </w:tc>
      </w:tr>
      <w:tr w14:paraId="3B2F7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2032" w:type="dxa"/>
            <w:noWrap w:val="0"/>
            <w:vAlign w:val="center"/>
          </w:tcPr>
          <w:p w14:paraId="0BA482A6">
            <w:pPr>
              <w:adjustRightInd w:val="0"/>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规划情况</w:t>
            </w:r>
          </w:p>
        </w:tc>
        <w:tc>
          <w:tcPr>
            <w:tcW w:w="6838" w:type="dxa"/>
            <w:gridSpan w:val="3"/>
            <w:noWrap w:val="0"/>
            <w:vAlign w:val="center"/>
          </w:tcPr>
          <w:p w14:paraId="7595505A">
            <w:pPr>
              <w:numPr>
                <w:ilvl w:val="0"/>
                <w:numId w:val="3"/>
              </w:numPr>
              <w:autoSpaceDE w:val="0"/>
              <w:autoSpaceDN w:val="0"/>
              <w:adjustRightInd w:val="0"/>
              <w:snapToGrid w:val="0"/>
              <w:spacing w:line="360" w:lineRule="auto"/>
              <w:ind w:firstLine="480" w:firstLineChars="200"/>
              <w:rPr>
                <w:rFonts w:hint="eastAsia"/>
                <w:color w:val="auto"/>
                <w:highlight w:val="none"/>
              </w:rPr>
            </w:pPr>
            <w:r>
              <w:rPr>
                <w:rFonts w:hint="eastAsia" w:ascii="Times New Roman" w:hAnsi="Times New Roman" w:eastAsia="宋体" w:cs="Times New Roman"/>
                <w:color w:val="auto"/>
                <w:kern w:val="0"/>
                <w:sz w:val="24"/>
                <w:highlight w:val="none"/>
                <w:u w:val="none"/>
                <w:lang w:eastAsia="zh-CN"/>
              </w:rPr>
              <w:t>《钦州港总体规划（</w:t>
            </w:r>
            <w:r>
              <w:rPr>
                <w:rFonts w:hint="eastAsia" w:ascii="Times New Roman" w:hAnsi="Times New Roman" w:eastAsia="宋体" w:cs="Times New Roman"/>
                <w:color w:val="auto"/>
                <w:kern w:val="0"/>
                <w:sz w:val="24"/>
                <w:highlight w:val="none"/>
                <w:u w:val="none"/>
                <w:lang w:val="en-US" w:eastAsia="zh-CN"/>
              </w:rPr>
              <w:t>2035年</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2020年9月20日取得《广西壮族自治区人民政府关于钦州港总体规划（2035）的批复》（</w:t>
            </w:r>
            <w:r>
              <w:rPr>
                <w:rFonts w:hint="eastAsia" w:ascii="Times New Roman" w:hAnsi="Times New Roman" w:eastAsia="宋体" w:cs="Times New Roman"/>
                <w:color w:val="auto"/>
                <w:kern w:val="0"/>
                <w:sz w:val="24"/>
                <w:highlight w:val="none"/>
                <w:u w:val="none"/>
                <w:lang w:eastAsia="zh-CN"/>
              </w:rPr>
              <w:t>桂政函〔2023〕18号</w:t>
            </w:r>
            <w:r>
              <w:rPr>
                <w:rFonts w:hint="eastAsia" w:ascii="Times New Roman" w:hAnsi="Times New Roman" w:eastAsia="宋体" w:cs="Times New Roman"/>
                <w:color w:val="auto"/>
                <w:kern w:val="0"/>
                <w:sz w:val="24"/>
                <w:highlight w:val="none"/>
                <w:u w:val="none"/>
                <w:lang w:val="en-US" w:eastAsia="zh-CN"/>
              </w:rPr>
              <w:t>）。</w:t>
            </w:r>
          </w:p>
          <w:p w14:paraId="7758FA13">
            <w:pPr>
              <w:numPr>
                <w:ilvl w:val="0"/>
                <w:numId w:val="3"/>
              </w:numPr>
              <w:autoSpaceDE w:val="0"/>
              <w:autoSpaceDN w:val="0"/>
              <w:adjustRightInd w:val="0"/>
              <w:snapToGrid w:val="0"/>
              <w:spacing w:line="360" w:lineRule="auto"/>
              <w:ind w:firstLine="480" w:firstLineChars="200"/>
              <w:rPr>
                <w:rFonts w:hint="eastAsia"/>
                <w:color w:val="auto"/>
                <w:highlight w:val="none"/>
              </w:rPr>
            </w:pPr>
            <w:r>
              <w:rPr>
                <w:rFonts w:hint="eastAsia" w:ascii="Times New Roman" w:hAnsi="Times New Roman" w:eastAsia="宋体" w:cs="Times New Roman"/>
                <w:color w:val="auto"/>
                <w:kern w:val="0"/>
                <w:sz w:val="24"/>
                <w:highlight w:val="none"/>
                <w:u w:val="none"/>
                <w:lang w:val="en-US" w:eastAsia="zh-CN"/>
              </w:rPr>
              <w:t>《北部湾港总体规划（2035年）》，2023年1月6日通过交通运输部、广西壮族自治区人民政府联合审查。</w:t>
            </w:r>
          </w:p>
        </w:tc>
      </w:tr>
      <w:tr w14:paraId="2B9C6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1589C497">
            <w:pPr>
              <w:adjustRightInd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规划环境影响</w:t>
            </w:r>
          </w:p>
          <w:p w14:paraId="01029F6C">
            <w:pPr>
              <w:adjustRightInd w:val="0"/>
              <w:snapToGrid w:val="0"/>
              <w:spacing w:line="360" w:lineRule="auto"/>
              <w:jc w:val="center"/>
              <w:rPr>
                <w:rFonts w:hint="eastAsia" w:ascii="宋体" w:hAnsi="宋体" w:cs="宋体"/>
                <w:color w:val="auto"/>
                <w:kern w:val="0"/>
                <w:sz w:val="24"/>
                <w:highlight w:val="none"/>
              </w:rPr>
            </w:pPr>
            <w:r>
              <w:rPr>
                <w:rFonts w:hint="eastAsia" w:ascii="宋体" w:hAnsi="宋体" w:cs="宋体"/>
                <w:color w:val="auto"/>
                <w:sz w:val="24"/>
                <w:highlight w:val="none"/>
              </w:rPr>
              <w:t>评价情况</w:t>
            </w:r>
          </w:p>
        </w:tc>
        <w:tc>
          <w:tcPr>
            <w:tcW w:w="6838" w:type="dxa"/>
            <w:gridSpan w:val="3"/>
            <w:noWrap w:val="0"/>
            <w:vAlign w:val="center"/>
          </w:tcPr>
          <w:p w14:paraId="67951111">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highlight w:val="none"/>
                <w:u w:val="none"/>
                <w:lang w:eastAsia="zh-CN"/>
              </w:rPr>
            </w:pPr>
            <w:r>
              <w:rPr>
                <w:rFonts w:hint="eastAsia" w:ascii="Times New Roman" w:hAnsi="Times New Roman" w:eastAsia="宋体" w:cs="Times New Roman"/>
                <w:color w:val="auto"/>
                <w:kern w:val="0"/>
                <w:sz w:val="24"/>
                <w:highlight w:val="none"/>
                <w:u w:val="none"/>
                <w:lang w:val="en-US" w:eastAsia="zh-CN"/>
              </w:rPr>
              <w:t>1.</w:t>
            </w:r>
            <w:r>
              <w:rPr>
                <w:rFonts w:hint="eastAsia" w:ascii="Times New Roman" w:hAnsi="Times New Roman" w:eastAsia="宋体" w:cs="Times New Roman"/>
                <w:color w:val="auto"/>
                <w:kern w:val="0"/>
                <w:sz w:val="24"/>
                <w:highlight w:val="none"/>
                <w:u w:val="none"/>
                <w:lang w:eastAsia="zh-CN"/>
              </w:rPr>
              <w:t>《钦州港总体规划（</w:t>
            </w:r>
            <w:r>
              <w:rPr>
                <w:rFonts w:hint="eastAsia" w:ascii="Times New Roman" w:hAnsi="Times New Roman" w:eastAsia="宋体" w:cs="Times New Roman"/>
                <w:color w:val="auto"/>
                <w:kern w:val="0"/>
                <w:sz w:val="24"/>
                <w:highlight w:val="none"/>
                <w:u w:val="none"/>
                <w:lang w:val="en-US" w:eastAsia="zh-CN"/>
              </w:rPr>
              <w:t>2035年</w:t>
            </w:r>
            <w:r>
              <w:rPr>
                <w:rFonts w:hint="eastAsia" w:ascii="Times New Roman" w:hAnsi="Times New Roman" w:eastAsia="宋体" w:cs="Times New Roman"/>
                <w:color w:val="auto"/>
                <w:kern w:val="0"/>
                <w:sz w:val="24"/>
                <w:highlight w:val="none"/>
                <w:u w:val="none"/>
                <w:lang w:eastAsia="zh-CN"/>
              </w:rPr>
              <w:t>）环境影响报告书》，</w:t>
            </w:r>
            <w:r>
              <w:rPr>
                <w:rFonts w:hint="eastAsia" w:ascii="Times New Roman" w:hAnsi="Times New Roman" w:eastAsia="宋体" w:cs="Times New Roman"/>
                <w:color w:val="auto"/>
                <w:kern w:val="0"/>
                <w:sz w:val="24"/>
                <w:highlight w:val="none"/>
                <w:u w:val="none"/>
                <w:lang w:val="en-US" w:eastAsia="zh-CN"/>
              </w:rPr>
              <w:t>2020年2月27日取得《广西壮族自治区生态环境厅关于印发钦州港总体规划（2035年）环境影响报告书审查意见的函》（</w:t>
            </w:r>
            <w:r>
              <w:rPr>
                <w:rFonts w:hint="eastAsia" w:ascii="Times New Roman" w:hAnsi="Times New Roman" w:eastAsia="宋体" w:cs="Times New Roman"/>
                <w:color w:val="auto"/>
                <w:kern w:val="0"/>
                <w:sz w:val="24"/>
                <w:highlight w:val="none"/>
                <w:u w:val="none"/>
                <w:lang w:eastAsia="zh-CN"/>
              </w:rPr>
              <w:t>桂环函〔</w:t>
            </w:r>
            <w:r>
              <w:rPr>
                <w:rFonts w:hint="eastAsia" w:ascii="Times New Roman" w:hAnsi="Times New Roman" w:eastAsia="宋体" w:cs="Times New Roman"/>
                <w:color w:val="auto"/>
                <w:kern w:val="0"/>
                <w:sz w:val="24"/>
                <w:highlight w:val="none"/>
                <w:u w:val="none"/>
                <w:lang w:val="en-US" w:eastAsia="zh-CN"/>
              </w:rPr>
              <w:t>2020</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264</w:t>
            </w:r>
            <w:r>
              <w:rPr>
                <w:rFonts w:hint="eastAsia" w:ascii="Times New Roman" w:hAnsi="Times New Roman" w:eastAsia="宋体" w:cs="Times New Roman"/>
                <w:color w:val="auto"/>
                <w:kern w:val="0"/>
                <w:sz w:val="24"/>
                <w:highlight w:val="none"/>
                <w:u w:val="none"/>
                <w:lang w:eastAsia="zh-CN"/>
              </w:rPr>
              <w:t>号</w:t>
            </w:r>
            <w:r>
              <w:rPr>
                <w:rFonts w:hint="eastAsia"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eastAsia="zh-CN"/>
              </w:rPr>
              <w:t>；</w:t>
            </w:r>
          </w:p>
          <w:p w14:paraId="0A7173A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2.《北部湾港总体规划（2035年）环境影响报告书》，2023年11月取得《生态环境部关于北部湾港总体规划（2035年）环境影响报告书的审查意见》（</w:t>
            </w:r>
            <w:r>
              <w:rPr>
                <w:rFonts w:hint="eastAsia" w:ascii="Times New Roman" w:hAnsi="Times New Roman" w:eastAsia="宋体" w:cs="Times New Roman"/>
                <w:color w:val="auto"/>
                <w:kern w:val="0"/>
                <w:sz w:val="24"/>
                <w:highlight w:val="none"/>
                <w:u w:val="none"/>
                <w:lang w:eastAsia="zh-CN"/>
              </w:rPr>
              <w:t>环审〔</w:t>
            </w:r>
            <w:r>
              <w:rPr>
                <w:rFonts w:hint="eastAsia" w:ascii="Times New Roman" w:hAnsi="Times New Roman" w:eastAsia="宋体" w:cs="Times New Roman"/>
                <w:color w:val="auto"/>
                <w:kern w:val="0"/>
                <w:sz w:val="24"/>
                <w:highlight w:val="none"/>
                <w:u w:val="none"/>
                <w:lang w:val="en-US" w:eastAsia="zh-CN"/>
              </w:rPr>
              <w:t>2023</w:t>
            </w:r>
            <w:r>
              <w:rPr>
                <w:rFonts w:hint="eastAsia" w:ascii="Times New Roman" w:hAnsi="Times New Roman" w:eastAsia="宋体" w:cs="Times New Roman"/>
                <w:color w:val="auto"/>
                <w:kern w:val="0"/>
                <w:sz w:val="24"/>
                <w:highlight w:val="none"/>
                <w:u w:val="none"/>
                <w:lang w:eastAsia="zh-CN"/>
              </w:rPr>
              <w:t>〕</w:t>
            </w:r>
            <w:r>
              <w:rPr>
                <w:rFonts w:hint="eastAsia" w:ascii="Times New Roman" w:hAnsi="Times New Roman" w:eastAsia="宋体" w:cs="Times New Roman"/>
                <w:color w:val="auto"/>
                <w:kern w:val="0"/>
                <w:sz w:val="24"/>
                <w:highlight w:val="none"/>
                <w:u w:val="none"/>
                <w:lang w:val="en-US" w:eastAsia="zh-CN"/>
              </w:rPr>
              <w:t>125</w:t>
            </w:r>
            <w:r>
              <w:rPr>
                <w:rFonts w:hint="eastAsia" w:ascii="Times New Roman" w:hAnsi="Times New Roman" w:eastAsia="宋体" w:cs="Times New Roman"/>
                <w:color w:val="auto"/>
                <w:kern w:val="0"/>
                <w:sz w:val="24"/>
                <w:highlight w:val="none"/>
                <w:u w:val="none"/>
                <w:lang w:eastAsia="zh-CN"/>
              </w:rPr>
              <w:t>号</w:t>
            </w:r>
            <w:r>
              <w:rPr>
                <w:rFonts w:hint="eastAsia" w:ascii="Times New Roman" w:hAnsi="Times New Roman" w:eastAsia="宋体" w:cs="Times New Roman"/>
                <w:color w:val="auto"/>
                <w:kern w:val="0"/>
                <w:sz w:val="24"/>
                <w:highlight w:val="none"/>
                <w:u w:val="none"/>
                <w:lang w:val="en-US" w:eastAsia="zh-CN"/>
              </w:rPr>
              <w:t>）。</w:t>
            </w:r>
          </w:p>
        </w:tc>
      </w:tr>
      <w:tr w14:paraId="416D0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32" w:type="dxa"/>
            <w:noWrap w:val="0"/>
            <w:vAlign w:val="center"/>
          </w:tcPr>
          <w:p w14:paraId="4153054D">
            <w:pPr>
              <w:autoSpaceDE w:val="0"/>
              <w:autoSpaceDN w:val="0"/>
              <w:adjustRightInd w:val="0"/>
              <w:snapToGrid w:val="0"/>
              <w:spacing w:line="360" w:lineRule="auto"/>
              <w:jc w:val="center"/>
              <w:rPr>
                <w:rFonts w:eastAsia="黑体"/>
                <w:color w:val="auto"/>
                <w:kern w:val="0"/>
                <w:sz w:val="24"/>
                <w:highlight w:val="none"/>
              </w:rPr>
            </w:pPr>
            <w:r>
              <w:rPr>
                <w:rFonts w:hint="eastAsia" w:ascii="宋体" w:hAnsi="宋体" w:cs="宋体"/>
                <w:color w:val="auto"/>
                <w:kern w:val="0"/>
                <w:sz w:val="24"/>
                <w:highlight w:val="none"/>
              </w:rPr>
              <w:t>规划及规划环境影响评价符合性分析</w:t>
            </w:r>
          </w:p>
        </w:tc>
        <w:tc>
          <w:tcPr>
            <w:tcW w:w="6838" w:type="dxa"/>
            <w:gridSpan w:val="3"/>
            <w:noWrap w:val="0"/>
            <w:vAlign w:val="center"/>
          </w:tcPr>
          <w:p w14:paraId="1C51F318">
            <w:pPr>
              <w:pStyle w:val="3"/>
              <w:rPr>
                <w:rFonts w:hint="eastAsia"/>
                <w:color w:val="auto"/>
                <w:highlight w:val="none"/>
                <w:u w:val="none"/>
              </w:rPr>
            </w:pPr>
            <w:r>
              <w:rPr>
                <w:rFonts w:hint="eastAsia"/>
                <w:color w:val="auto"/>
                <w:highlight w:val="none"/>
                <w:u w:val="none"/>
                <w:lang w:val="en-US" w:eastAsia="zh-CN"/>
              </w:rPr>
              <w:t>1.1.1</w:t>
            </w:r>
            <w:r>
              <w:rPr>
                <w:rFonts w:hint="eastAsia"/>
                <w:color w:val="auto"/>
                <w:highlight w:val="none"/>
                <w:u w:val="none"/>
              </w:rPr>
              <w:t>与《</w:t>
            </w:r>
            <w:r>
              <w:rPr>
                <w:rFonts w:hint="eastAsia"/>
                <w:color w:val="auto"/>
                <w:highlight w:val="none"/>
                <w:u w:val="none"/>
                <w:lang w:eastAsia="zh-CN"/>
              </w:rPr>
              <w:t>钦州港总体规划（</w:t>
            </w:r>
            <w:r>
              <w:rPr>
                <w:rFonts w:hint="eastAsia"/>
                <w:color w:val="auto"/>
                <w:highlight w:val="none"/>
                <w:u w:val="none"/>
                <w:lang w:val="en-US" w:eastAsia="zh-CN"/>
              </w:rPr>
              <w:t>2035年</w:t>
            </w:r>
            <w:r>
              <w:rPr>
                <w:rFonts w:hint="eastAsia"/>
                <w:color w:val="auto"/>
                <w:highlight w:val="none"/>
                <w:u w:val="none"/>
                <w:lang w:eastAsia="zh-CN"/>
              </w:rPr>
              <w:t>）</w:t>
            </w:r>
            <w:r>
              <w:rPr>
                <w:rFonts w:hint="eastAsia"/>
                <w:color w:val="auto"/>
                <w:highlight w:val="none"/>
                <w:u w:val="none"/>
              </w:rPr>
              <w:t>》规划环评及审查意见相符性分析</w:t>
            </w:r>
          </w:p>
          <w:p w14:paraId="1CEBABCA">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根据《钦州港总体规划（2035 年）》，金谷港区作为钦州港 3 个重点发展枢纽港区之一，定位为以煤炭、原油、成品油和各类液体化工品运输为主的大型专业化港区，规划为石油及液体化工品转运基地，将发展成为我国主要的油品转运和临港加工产业基地，兼顾散杂货中转运输。</w:t>
            </w:r>
          </w:p>
          <w:p w14:paraId="04B6E203">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钦州港金谷港区金鼓江作业区16#、17#泊位为《钦州港总体规划（2035 年）》中金鼓江作业区规划泊位，货种为液体化学品，岸线利用及水域使用符合《钦州港总体规划（2035年）》要求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项目对码头回旋水域与航道重叠部分进行维护性疏浚，不改变</w:t>
            </w:r>
            <w:r>
              <w:rPr>
                <w:rFonts w:hint="eastAsia" w:ascii="Times New Roman" w:hAnsi="Times New Roman" w:eastAsia="宋体" w:cs="Times New Roman"/>
                <w:color w:val="auto"/>
                <w:sz w:val="24"/>
                <w:highlight w:val="none"/>
              </w:rPr>
              <w:t>钦州港金谷港区金鼓江作业区16#、17#泊位</w:t>
            </w:r>
            <w:r>
              <w:rPr>
                <w:rFonts w:hint="eastAsia" w:ascii="Times New Roman" w:hAnsi="Times New Roman" w:eastAsia="宋体" w:cs="Times New Roman"/>
                <w:color w:val="auto"/>
                <w:sz w:val="24"/>
                <w:highlight w:val="none"/>
                <w:lang w:val="en-US" w:eastAsia="zh-CN"/>
              </w:rPr>
              <w:t>性质，项目选择过往船只较少的时间段进行施工，施工期做好通航保障及安全警戒工作，对过往船只影响不大。项目建成</w:t>
            </w:r>
            <w:r>
              <w:rPr>
                <w:rFonts w:hint="eastAsia" w:cs="Times New Roman"/>
                <w:color w:val="auto"/>
                <w:sz w:val="24"/>
                <w:highlight w:val="none"/>
                <w:lang w:val="en-US" w:eastAsia="zh-CN"/>
              </w:rPr>
              <w:t>后将</w:t>
            </w:r>
            <w:r>
              <w:rPr>
                <w:rFonts w:hint="eastAsia" w:ascii="Times New Roman" w:hAnsi="Times New Roman" w:eastAsia="宋体" w:cs="Times New Roman"/>
                <w:color w:val="auto"/>
                <w:sz w:val="24"/>
                <w:highlight w:val="none"/>
                <w:lang w:val="en-US" w:eastAsia="zh-CN"/>
              </w:rPr>
              <w:t>改善区域水深条件，有利于过往船只及进港船只航行，符合《钦州港总体规划（2035年）》要求。</w:t>
            </w:r>
          </w:p>
          <w:p w14:paraId="6751B297">
            <w:pPr>
              <w:pStyle w:val="3"/>
              <w:numPr>
                <w:ilvl w:val="0"/>
                <w:numId w:val="0"/>
              </w:numPr>
              <w:rPr>
                <w:rFonts w:hint="eastAsia"/>
                <w:color w:val="auto"/>
                <w:highlight w:val="none"/>
                <w:u w:val="none" w:color="auto"/>
              </w:rPr>
            </w:pPr>
            <w:r>
              <w:rPr>
                <w:rFonts w:hint="eastAsia"/>
                <w:color w:val="auto"/>
                <w:highlight w:val="none"/>
                <w:u w:val="none" w:color="auto"/>
                <w:lang w:val="en-US" w:eastAsia="zh-CN"/>
              </w:rPr>
              <w:t>1.1.2</w:t>
            </w:r>
            <w:r>
              <w:rPr>
                <w:rFonts w:hint="eastAsia"/>
                <w:color w:val="auto"/>
                <w:highlight w:val="none"/>
                <w:u w:val="none" w:color="auto"/>
              </w:rPr>
              <w:t>与《</w:t>
            </w:r>
            <w:r>
              <w:rPr>
                <w:rFonts w:hint="eastAsia"/>
                <w:color w:val="auto"/>
                <w:highlight w:val="none"/>
                <w:u w:val="none" w:color="auto"/>
                <w:lang w:eastAsia="zh-CN"/>
              </w:rPr>
              <w:t>北部湾港总体规划（</w:t>
            </w:r>
            <w:r>
              <w:rPr>
                <w:rFonts w:hint="eastAsia"/>
                <w:color w:val="auto"/>
                <w:highlight w:val="none"/>
                <w:u w:val="none" w:color="auto"/>
                <w:lang w:val="en-US" w:eastAsia="zh-CN"/>
              </w:rPr>
              <w:t>2035年</w:t>
            </w:r>
            <w:r>
              <w:rPr>
                <w:rFonts w:hint="eastAsia"/>
                <w:color w:val="auto"/>
                <w:highlight w:val="none"/>
                <w:u w:val="none" w:color="auto"/>
                <w:lang w:eastAsia="zh-CN"/>
              </w:rPr>
              <w:t>）</w:t>
            </w:r>
            <w:r>
              <w:rPr>
                <w:rFonts w:hint="eastAsia"/>
                <w:color w:val="auto"/>
                <w:highlight w:val="none"/>
                <w:u w:val="none" w:color="auto"/>
              </w:rPr>
              <w:t>》</w:t>
            </w:r>
            <w:r>
              <w:rPr>
                <w:rFonts w:hint="eastAsia"/>
                <w:color w:val="auto"/>
                <w:highlight w:val="none"/>
                <w:u w:val="none" w:color="auto"/>
                <w:lang w:eastAsia="zh-CN"/>
              </w:rPr>
              <w:t>、规划环评及审查意见</w:t>
            </w:r>
            <w:r>
              <w:rPr>
                <w:rFonts w:hint="eastAsia"/>
                <w:color w:val="auto"/>
                <w:highlight w:val="none"/>
                <w:u w:val="none" w:color="auto"/>
              </w:rPr>
              <w:t>相符性分析</w:t>
            </w:r>
          </w:p>
          <w:p w14:paraId="68F253A8">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highlight w:val="none"/>
                <w:u w:val="none" w:color="auto"/>
                <w:lang w:val="en-US" w:eastAsia="zh-CN"/>
              </w:rPr>
            </w:pPr>
            <w:r>
              <w:rPr>
                <w:rFonts w:hint="eastAsia" w:ascii="Times New Roman" w:hAnsi="Times New Roman" w:eastAsia="宋体" w:cs="Times New Roman"/>
                <w:b/>
                <w:bCs/>
                <w:color w:val="auto"/>
                <w:sz w:val="24"/>
                <w:highlight w:val="none"/>
                <w:u w:val="none" w:color="auto"/>
                <w:lang w:val="en-US" w:eastAsia="zh-CN"/>
              </w:rPr>
              <w:t>1.《北部湾港总体规划（2035年）》相符性分析</w:t>
            </w:r>
          </w:p>
          <w:p w14:paraId="4C20A33A">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rPr>
              <w:t>《北部湾港总体规划（2035年）》于2023年1月6日通过交通运输部、广西壮族自治区人民政府联合审查，同年于2023年11月取得《生态环境部关于《北部湾港总体规划（2035年）环境影响报告书》的审查意见》（环审〔2023〕125号）</w:t>
            </w: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明确了北部湾港从现在到2035年发展的时间表和路线图，为北部湾港的未来发展擘画蓝图。根据各港区现状基础、区位条件、发展潜力和北部湾港口的性质功能，以及主要运输系统港口布局结论，规划北部湾港形成“一港三域五核五区多港点”的总体格局。“一港”即北部湾港，“三域”包括防城港、钦州、北海三大港域，“五核”为渔澫、企沙、金谷、大榄坪、铁山西五大核心港区，“五区”为企沙南、三墩、石步岭、铁山东、涠洲岛五个其他港区，并结合地方需求布局若干中小港点。</w:t>
            </w:r>
          </w:p>
          <w:p w14:paraId="002E9990">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按照一体化发展、港产城联动协同的目标，规划三大港域主体功能如下：防城港域规划建设大宗能源原材料接卸储存中转基地，钦州港域规划建设集装箱核心枢纽和海河联运枢纽，北海港域以服务临港产业为主，发展邮轮客运。钦州港划分为金谷港区、大榄坪港区、三墩港区等重点发展枢纽港区，以及龙门港点、茅岭港点、平山港点、沙井港点和三娘湾港点等。</w:t>
            </w:r>
          </w:p>
          <w:p w14:paraId="66D5A477">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金谷港区位于钦州湾东岸、金鼓江以北区域，规划主要服务于平陆运河海河联运和临港产业发展，以煤炭、粮食、非金属矿石等干散货和油品、液体化工品运输为主，兼顾件杂货运输，是钦州港域的优化提升区。本项目与《北部湾港总体规划（2035年）环境影响报告书》相符性分析详见表1.1-1。本项目与北部湾港总体规划（2035年）位置关系见图1-1。</w:t>
            </w:r>
          </w:p>
          <w:p w14:paraId="2C920736">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pacing w:val="0"/>
                <w:w w:val="100"/>
                <w:position w:val="0"/>
                <w:highlight w:val="none"/>
                <w:u w:val="none" w:color="auto"/>
                <w:lang w:val="en-US" w:eastAsia="zh-CN"/>
              </w:rPr>
            </w:pPr>
            <w:r>
              <w:rPr>
                <w:rFonts w:hint="eastAsia" w:ascii="Times New Roman" w:hAnsi="Times New Roman" w:eastAsia="宋体" w:cs="Times New Roman"/>
                <w:b/>
                <w:bCs/>
                <w:color w:val="auto"/>
                <w:spacing w:val="0"/>
                <w:w w:val="100"/>
                <w:position w:val="0"/>
                <w:highlight w:val="none"/>
                <w:u w:val="none" w:color="auto"/>
                <w:lang w:val="en-US" w:eastAsia="zh-CN"/>
              </w:rPr>
              <w:t>表1.1-1 项目与《北部湾港总体规划（2035）环境影响报告书》相符性分析</w:t>
            </w:r>
          </w:p>
          <w:tbl>
            <w:tblPr>
              <w:tblStyle w:val="2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80"/>
              <w:gridCol w:w="5192"/>
              <w:gridCol w:w="1740"/>
            </w:tblGrid>
            <w:tr w14:paraId="166BD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410187C2">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ascii="Times New Roman" w:hAnsi="Times New Roman" w:eastAsia="宋体" w:cs="Times New Roman"/>
                      <w:b/>
                      <w:bCs/>
                      <w:color w:val="auto"/>
                      <w:sz w:val="21"/>
                      <w:szCs w:val="21"/>
                      <w:highlight w:val="none"/>
                      <w:u w:val="none" w:color="auto"/>
                      <w:lang w:eastAsia="zh-CN"/>
                    </w:rPr>
                  </w:pPr>
                  <w:r>
                    <w:rPr>
                      <w:rFonts w:hint="eastAsia" w:ascii="Times New Roman" w:hAnsi="Times New Roman" w:eastAsia="宋体" w:cs="Times New Roman"/>
                      <w:b/>
                      <w:bCs/>
                      <w:color w:val="auto"/>
                      <w:sz w:val="21"/>
                      <w:szCs w:val="21"/>
                      <w:highlight w:val="none"/>
                      <w:u w:val="none" w:color="auto"/>
                      <w:lang w:val="en-US" w:eastAsia="zh-CN"/>
                    </w:rPr>
                    <w:t>序号</w:t>
                  </w:r>
                </w:p>
              </w:tc>
              <w:tc>
                <w:tcPr>
                  <w:tcW w:w="3549" w:type="pct"/>
                  <w:tcBorders>
                    <w:tl2br w:val="nil"/>
                    <w:tr2bl w:val="nil"/>
                  </w:tcBorders>
                  <w:noWrap w:val="0"/>
                  <w:vAlign w:val="center"/>
                </w:tcPr>
                <w:p w14:paraId="618DAB59">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规划环评相关要求</w:t>
                  </w:r>
                </w:p>
              </w:tc>
              <w:tc>
                <w:tcPr>
                  <w:tcW w:w="1189" w:type="pct"/>
                  <w:tcBorders>
                    <w:tl2br w:val="nil"/>
                    <w:tr2bl w:val="nil"/>
                  </w:tcBorders>
                  <w:noWrap w:val="0"/>
                  <w:vAlign w:val="center"/>
                </w:tcPr>
                <w:p w14:paraId="54089FAF">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本项目</w:t>
                  </w:r>
                </w:p>
              </w:tc>
            </w:tr>
            <w:tr w14:paraId="1F8E9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4C40D5F2">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p>
              </w:tc>
              <w:tc>
                <w:tcPr>
                  <w:tcW w:w="3549" w:type="pct"/>
                  <w:tcBorders>
                    <w:tl2br w:val="nil"/>
                    <w:tr2bl w:val="nil"/>
                  </w:tcBorders>
                  <w:noWrap w:val="0"/>
                  <w:vAlign w:val="center"/>
                </w:tcPr>
                <w:p w14:paraId="4BA22A3D">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新建码头应按照相关标准规范要求配备溢油应急能力，其中渔澫港区第五作业区、企沙港区云约江作业区、金谷港区鹰岭作业区和金鼓江作业区、三墩港区、铁山西港区啄罗作业区、涠洲岛港区为液体散货码头，应强化溢油和化学品应急物资能力配备。各码头单位应急资源配备要求如下：油品泊位应根据《港口溢油应急设备配备要求》（JT/T 451-2017）表5配备应急物资。散装液体污染危害性货物码头除按要求配备溢油应急设施、设备和物资外，按照《港口溢油应急设备配备要求》（JT/T 451-2017）表2、表3要求配备污染危害性货物泄漏事故应急设施、设备和物资。</w:t>
                  </w:r>
                </w:p>
              </w:tc>
              <w:tc>
                <w:tcPr>
                  <w:tcW w:w="1189" w:type="pct"/>
                  <w:tcBorders>
                    <w:tl2br w:val="nil"/>
                    <w:tr2bl w:val="nil"/>
                  </w:tcBorders>
                  <w:noWrap w:val="0"/>
                  <w:vAlign w:val="center"/>
                </w:tcPr>
                <w:p w14:paraId="076AF8DC">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符合。本项目为码头回旋水域维护性疏浚工程，建设单位已按照《港口溢油应急设备配备要求》（JT/T 451-2017）表2、表3要求配备污染危害性货物泄漏事故应急设施、设备和物资。</w:t>
                  </w:r>
                </w:p>
              </w:tc>
            </w:tr>
            <w:tr w14:paraId="07DF1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26552749">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c>
                <w:tcPr>
                  <w:tcW w:w="3549" w:type="pct"/>
                  <w:tcBorders>
                    <w:tl2br w:val="nil"/>
                    <w:tr2bl w:val="nil"/>
                  </w:tcBorders>
                  <w:noWrap w:val="0"/>
                  <w:vAlign w:val="center"/>
                </w:tcPr>
                <w:p w14:paraId="5345EAE0">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建立区域协同联动和应急演练机制，港区与辖区内具有船舶泄漏、火灾应急设施和救援队伍的单位建立联防制度，建立区域溢油和化学品应急联动机制，定期开展培训和联合演练。渔澫港区第五作业区、企沙港区云约江作业区、金谷港区鹰岭作业区和金鼓江作业区、三墩港区、铁山西港区啄罗作业区、涠洲岛港区液体散货码头公司，所有新建液体散货码头均应及时制定溢油及化学品应急预案。</w:t>
                  </w:r>
                </w:p>
              </w:tc>
              <w:tc>
                <w:tcPr>
                  <w:tcW w:w="1189" w:type="pct"/>
                  <w:tcBorders>
                    <w:tl2br w:val="nil"/>
                    <w:tr2bl w:val="nil"/>
                  </w:tcBorders>
                  <w:noWrap w:val="0"/>
                  <w:vAlign w:val="center"/>
                </w:tcPr>
                <w:p w14:paraId="1BC72824">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符合。本项目为回旋水域维护性疏浚工程，建设单位已制定溢油及化学品应急预案，建立区域联动和应急演练机制，定期开展培训和联合演练。</w:t>
                  </w:r>
                </w:p>
              </w:tc>
            </w:tr>
            <w:tr w14:paraId="41B00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60" w:type="pct"/>
                  <w:tcBorders>
                    <w:tl2br w:val="nil"/>
                    <w:tr2bl w:val="nil"/>
                  </w:tcBorders>
                  <w:noWrap w:val="0"/>
                  <w:vAlign w:val="center"/>
                </w:tcPr>
                <w:p w14:paraId="46212D2C">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w:t>
                  </w:r>
                </w:p>
              </w:tc>
              <w:tc>
                <w:tcPr>
                  <w:tcW w:w="3549" w:type="pct"/>
                  <w:tcBorders>
                    <w:tl2br w:val="nil"/>
                    <w:tr2bl w:val="nil"/>
                  </w:tcBorders>
                  <w:noWrap w:val="0"/>
                  <w:vAlign w:val="center"/>
                </w:tcPr>
                <w:p w14:paraId="3459D456">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建议北海市、钦州市、防城港市加快辖区的化学品应急反应能力的建设，各危化企业应参照《危险化学品单位应急救援物资配备标准》（GB 30077-2019）配备危险化学品应急救援物资。涉及危化品运输码头企业应按照《港口溢油应急设备配备要求》（JT/T 451-2017）表2、表3要求配备污染危害性货物泄漏事故应急设施、设备和物资。同时政府设备库、船舶污染企业对危化品应急物资进行适当补充。应急物资针对主要危险品货种配备相应的大气、水质监测设备、防治化学品在水中扩散和蒸发设备等。此外，为了有效防范危险化学品在运输、装卸、停泊中发生的泄漏事故，保障港区内危险化学品码头作业、危险化学品船舶运输以及人民群众生命、财产安全，建议港区也应进一步加强危化品应急设备及物资的储备。</w:t>
                  </w:r>
                </w:p>
              </w:tc>
              <w:tc>
                <w:tcPr>
                  <w:tcW w:w="1189" w:type="pct"/>
                  <w:tcBorders>
                    <w:tl2br w:val="nil"/>
                    <w:tr2bl w:val="nil"/>
                  </w:tcBorders>
                  <w:noWrap w:val="0"/>
                  <w:vAlign w:val="center"/>
                </w:tcPr>
                <w:p w14:paraId="4F58CB66">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符合。本项目建设单位已按照《港口溢油应急设备配备要求》（JT/T 451-2017）表2、表3要求配备污染危害性货物泄漏事故应急设施、设备和物资。</w:t>
                  </w:r>
                </w:p>
              </w:tc>
            </w:tr>
          </w:tbl>
          <w:p w14:paraId="134072AB">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p>
          <w:p w14:paraId="2E62241D">
            <w:pPr>
              <w:autoSpaceDE w:val="0"/>
              <w:autoSpaceDN w:val="0"/>
              <w:adjustRightInd w:val="0"/>
              <w:snapToGrid w:val="0"/>
              <w:spacing w:line="360" w:lineRule="auto"/>
              <w:rPr>
                <w:rFonts w:hint="eastAsia" w:ascii="Times New Roman" w:hAnsi="Times New Roman" w:eastAsia="宋体" w:cs="Times New Roman"/>
                <w:color w:val="auto"/>
                <w:sz w:val="24"/>
                <w:highlight w:val="none"/>
                <w:lang w:val="en-US"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1202055</wp:posOffset>
                      </wp:positionH>
                      <wp:positionV relativeFrom="paragraph">
                        <wp:posOffset>1075690</wp:posOffset>
                      </wp:positionV>
                      <wp:extent cx="618490" cy="292735"/>
                      <wp:effectExtent l="133350" t="6350" r="10160" b="291465"/>
                      <wp:wrapNone/>
                      <wp:docPr id="11" name="矩形标注 11"/>
                      <wp:cNvGraphicFramePr/>
                      <a:graphic xmlns:a="http://schemas.openxmlformats.org/drawingml/2006/main">
                        <a:graphicData uri="http://schemas.microsoft.com/office/word/2010/wordprocessingShape">
                          <wps:wsp>
                            <wps:cNvSpPr/>
                            <wps:spPr>
                              <a:xfrm>
                                <a:off x="2087880" y="4026535"/>
                                <a:ext cx="618490" cy="292735"/>
                              </a:xfrm>
                              <a:prstGeom prst="wedgeRectCallout">
                                <a:avLst>
                                  <a:gd name="adj1" fmla="val -70533"/>
                                  <a:gd name="adj2" fmla="val 146746"/>
                                </a:avLst>
                              </a:prstGeom>
                              <a:solidFill>
                                <a:srgbClr val="FFFFFF"/>
                              </a:solidFill>
                              <a:ln w="12700" cap="flat" cmpd="sng" algn="ctr">
                                <a:solidFill>
                                  <a:srgbClr val="FF0000"/>
                                </a:solidFill>
                                <a:prstDash val="solid"/>
                              </a:ln>
                              <a:effectLst/>
                            </wps:spPr>
                            <wps:txbx>
                              <w:txbxContent>
                                <w:p w14:paraId="5D15998F">
                                  <w:pPr>
                                    <w:ind w:firstLine="0" w:firstLineChars="0"/>
                                    <w:rPr>
                                      <w:b/>
                                      <w:bCs/>
                                      <w:sz w:val="21"/>
                                      <w:szCs w:val="21"/>
                                    </w:rPr>
                                  </w:pPr>
                                  <w:r>
                                    <w:rPr>
                                      <w:rFonts w:hint="eastAsia"/>
                                      <w:b/>
                                      <w:bCs/>
                                      <w:sz w:val="21"/>
                                      <w:szCs w:val="21"/>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4.65pt;margin-top:84.7pt;height:23.05pt;width:48.7pt;z-index:251659264;v-text-anchor:middle;mso-width-relative:page;mso-height-relative:page;" fillcolor="#FFFFFF" filled="t" stroked="t" coordsize="21600,21600" o:gfxdata="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5t6TpNcAAAALAQAADwAAAAAAAAABACAAAAAiAAAA&#10;ZHJzL2Rvd25yZXYueG1sUEsBAhQAFAAAAAgAh07iQMWlGUmzAgAAaAUAAA4AAAAAAAAAAQAgAAAA&#10;JgEAAGRycy9lMm9Eb2MueG1sUEsFBgAAAAAGAAYAWQEAAEsGAAAAAA==&#10;" adj="-4435,42497">
                      <v:fill on="t" focussize="0,0"/>
                      <v:stroke weight="1pt" color="#FF0000" joinstyle="round"/>
                      <v:imagedata o:title=""/>
                      <o:lock v:ext="edit" aspectratio="f"/>
                      <v:textbox>
                        <w:txbxContent>
                          <w:p w14:paraId="5D15998F">
                            <w:pPr>
                              <w:ind w:firstLine="0" w:firstLineChars="0"/>
                              <w:rPr>
                                <w:b/>
                                <w:bCs/>
                                <w:sz w:val="21"/>
                                <w:szCs w:val="21"/>
                              </w:rPr>
                            </w:pPr>
                            <w:r>
                              <w:rPr>
                                <w:rFonts w:hint="eastAsia"/>
                                <w:b/>
                                <w:bCs/>
                                <w:sz w:val="21"/>
                                <w:szCs w:val="21"/>
                              </w:rPr>
                              <w:t>本项目</w:t>
                            </w:r>
                          </w:p>
                        </w:txbxContent>
                      </v:textbox>
                    </v:shape>
                  </w:pict>
                </mc:Fallback>
              </mc:AlternateContent>
            </w:r>
            <w:r>
              <w:rPr>
                <w:color w:val="auto"/>
                <w:highlight w:val="none"/>
              </w:rPr>
              <w:drawing>
                <wp:inline distT="0" distB="0" distL="114300" distR="114300">
                  <wp:extent cx="4646295" cy="3756025"/>
                  <wp:effectExtent l="0" t="0" r="1905" b="15875"/>
                  <wp:docPr id="1" name="图片 167" descr="20 金谷港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7" descr="20 金谷港区规划图"/>
                          <pic:cNvPicPr>
                            <a:picLocks noChangeAspect="1"/>
                          </pic:cNvPicPr>
                        </pic:nvPicPr>
                        <pic:blipFill>
                          <a:blip r:embed="rId11"/>
                          <a:stretch>
                            <a:fillRect/>
                          </a:stretch>
                        </pic:blipFill>
                        <pic:spPr>
                          <a:xfrm>
                            <a:off x="0" y="0"/>
                            <a:ext cx="4646295" cy="3756025"/>
                          </a:xfrm>
                          <a:prstGeom prst="rect">
                            <a:avLst/>
                          </a:prstGeom>
                          <a:noFill/>
                          <a:ln>
                            <a:noFill/>
                          </a:ln>
                        </pic:spPr>
                      </pic:pic>
                    </a:graphicData>
                  </a:graphic>
                </wp:inline>
              </w:drawing>
            </w:r>
          </w:p>
          <w:p w14:paraId="70C4AA20">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eastAsia" w:eastAsia="宋体"/>
                <w:b/>
                <w:bCs/>
                <w:color w:val="auto"/>
                <w:highlight w:val="none"/>
                <w:u w:val="none"/>
                <w:lang w:val="en-US" w:eastAsia="zh-CN"/>
              </w:rPr>
            </w:pPr>
            <w:r>
              <w:rPr>
                <w:rFonts w:hint="eastAsia" w:eastAsia="宋体"/>
                <w:b/>
                <w:bCs/>
                <w:color w:val="auto"/>
                <w:highlight w:val="none"/>
                <w:u w:val="none"/>
                <w:lang w:val="en-US" w:eastAsia="zh-CN"/>
              </w:rPr>
              <w:t>图1-1本项目与北部湾港总体规划（2035年）位置关系图</w:t>
            </w:r>
          </w:p>
          <w:p w14:paraId="2BC7C24D">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none"/>
                <w:lang w:val="en-US" w:eastAsia="zh-CN"/>
              </w:rPr>
              <w:t>本项目为港池和回旋水域维护性疏浚工程，项目建设有利</w:t>
            </w:r>
            <w:r>
              <w:rPr>
                <w:rFonts w:hint="eastAsia" w:ascii="Times New Roman" w:hAnsi="Times New Roman" w:eastAsia="宋体" w:cs="Times New Roman"/>
                <w:color w:val="auto"/>
                <w:sz w:val="24"/>
                <w:highlight w:val="none"/>
                <w:lang w:val="en-US" w:eastAsia="zh-CN"/>
              </w:rPr>
              <w:t>于改善区域航行条件，不改变钦州港金谷港区金鼓江作业区16#、17#泊位岸线长度，水源范围和泊位功能、吞吐量等，仅通过对回旋水域进行疏浚，改善区域水深条件，以满足船舶航行，符合《北部湾总体规划（2035年）》的要求。</w:t>
            </w:r>
          </w:p>
          <w:p w14:paraId="612CDBB0">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2.规划环评及规划环评审查意见相符性</w:t>
            </w:r>
          </w:p>
          <w:p w14:paraId="7DB90936">
            <w:pPr>
              <w:autoSpaceDE w:val="0"/>
              <w:autoSpaceDN w:val="0"/>
              <w:adjustRightInd w:val="0"/>
              <w:snapToGrid w:val="0"/>
              <w:spacing w:line="360" w:lineRule="auto"/>
              <w:ind w:firstLine="480" w:firstLineChars="200"/>
              <w:rPr>
                <w:rFonts w:hint="eastAsia" w:eastAsia="宋体"/>
                <w:b/>
                <w:bCs/>
                <w:color w:val="auto"/>
                <w:highlight w:val="none"/>
                <w:u w:val="none"/>
                <w:lang w:val="en-US" w:eastAsia="zh-CN"/>
              </w:rPr>
            </w:pPr>
            <w:r>
              <w:rPr>
                <w:rFonts w:hint="eastAsia" w:ascii="Times New Roman" w:hAnsi="Times New Roman" w:eastAsia="宋体" w:cs="Times New Roman"/>
                <w:color w:val="auto"/>
                <w:sz w:val="24"/>
                <w:highlight w:val="none"/>
                <w:lang w:val="en-US" w:eastAsia="zh-CN"/>
              </w:rPr>
              <w:t>中华人民共和国生态环境部于2023年11月13日出具了《关于北部湾港总体规划（2035年）环境影响报告书的审查意见》（环审〔2023〕125号）。本项目与《北部湾港总体规划（2035年）环境影响报告书》审查意见相符性分析详见表1</w:t>
            </w:r>
            <w:r>
              <w:rPr>
                <w:rFonts w:hint="eastAsia" w:ascii="Times New Roman" w:hAnsi="Times New Roman" w:eastAsia="宋体" w:cs="Times New Roman"/>
                <w:color w:val="auto"/>
                <w:sz w:val="24"/>
                <w:highlight w:val="none"/>
                <w:u w:val="none"/>
                <w:lang w:val="en-US" w:eastAsia="zh-CN"/>
              </w:rPr>
              <w:t>.1-2。</w:t>
            </w:r>
          </w:p>
          <w:p w14:paraId="41A582BE">
            <w:pPr>
              <w:keepNext w:val="0"/>
              <w:keepLines w:val="0"/>
              <w:pageBreakBefore w:val="0"/>
              <w:widowControl w:val="0"/>
              <w:kinsoku w:val="0"/>
              <w:wordWrap/>
              <w:overflowPunct/>
              <w:topLinePunct w:val="0"/>
              <w:autoSpaceDE w:val="0"/>
              <w:autoSpaceDN w:val="0"/>
              <w:bidi w:val="0"/>
              <w:adjustRightInd/>
              <w:snapToGrid/>
              <w:jc w:val="center"/>
              <w:textAlignment w:val="baseline"/>
              <w:rPr>
                <w:rFonts w:hint="default"/>
                <w:color w:val="auto"/>
                <w:highlight w:val="none"/>
                <w:lang w:val="en-US" w:eastAsia="zh-CN"/>
              </w:rPr>
            </w:pPr>
            <w:r>
              <w:rPr>
                <w:rFonts w:hint="eastAsia" w:ascii="Times New Roman" w:hAnsi="Times New Roman" w:eastAsia="宋体"/>
                <w:b/>
                <w:bCs/>
                <w:color w:val="auto"/>
                <w:spacing w:val="0"/>
                <w:w w:val="100"/>
                <w:position w:val="0"/>
                <w:highlight w:val="none"/>
                <w:u w:val="none" w:color="auto"/>
                <w:lang w:val="en-US" w:eastAsia="zh-CN"/>
              </w:rPr>
              <w:t>表1.1-2项</w:t>
            </w:r>
            <w:r>
              <w:rPr>
                <w:rFonts w:hint="eastAsia" w:ascii="Times New Roman" w:hAnsi="Times New Roman" w:eastAsia="宋体"/>
                <w:b/>
                <w:bCs/>
                <w:color w:val="auto"/>
                <w:spacing w:val="0"/>
                <w:w w:val="100"/>
                <w:position w:val="0"/>
                <w:highlight w:val="none"/>
                <w:u w:val="none" w:color="auto"/>
              </w:rPr>
              <w:t>目与《</w:t>
            </w:r>
            <w:r>
              <w:rPr>
                <w:rFonts w:hint="eastAsia" w:ascii="Times New Roman" w:hAnsi="Times New Roman" w:eastAsia="宋体"/>
                <w:b/>
                <w:bCs/>
                <w:color w:val="auto"/>
                <w:spacing w:val="0"/>
                <w:w w:val="100"/>
                <w:position w:val="0"/>
                <w:highlight w:val="none"/>
                <w:u w:val="none" w:color="auto"/>
                <w:lang w:val="en-US" w:eastAsia="zh-CN"/>
              </w:rPr>
              <w:t>北部湾</w:t>
            </w:r>
            <w:r>
              <w:rPr>
                <w:rFonts w:hint="eastAsia" w:ascii="Times New Roman" w:hAnsi="Times New Roman" w:eastAsia="宋体"/>
                <w:b/>
                <w:bCs/>
                <w:color w:val="auto"/>
                <w:spacing w:val="0"/>
                <w:w w:val="100"/>
                <w:position w:val="0"/>
                <w:highlight w:val="none"/>
                <w:u w:val="none" w:color="auto"/>
              </w:rPr>
              <w:t>港总体规划</w:t>
            </w:r>
            <w:r>
              <w:rPr>
                <w:rFonts w:hint="eastAsia" w:ascii="Times New Roman" w:hAnsi="Times New Roman" w:eastAsia="宋体"/>
                <w:b/>
                <w:bCs/>
                <w:color w:val="auto"/>
                <w:spacing w:val="0"/>
                <w:w w:val="100"/>
                <w:position w:val="0"/>
                <w:highlight w:val="none"/>
                <w:u w:val="none" w:color="auto"/>
                <w:lang w:eastAsia="zh-CN"/>
              </w:rPr>
              <w:t>（</w:t>
            </w:r>
            <w:r>
              <w:rPr>
                <w:rFonts w:hint="eastAsia" w:ascii="Times New Roman" w:hAnsi="Times New Roman" w:eastAsia="宋体"/>
                <w:b/>
                <w:bCs/>
                <w:color w:val="auto"/>
                <w:spacing w:val="0"/>
                <w:w w:val="100"/>
                <w:position w:val="0"/>
                <w:highlight w:val="none"/>
                <w:u w:val="none" w:color="auto"/>
                <w:lang w:val="en-US" w:eastAsia="zh-CN"/>
              </w:rPr>
              <w:t>2035年</w:t>
            </w:r>
            <w:r>
              <w:rPr>
                <w:rFonts w:hint="eastAsia" w:ascii="Times New Roman" w:hAnsi="Times New Roman" w:eastAsia="宋体"/>
                <w:b/>
                <w:bCs/>
                <w:color w:val="auto"/>
                <w:spacing w:val="0"/>
                <w:w w:val="100"/>
                <w:position w:val="0"/>
                <w:highlight w:val="none"/>
                <w:u w:val="none" w:color="auto"/>
                <w:lang w:eastAsia="zh-CN"/>
              </w:rPr>
              <w:t>）</w:t>
            </w:r>
            <w:r>
              <w:rPr>
                <w:rFonts w:hint="eastAsia" w:ascii="Times New Roman" w:hAnsi="Times New Roman" w:eastAsia="宋体"/>
                <w:b/>
                <w:bCs/>
                <w:color w:val="auto"/>
                <w:spacing w:val="0"/>
                <w:w w:val="100"/>
                <w:position w:val="0"/>
                <w:highlight w:val="none"/>
                <w:u w:val="none" w:color="auto"/>
              </w:rPr>
              <w:t>环境影响报告书》审查意见相符性一览表</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5305"/>
              <w:gridCol w:w="1529"/>
            </w:tblGrid>
            <w:tr w14:paraId="2E37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2" w:type="pct"/>
                  <w:noWrap w:val="0"/>
                  <w:vAlign w:val="center"/>
                </w:tcPr>
                <w:p w14:paraId="630625D1">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default" w:ascii="Times New Roman" w:hAnsi="Times New Roman" w:eastAsia="宋体"/>
                      <w:color w:val="auto"/>
                      <w:spacing w:val="0"/>
                      <w:w w:val="100"/>
                      <w:position w:val="0"/>
                      <w:sz w:val="21"/>
                      <w:szCs w:val="21"/>
                      <w:highlight w:val="none"/>
                      <w:u w:val="none" w:color="auto"/>
                    </w:rPr>
                    <w:t>序号</w:t>
                  </w:r>
                </w:p>
              </w:tc>
              <w:tc>
                <w:tcPr>
                  <w:tcW w:w="3630" w:type="pct"/>
                  <w:noWrap w:val="0"/>
                  <w:vAlign w:val="center"/>
                </w:tcPr>
                <w:p w14:paraId="3756BF6D">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rPr>
                    <w:t>规划环评审查意见中与本项目相关的要求</w:t>
                  </w:r>
                </w:p>
              </w:tc>
              <w:tc>
                <w:tcPr>
                  <w:tcW w:w="1046" w:type="pct"/>
                  <w:noWrap w:val="0"/>
                  <w:vAlign w:val="center"/>
                </w:tcPr>
                <w:p w14:paraId="6EC3DF23">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lang w:val="en-US" w:eastAsia="zh-CN"/>
                    </w:rPr>
                    <w:t>相符性分析</w:t>
                  </w:r>
                </w:p>
              </w:tc>
            </w:tr>
            <w:tr w14:paraId="2696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7EE58D6E">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1</w:t>
                  </w:r>
                </w:p>
              </w:tc>
              <w:tc>
                <w:tcPr>
                  <w:tcW w:w="3630" w:type="pct"/>
                  <w:noWrap w:val="0"/>
                  <w:vAlign w:val="center"/>
                </w:tcPr>
                <w:p w14:paraId="71644B78">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rPr>
                    <w:t>处理好发展和保护的关系。以习近平生态文明思想为指导，站在人与自然和谐共生的高度谋划发展，坚持生态优先、节约集约、绿色低碳发展，以高水平生态环境保护推动北部湾国际枢纽海港高质量</w:t>
                  </w:r>
                  <w:r>
                    <w:rPr>
                      <w:rFonts w:hint="eastAsia" w:ascii="Times New Roman" w:hAnsi="Times New Roman" w:eastAsia="宋体"/>
                      <w:color w:val="auto"/>
                      <w:spacing w:val="0"/>
                      <w:w w:val="100"/>
                      <w:position w:val="0"/>
                      <w:sz w:val="18"/>
                      <w:szCs w:val="18"/>
                      <w:highlight w:val="none"/>
                      <w:u w:val="none" w:color="auto"/>
                    </w:rPr>
                    <w:t>发展。合理控制港口开发规模与强度，不得占用依法应</w:t>
                  </w:r>
                  <w:r>
                    <w:rPr>
                      <w:rFonts w:hint="eastAsia" w:ascii="Times New Roman" w:hAnsi="Times New Roman" w:eastAsia="宋体"/>
                      <w:color w:val="auto"/>
                      <w:spacing w:val="0"/>
                      <w:w w:val="100"/>
                      <w:position w:val="0"/>
                      <w:sz w:val="21"/>
                      <w:szCs w:val="21"/>
                      <w:highlight w:val="none"/>
                      <w:u w:val="none" w:color="auto"/>
                    </w:rPr>
                    <w:t>当禁止开发的区域，优先避让其他生态环境敏感区域，采取严格的生态保护修复和污染防治措施，确保符合生态环境质量改善要求。进一步明确各港域功能定位，优化港口布局，合理安排港口开发建设时序，确保优化后的《规划》符合绿色低碳发展要求。</w:t>
                  </w:r>
                </w:p>
              </w:tc>
              <w:tc>
                <w:tcPr>
                  <w:tcW w:w="1046" w:type="pct"/>
                  <w:noWrap w:val="0"/>
                  <w:vAlign w:val="center"/>
                </w:tcPr>
                <w:p w14:paraId="554247B8">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textAlignment w:val="baseline"/>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符合。不占用生态保护红线、红树林、中国鲎及其栖息地、自然保护区、海洋公园等生态敏感区；项目建设符合港域功能定位。</w:t>
                  </w:r>
                </w:p>
              </w:tc>
            </w:tr>
            <w:tr w14:paraId="4E89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138C6682">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2</w:t>
                  </w:r>
                </w:p>
              </w:tc>
              <w:tc>
                <w:tcPr>
                  <w:tcW w:w="3630" w:type="pct"/>
                  <w:noWrap w:val="0"/>
                  <w:vAlign w:val="center"/>
                </w:tcPr>
                <w:p w14:paraId="0EF58D3B">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提升岸线利用效率，提高集约化水平。节约集约利用岸线、土地等资源，坚持公用优先，规划实施后公用泊位比例不低于80%；优化整合生产岸线水陆空间和码头资源，规划实施后专业化泊位比例不低于50%。减少对自然岸线的占用，规划实施后确保自然岸线保有率不低于国家和地方规定的比例。</w:t>
                  </w:r>
                </w:p>
              </w:tc>
              <w:tc>
                <w:tcPr>
                  <w:tcW w:w="1046" w:type="pct"/>
                  <w:noWrap w:val="0"/>
                  <w:vAlign w:val="center"/>
                </w:tcPr>
                <w:p w14:paraId="333CF2A8">
                  <w:pPr>
                    <w:keepNext w:val="0"/>
                    <w:keepLines w:val="0"/>
                    <w:suppressLineNumbers w:val="0"/>
                    <w:bidi w:val="0"/>
                    <w:spacing w:before="0" w:beforeAutospacing="0" w:after="0" w:afterAutospacing="0" w:line="240" w:lineRule="auto"/>
                    <w:ind w:left="0" w:right="0"/>
                    <w:rPr>
                      <w:rFonts w:hint="eastAsia" w:ascii="Times New Roman" w:hAnsi="Times New Roman" w:eastAsia="宋体"/>
                      <w:color w:val="auto"/>
                      <w:spacing w:val="0"/>
                      <w:w w:val="100"/>
                      <w:position w:val="0"/>
                      <w:szCs w:val="21"/>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符合。本项目在已建16号、17号码头回旋水域内进行疏浚作业，不</w:t>
                  </w:r>
                  <w:r>
                    <w:rPr>
                      <w:rFonts w:hint="eastAsia"/>
                      <w:color w:val="auto"/>
                      <w:spacing w:val="0"/>
                      <w:w w:val="100"/>
                      <w:position w:val="0"/>
                      <w:sz w:val="21"/>
                      <w:szCs w:val="16"/>
                      <w:highlight w:val="none"/>
                      <w:u w:val="none" w:color="auto"/>
                      <w:lang w:val="en-US" w:eastAsia="zh-CN"/>
                    </w:rPr>
                    <w:t>涉及</w:t>
                  </w:r>
                  <w:r>
                    <w:rPr>
                      <w:rFonts w:hint="eastAsia" w:ascii="Times New Roman" w:hAnsi="Times New Roman" w:eastAsia="宋体"/>
                      <w:color w:val="auto"/>
                      <w:spacing w:val="0"/>
                      <w:w w:val="100"/>
                      <w:position w:val="0"/>
                      <w:sz w:val="21"/>
                      <w:szCs w:val="16"/>
                      <w:highlight w:val="none"/>
                      <w:u w:val="none" w:color="auto"/>
                      <w:lang w:val="en-US" w:eastAsia="zh-CN"/>
                    </w:rPr>
                    <w:t>新增岸线。</w:t>
                  </w:r>
                </w:p>
              </w:tc>
            </w:tr>
            <w:tr w14:paraId="5A3A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3836243D">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3</w:t>
                  </w:r>
                </w:p>
              </w:tc>
              <w:tc>
                <w:tcPr>
                  <w:tcW w:w="3630" w:type="pct"/>
                  <w:noWrap w:val="0"/>
                  <w:vAlign w:val="center"/>
                </w:tcPr>
                <w:p w14:paraId="7805D9D9">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rPr>
                    <w:t>严守生态安全底线。将生态保护红线作为保障和维护区域生态安全的底线，依法依规实施强制性管控</w:t>
                  </w:r>
                  <w:r>
                    <w:rPr>
                      <w:rFonts w:hint="eastAsia" w:ascii="Times New Roman" w:hAnsi="Times New Roman" w:eastAsia="宋体"/>
                      <w:color w:val="auto"/>
                      <w:spacing w:val="0"/>
                      <w:w w:val="100"/>
                      <w:position w:val="0"/>
                      <w:sz w:val="21"/>
                      <w:szCs w:val="21"/>
                      <w:highlight w:val="none"/>
                      <w:u w:val="none" w:color="auto"/>
                      <w:lang w:val="en-US" w:eastAsia="zh-CN"/>
                    </w:rPr>
                    <w:t>。</w:t>
                  </w:r>
                </w:p>
              </w:tc>
              <w:tc>
                <w:tcPr>
                  <w:tcW w:w="1046" w:type="pct"/>
                  <w:noWrap w:val="0"/>
                  <w:vAlign w:val="center"/>
                </w:tcPr>
                <w:p w14:paraId="4E6A9236">
                  <w:pPr>
                    <w:keepNext w:val="0"/>
                    <w:keepLines w:val="0"/>
                    <w:suppressLineNumbers w:val="0"/>
                    <w:bidi w:val="0"/>
                    <w:spacing w:before="0" w:beforeAutospacing="0" w:after="0" w:afterAutospacing="0" w:line="240" w:lineRule="auto"/>
                    <w:ind w:left="0" w:right="0"/>
                    <w:rPr>
                      <w:rFonts w:hint="eastAsia" w:ascii="Times New Roman" w:hAnsi="Times New Roman" w:eastAsia="宋体"/>
                      <w:color w:val="auto"/>
                      <w:spacing w:val="0"/>
                      <w:w w:val="100"/>
                      <w:position w:val="0"/>
                      <w:szCs w:val="21"/>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符合。本项目不涉及</w:t>
                  </w:r>
                  <w:r>
                    <w:rPr>
                      <w:rFonts w:hint="eastAsia" w:ascii="Times New Roman" w:hAnsi="Times New Roman" w:eastAsia="宋体"/>
                      <w:color w:val="auto"/>
                      <w:spacing w:val="0"/>
                      <w:w w:val="100"/>
                      <w:position w:val="0"/>
                      <w:sz w:val="21"/>
                      <w:szCs w:val="16"/>
                      <w:highlight w:val="none"/>
                      <w:u w:val="none" w:color="auto"/>
                    </w:rPr>
                    <w:t>生态保护红线</w:t>
                  </w:r>
                  <w:r>
                    <w:rPr>
                      <w:rFonts w:hint="eastAsia" w:ascii="Times New Roman" w:hAnsi="Times New Roman" w:eastAsia="宋体"/>
                      <w:color w:val="auto"/>
                      <w:spacing w:val="0"/>
                      <w:w w:val="100"/>
                      <w:position w:val="0"/>
                      <w:sz w:val="21"/>
                      <w:szCs w:val="16"/>
                      <w:highlight w:val="none"/>
                      <w:u w:val="none" w:color="auto"/>
                      <w:lang w:eastAsia="zh-CN"/>
                    </w:rPr>
                    <w:t>。</w:t>
                  </w:r>
                </w:p>
              </w:tc>
            </w:tr>
            <w:tr w14:paraId="0F3D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16F36CA9">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4</w:t>
                  </w:r>
                </w:p>
              </w:tc>
              <w:tc>
                <w:tcPr>
                  <w:tcW w:w="3630" w:type="pct"/>
                  <w:noWrap w:val="0"/>
                  <w:vAlign w:val="center"/>
                </w:tcPr>
                <w:p w14:paraId="255924C1">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优化港口布局与功能，严控新增围填海。按照北部湾国际枢纽海港发展要求，进一步明确各港域专业化分工。港口新增围填海应当符合《关于加强滨海湿地保护严格管控围填海的通知》（国发</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2018</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24号）的要求；涉及历史遗留问题</w:t>
                  </w:r>
                  <w:r>
                    <w:rPr>
                      <w:rFonts w:hint="eastAsia" w:ascii="Times New Roman" w:hAnsi="Times New Roman" w:eastAsia="宋体"/>
                      <w:color w:val="auto"/>
                      <w:spacing w:val="0"/>
                      <w:w w:val="100"/>
                      <w:position w:val="0"/>
                      <w:sz w:val="21"/>
                      <w:szCs w:val="21"/>
                      <w:highlight w:val="none"/>
                      <w:u w:val="none" w:color="auto"/>
                      <w:lang w:val="en-US" w:eastAsia="zh-CN"/>
                    </w:rPr>
                    <w:t>的</w:t>
                  </w:r>
                  <w:r>
                    <w:rPr>
                      <w:rFonts w:hint="eastAsia" w:ascii="Times New Roman" w:hAnsi="Times New Roman" w:eastAsia="宋体"/>
                      <w:color w:val="auto"/>
                      <w:spacing w:val="0"/>
                      <w:w w:val="100"/>
                      <w:position w:val="0"/>
                      <w:sz w:val="21"/>
                      <w:szCs w:val="21"/>
                      <w:highlight w:val="none"/>
                      <w:u w:val="none" w:color="auto"/>
                    </w:rPr>
                    <w:t>围填海应按照《自然资源部办公厅关于已批准但尚未完成围填海项目处置有关事宜的函》（自然资办函</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2021</w:t>
                  </w:r>
                  <w:r>
                    <w:rPr>
                      <w:rFonts w:hint="eastAsia" w:ascii="Times New Roman" w:hAnsi="Times New Roman" w:eastAsia="宋体"/>
                      <w:color w:val="auto"/>
                      <w:spacing w:val="0"/>
                      <w:w w:val="100"/>
                      <w:position w:val="0"/>
                      <w:sz w:val="21"/>
                      <w:szCs w:val="21"/>
                      <w:highlight w:val="none"/>
                      <w:u w:val="none" w:color="auto"/>
                      <w:lang w:val="en-US" w:eastAsia="zh-CN"/>
                    </w:rPr>
                    <w:t>〕</w:t>
                  </w:r>
                  <w:r>
                    <w:rPr>
                      <w:rFonts w:hint="eastAsia" w:ascii="Times New Roman" w:hAnsi="Times New Roman" w:eastAsia="宋体"/>
                      <w:color w:val="auto"/>
                      <w:spacing w:val="0"/>
                      <w:w w:val="100"/>
                      <w:position w:val="0"/>
                      <w:sz w:val="21"/>
                      <w:szCs w:val="21"/>
                      <w:highlight w:val="none"/>
                      <w:u w:val="none" w:color="auto"/>
                    </w:rPr>
                    <w:t>1958号）规定实施。</w:t>
                  </w:r>
                </w:p>
              </w:tc>
              <w:tc>
                <w:tcPr>
                  <w:tcW w:w="1046" w:type="pct"/>
                  <w:noWrap w:val="0"/>
                  <w:vAlign w:val="center"/>
                </w:tcPr>
                <w:p w14:paraId="00A3E2BE">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jc w:val="both"/>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符合。本项目不涉及</w:t>
                  </w:r>
                  <w:r>
                    <w:rPr>
                      <w:rFonts w:hint="eastAsia" w:ascii="Times New Roman" w:hAnsi="Times New Roman" w:eastAsia="宋体"/>
                      <w:color w:val="auto"/>
                      <w:spacing w:val="0"/>
                      <w:w w:val="100"/>
                      <w:position w:val="0"/>
                      <w:sz w:val="21"/>
                      <w:szCs w:val="21"/>
                      <w:highlight w:val="none"/>
                      <w:u w:val="none" w:color="auto"/>
                    </w:rPr>
                    <w:t>新增围填海</w:t>
                  </w:r>
                  <w:r>
                    <w:rPr>
                      <w:rFonts w:hint="eastAsia" w:ascii="Times New Roman" w:hAnsi="Times New Roman" w:eastAsia="宋体"/>
                      <w:color w:val="auto"/>
                      <w:spacing w:val="0"/>
                      <w:w w:val="100"/>
                      <w:position w:val="0"/>
                      <w:sz w:val="21"/>
                      <w:szCs w:val="21"/>
                      <w:highlight w:val="none"/>
                      <w:u w:val="none" w:color="auto"/>
                      <w:lang w:eastAsia="zh-CN"/>
                    </w:rPr>
                    <w:t>。</w:t>
                  </w:r>
                </w:p>
              </w:tc>
            </w:tr>
            <w:tr w14:paraId="7E99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5B952B91">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5</w:t>
                  </w:r>
                </w:p>
              </w:tc>
              <w:tc>
                <w:tcPr>
                  <w:tcW w:w="3630" w:type="pct"/>
                  <w:noWrap w:val="0"/>
                  <w:vAlign w:val="center"/>
                </w:tcPr>
                <w:p w14:paraId="1D3D8CBB">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加强环境风险防范。加强港区环境风险管理，建设环境污染预报分析和应急决策支持系统，提升快速应急响应能力。建设与港区环境风险相匹配的应急能力，统筹规划建设应急基地与设备库，配备必要的应急船舶，制定突发环境事件应急预案，提升现有油品、液体化学品泊位的风险防控能力。油品、液体化学品作业区按照项目单罐最大罐容建设相匹配的应急事故池，建立健全环境风险三级防控体系和区域环境风险联防联控机制，提升区域整体环境风险防控能力，有效防控区域环境风险。</w:t>
                  </w:r>
                </w:p>
              </w:tc>
              <w:tc>
                <w:tcPr>
                  <w:tcW w:w="1046" w:type="pct"/>
                  <w:noWrap w:val="0"/>
                  <w:vAlign w:val="center"/>
                </w:tcPr>
                <w:p w14:paraId="1BF4D83A">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w:t>
                  </w:r>
                  <w:r>
                    <w:rPr>
                      <w:rFonts w:hint="eastAsia" w:ascii="Times New Roman" w:hAnsi="Times New Roman" w:eastAsia="宋体" w:cs="Times New Roman"/>
                      <w:color w:val="auto"/>
                      <w:spacing w:val="0"/>
                      <w:w w:val="100"/>
                      <w:position w:val="0"/>
                      <w:sz w:val="21"/>
                      <w:szCs w:val="21"/>
                      <w:highlight w:val="none"/>
                      <w:u w:val="none" w:color="auto"/>
                      <w:lang w:val="en-US" w:eastAsia="zh-CN"/>
                    </w:rPr>
                    <w:t>项目依托16号、17号泊位已</w:t>
                  </w:r>
                  <w:r>
                    <w:rPr>
                      <w:rFonts w:hint="default" w:ascii="Times New Roman" w:hAnsi="Times New Roman" w:eastAsia="宋体" w:cs="Times New Roman"/>
                      <w:color w:val="auto"/>
                      <w:spacing w:val="0"/>
                      <w:w w:val="100"/>
                      <w:position w:val="0"/>
                      <w:sz w:val="21"/>
                      <w:szCs w:val="21"/>
                      <w:highlight w:val="none"/>
                      <w:u w:val="none" w:color="auto"/>
                      <w:lang w:val="en-US" w:eastAsia="zh-CN"/>
                    </w:rPr>
                    <w:t>配备的应急物资</w:t>
                  </w:r>
                  <w:r>
                    <w:rPr>
                      <w:rFonts w:hint="eastAsia" w:ascii="Times New Roman" w:hAnsi="Times New Roman" w:eastAsia="宋体" w:cs="Times New Roman"/>
                      <w:color w:val="auto"/>
                      <w:spacing w:val="0"/>
                      <w:w w:val="100"/>
                      <w:position w:val="0"/>
                      <w:sz w:val="21"/>
                      <w:szCs w:val="21"/>
                      <w:highlight w:val="none"/>
                      <w:u w:val="none" w:color="auto"/>
                      <w:lang w:val="en-US" w:eastAsia="zh-CN"/>
                    </w:rPr>
                    <w:t>、事故应急池、</w:t>
                  </w:r>
                  <w:r>
                    <w:rPr>
                      <w:rFonts w:hint="default" w:ascii="Times New Roman" w:hAnsi="Times New Roman" w:eastAsia="宋体" w:cs="Times New Roman"/>
                      <w:color w:val="auto"/>
                      <w:spacing w:val="0"/>
                      <w:w w:val="100"/>
                      <w:position w:val="0"/>
                      <w:sz w:val="21"/>
                      <w:szCs w:val="21"/>
                      <w:highlight w:val="none"/>
                      <w:u w:val="none" w:color="auto"/>
                      <w:lang w:val="en-US" w:eastAsia="zh-CN"/>
                    </w:rPr>
                    <w:t>应急预案</w:t>
                  </w:r>
                  <w:r>
                    <w:rPr>
                      <w:rFonts w:hint="eastAsia" w:ascii="Times New Roman" w:hAnsi="Times New Roman" w:eastAsia="宋体" w:cs="Times New Roman"/>
                      <w:color w:val="auto"/>
                      <w:spacing w:val="0"/>
                      <w:w w:val="100"/>
                      <w:position w:val="0"/>
                      <w:sz w:val="21"/>
                      <w:szCs w:val="21"/>
                      <w:highlight w:val="none"/>
                      <w:u w:val="none" w:color="auto"/>
                      <w:lang w:val="en-US" w:eastAsia="zh-CN"/>
                    </w:rPr>
                    <w:t>、</w:t>
                  </w:r>
                  <w:r>
                    <w:rPr>
                      <w:rFonts w:hint="default" w:ascii="Times New Roman" w:hAnsi="Times New Roman" w:eastAsia="宋体" w:cs="Times New Roman"/>
                      <w:color w:val="auto"/>
                      <w:spacing w:val="0"/>
                      <w:w w:val="100"/>
                      <w:position w:val="0"/>
                      <w:sz w:val="21"/>
                      <w:szCs w:val="21"/>
                      <w:highlight w:val="none"/>
                      <w:u w:val="none" w:color="auto"/>
                      <w:lang w:val="en-US" w:eastAsia="zh-CN"/>
                    </w:rPr>
                    <w:t>环境风险三级防控体系和区域环境风险联防联控机制</w:t>
                  </w:r>
                  <w:r>
                    <w:rPr>
                      <w:rFonts w:hint="eastAsia" w:ascii="Times New Roman" w:hAnsi="Times New Roman" w:eastAsia="宋体" w:cs="Times New Roman"/>
                      <w:color w:val="auto"/>
                      <w:spacing w:val="0"/>
                      <w:w w:val="100"/>
                      <w:position w:val="0"/>
                      <w:sz w:val="21"/>
                      <w:szCs w:val="21"/>
                      <w:highlight w:val="none"/>
                      <w:u w:val="none" w:color="auto"/>
                      <w:lang w:val="en-US" w:eastAsia="zh-CN"/>
                    </w:rPr>
                    <w:t>。</w:t>
                  </w:r>
                </w:p>
              </w:tc>
            </w:tr>
            <w:tr w14:paraId="05D3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255AE348">
                  <w:pPr>
                    <w:pStyle w:val="227"/>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firstLine="0" w:firstLineChars="0"/>
                    <w:rPr>
                      <w:rFonts w:hint="eastAsia" w:ascii="Times New Roman" w:hAnsi="Times New Roman" w:eastAsia="宋体"/>
                      <w:color w:val="auto"/>
                      <w:spacing w:val="0"/>
                      <w:w w:val="100"/>
                      <w:position w:val="0"/>
                      <w:sz w:val="21"/>
                      <w:szCs w:val="21"/>
                      <w:highlight w:val="none"/>
                      <w:u w:val="none" w:color="auto"/>
                      <w:lang w:val="en-US" w:eastAsia="zh-CN"/>
                    </w:rPr>
                  </w:pPr>
                  <w:r>
                    <w:rPr>
                      <w:rFonts w:hint="eastAsia" w:ascii="Times New Roman" w:hAnsi="Times New Roman" w:eastAsia="宋体"/>
                      <w:color w:val="auto"/>
                      <w:spacing w:val="0"/>
                      <w:w w:val="100"/>
                      <w:position w:val="0"/>
                      <w:sz w:val="21"/>
                      <w:szCs w:val="21"/>
                      <w:highlight w:val="none"/>
                      <w:u w:val="none" w:color="auto"/>
                      <w:lang w:val="en-US" w:eastAsia="zh-CN"/>
                    </w:rPr>
                    <w:t>6</w:t>
                  </w:r>
                </w:p>
              </w:tc>
              <w:tc>
                <w:tcPr>
                  <w:tcW w:w="3630" w:type="pct"/>
                  <w:noWrap w:val="0"/>
                  <w:vAlign w:val="center"/>
                </w:tcPr>
                <w:p w14:paraId="04B6843D">
                  <w:pPr>
                    <w:keepNext w:val="0"/>
                    <w:keepLines w:val="0"/>
                    <w:pageBreakBefore w:val="0"/>
                    <w:widowControl w:val="0"/>
                    <w:suppressLineNumbers w:val="0"/>
                    <w:kinsoku w:val="0"/>
                    <w:wordWrap/>
                    <w:overflowPunct/>
                    <w:autoSpaceDE w:val="0"/>
                    <w:autoSpaceDN w:val="0"/>
                    <w:bidi w:val="0"/>
                    <w:adjustRightInd w:val="0"/>
                    <w:snapToGrid w:val="0"/>
                    <w:spacing w:before="0" w:beforeAutospacing="0" w:after="0" w:afterAutospacing="0" w:line="288" w:lineRule="auto"/>
                    <w:ind w:left="0" w:right="0"/>
                    <w:rPr>
                      <w:rFonts w:hint="eastAsia" w:ascii="Times New Roman" w:hAnsi="Times New Roman" w:eastAsia="宋体"/>
                      <w:color w:val="auto"/>
                      <w:spacing w:val="0"/>
                      <w:w w:val="100"/>
                      <w:position w:val="0"/>
                      <w:sz w:val="21"/>
                      <w:szCs w:val="21"/>
                      <w:highlight w:val="none"/>
                      <w:u w:val="none" w:color="auto"/>
                    </w:rPr>
                  </w:pPr>
                  <w:r>
                    <w:rPr>
                      <w:rFonts w:hint="eastAsia" w:ascii="Times New Roman" w:hAnsi="Times New Roman" w:eastAsia="宋体"/>
                      <w:color w:val="auto"/>
                      <w:spacing w:val="0"/>
                      <w:w w:val="100"/>
                      <w:position w:val="0"/>
                      <w:sz w:val="21"/>
                      <w:szCs w:val="21"/>
                      <w:highlight w:val="none"/>
                      <w:u w:val="none" w:color="auto"/>
                    </w:rPr>
                    <w:t>加强海洋生态保护和修复。你厅应按照习近平总书记关于北部湾港建设的重要指示精神，制定港口绿色发展规划，着力打造绿色港口。《规划》实施过程中，应采取严格的海洋生态保护措施，开展港口对北部湾海域典型生态系统、珍稀海洋生物影响与保护的专题研究；对新增围填海和临近红树林、珊瑚礁、海草床、中国</w:t>
                  </w:r>
                  <w:r>
                    <w:rPr>
                      <w:rFonts w:hint="eastAsia" w:ascii="Times New Roman" w:hAnsi="Times New Roman" w:eastAsia="宋体"/>
                      <w:color w:val="auto"/>
                      <w:spacing w:val="0"/>
                      <w:w w:val="100"/>
                      <w:position w:val="0"/>
                      <w:sz w:val="21"/>
                      <w:szCs w:val="21"/>
                      <w:highlight w:val="none"/>
                      <w:u w:val="none" w:color="auto"/>
                      <w:vertAlign w:val="baseline"/>
                      <w:lang w:val="en-US" w:eastAsia="zh-CN"/>
                    </w:rPr>
                    <w:t>鲎</w:t>
                  </w:r>
                  <w:r>
                    <w:rPr>
                      <w:rFonts w:hint="eastAsia" w:ascii="Times New Roman" w:hAnsi="Times New Roman" w:eastAsia="宋体"/>
                      <w:color w:val="auto"/>
                      <w:spacing w:val="0"/>
                      <w:w w:val="100"/>
                      <w:position w:val="0"/>
                      <w:sz w:val="21"/>
                      <w:szCs w:val="21"/>
                      <w:highlight w:val="none"/>
                      <w:u w:val="none" w:color="auto"/>
                    </w:rPr>
                    <w:t>栖息地等环境敏感区的码头、航道、锚地项目，在建设运营过程中强化全过程环境管理及长期跟踪研究，为规划实施的海洋生态保护方案优化、后续规划方案的修订或局部调整提供科学依据和技术支撑；制定并落实重要保护物种专项保护方案，最大限度减少对保护物种及其生境的扰动，开展增殖放流等生态补偿和修复措施。落实《国际船舶压载水和沉积物控制与管理公约》要求，开放口岸码头应具备船舶压载水岸上接收处置能力，并建立船舶压载水管理制度，依法依规加强船舶压载水及沉积物管理，防止外来物种入侵。</w:t>
                  </w:r>
                </w:p>
              </w:tc>
              <w:tc>
                <w:tcPr>
                  <w:tcW w:w="1046" w:type="pct"/>
                  <w:noWrap w:val="0"/>
                  <w:vAlign w:val="center"/>
                </w:tcPr>
                <w:p w14:paraId="68BA5D5C">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符合。本项目不涉及</w:t>
                  </w:r>
                  <w:r>
                    <w:rPr>
                      <w:rFonts w:hint="eastAsia" w:ascii="Times New Roman" w:hAnsi="Times New Roman" w:eastAsia="宋体"/>
                      <w:color w:val="auto"/>
                      <w:spacing w:val="0"/>
                      <w:w w:val="100"/>
                      <w:position w:val="0"/>
                      <w:sz w:val="21"/>
                      <w:szCs w:val="21"/>
                      <w:highlight w:val="none"/>
                      <w:u w:val="none" w:color="auto"/>
                    </w:rPr>
                    <w:t>新增围填海</w:t>
                  </w:r>
                  <w:r>
                    <w:rPr>
                      <w:rFonts w:hint="eastAsia" w:ascii="Times New Roman" w:hAnsi="Times New Roman" w:eastAsia="宋体"/>
                      <w:color w:val="auto"/>
                      <w:spacing w:val="0"/>
                      <w:w w:val="100"/>
                      <w:position w:val="0"/>
                      <w:sz w:val="21"/>
                      <w:szCs w:val="21"/>
                      <w:highlight w:val="none"/>
                      <w:u w:val="none" w:color="auto"/>
                      <w:lang w:eastAsia="zh-CN"/>
                    </w:rPr>
                    <w:t>，</w:t>
                  </w:r>
                  <w:r>
                    <w:rPr>
                      <w:rFonts w:hint="eastAsia" w:ascii="Times New Roman" w:hAnsi="Times New Roman" w:eastAsia="宋体"/>
                      <w:color w:val="auto"/>
                      <w:spacing w:val="0"/>
                      <w:w w:val="100"/>
                      <w:position w:val="0"/>
                      <w:sz w:val="21"/>
                      <w:szCs w:val="21"/>
                      <w:highlight w:val="none"/>
                      <w:u w:val="none" w:color="auto"/>
                      <w:lang w:val="en-US" w:eastAsia="zh-CN"/>
                    </w:rPr>
                    <w:t>不占用</w:t>
                  </w:r>
                  <w:r>
                    <w:rPr>
                      <w:rFonts w:hint="eastAsia" w:ascii="Times New Roman" w:hAnsi="Times New Roman" w:eastAsia="宋体"/>
                      <w:color w:val="auto"/>
                      <w:spacing w:val="0"/>
                      <w:w w:val="100"/>
                      <w:position w:val="0"/>
                      <w:sz w:val="21"/>
                      <w:szCs w:val="21"/>
                      <w:highlight w:val="none"/>
                      <w:u w:val="none" w:color="auto"/>
                    </w:rPr>
                    <w:t>红树林、珊瑚礁、海草床、中国</w:t>
                  </w:r>
                  <w:r>
                    <w:rPr>
                      <w:rFonts w:hint="eastAsia" w:ascii="Times New Roman" w:hAnsi="Times New Roman" w:eastAsia="宋体"/>
                      <w:color w:val="auto"/>
                      <w:spacing w:val="0"/>
                      <w:w w:val="100"/>
                      <w:position w:val="0"/>
                      <w:sz w:val="21"/>
                      <w:szCs w:val="21"/>
                      <w:highlight w:val="none"/>
                      <w:u w:val="none" w:color="auto"/>
                      <w:vertAlign w:val="baseline"/>
                      <w:lang w:val="en-US" w:eastAsia="zh-CN"/>
                    </w:rPr>
                    <w:t>鲎</w:t>
                  </w:r>
                  <w:r>
                    <w:rPr>
                      <w:rFonts w:hint="eastAsia" w:ascii="Times New Roman" w:hAnsi="Times New Roman" w:eastAsia="宋体"/>
                      <w:color w:val="auto"/>
                      <w:spacing w:val="0"/>
                      <w:w w:val="100"/>
                      <w:position w:val="0"/>
                      <w:sz w:val="21"/>
                      <w:szCs w:val="21"/>
                      <w:highlight w:val="none"/>
                      <w:u w:val="none" w:color="auto"/>
                    </w:rPr>
                    <w:t>栖息地等环境敏感区</w:t>
                  </w:r>
                  <w:r>
                    <w:rPr>
                      <w:rFonts w:hint="eastAsia" w:ascii="Times New Roman" w:hAnsi="Times New Roman" w:eastAsia="宋体"/>
                      <w:color w:val="auto"/>
                      <w:spacing w:val="0"/>
                      <w:w w:val="100"/>
                      <w:position w:val="0"/>
                      <w:sz w:val="21"/>
                      <w:szCs w:val="21"/>
                      <w:highlight w:val="none"/>
                      <w:u w:val="none" w:color="auto"/>
                      <w:lang w:eastAsia="zh-CN"/>
                    </w:rPr>
                    <w:t>。</w:t>
                  </w:r>
                  <w:r>
                    <w:rPr>
                      <w:rFonts w:hint="eastAsia" w:ascii="Times New Roman" w:hAnsi="Times New Roman" w:eastAsia="宋体"/>
                      <w:color w:val="auto"/>
                      <w:spacing w:val="0"/>
                      <w:w w:val="100"/>
                      <w:position w:val="0"/>
                      <w:sz w:val="21"/>
                      <w:szCs w:val="21"/>
                      <w:highlight w:val="none"/>
                      <w:u w:val="none" w:color="auto"/>
                      <w:lang w:val="en-US" w:eastAsia="zh-CN"/>
                    </w:rPr>
                    <w:t>项目施工船舶含油污水收集后委托有资质单位处置。</w:t>
                  </w:r>
                </w:p>
              </w:tc>
            </w:tr>
            <w:tr w14:paraId="156E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7E9C27E0">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7</w:t>
                  </w:r>
                </w:p>
              </w:tc>
              <w:tc>
                <w:tcPr>
                  <w:tcW w:w="3630" w:type="pct"/>
                  <w:noWrap w:val="0"/>
                  <w:vAlign w:val="center"/>
                </w:tcPr>
                <w:p w14:paraId="6FED130E">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both"/>
                    <w:textAlignment w:val="baseline"/>
                    <w:rPr>
                      <w:rFonts w:hint="eastAsia" w:ascii="Times New Roman" w:hAnsi="Times New Roman" w:eastAsia="宋体"/>
                      <w:b/>
                      <w:bCs/>
                      <w:color w:val="auto"/>
                      <w:spacing w:val="0"/>
                      <w:w w:val="100"/>
                      <w:position w:val="0"/>
                      <w:sz w:val="21"/>
                      <w:szCs w:val="21"/>
                      <w:highlight w:val="none"/>
                      <w:u w:val="none" w:color="auto"/>
                      <w:vertAlign w:val="baseline"/>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强化并落实污染防治措施。统筹做好新建码头和现有码头的环境污染防治，落实“以新带老”要求，补齐环境保护短板，防风抑尘网破损的老旧码头应修补或重新建设防风抑尘网。完善并落实港口和船舶污染物接收转运及处置设施建设方案，加强全过程监管，确保各类污染物得到妥善处置。干散货装卸、堆存应采取绿色工艺，优先采取全封闭措施；加强码头挥发性有机化合物控制，同步建设油气回收装置，最大限度减少挥发性有机化合物排放，确保区域大气环境质量达标。加强温室气体管控，严格控制船舶大气污染物排放，码头应按规定同步配套建设岸电设施，鼓励采用清洁能源供热或集中供热，适时建设配套的清洁能源供应设施，优先采用清洁能源机械及运输车辆。加强港口施工、运行噪声污染防治，确保符合生态环境保护要求。鼓励构建清洁的集疏运体系，加快落实生态环境部、交通运输部等15部委联合印发的《深入打好重污染天气消除、臭氧污染防治和柴油货车污染治理攻坚战行动方案》中“在新建或改扩建集装箱、大宗干散货作业区时，原则上要同步建设进港铁路”的要求。相关污染防治措施及要求应纳入《规划》，同步落实。</w:t>
                  </w:r>
                </w:p>
              </w:tc>
              <w:tc>
                <w:tcPr>
                  <w:tcW w:w="1046" w:type="pct"/>
                  <w:noWrap w:val="0"/>
                  <w:vAlign w:val="center"/>
                </w:tcPr>
                <w:p w14:paraId="2A89F1AC">
                  <w:pPr>
                    <w:keepNext w:val="0"/>
                    <w:keepLines w:val="0"/>
                    <w:suppressLineNumbers w:val="0"/>
                    <w:spacing w:before="0" w:beforeAutospacing="0" w:after="0" w:afterAutospacing="0" w:line="240" w:lineRule="auto"/>
                    <w:ind w:left="0" w:right="0"/>
                    <w:rPr>
                      <w:rFonts w:hint="eastAsia" w:ascii="Times New Roman" w:hAnsi="Times New Roman" w:eastAsia="宋体"/>
                      <w:color w:val="auto"/>
                      <w:spacing w:val="0"/>
                      <w:w w:val="100"/>
                      <w:position w:val="0"/>
                      <w:sz w:val="21"/>
                      <w:szCs w:val="16"/>
                      <w:highlight w:val="none"/>
                      <w:u w:val="none" w:color="auto"/>
                      <w:lang w:eastAsia="zh-CN"/>
                    </w:rPr>
                  </w:pPr>
                  <w:r>
                    <w:rPr>
                      <w:rFonts w:hint="eastAsia" w:ascii="Times New Roman" w:hAnsi="Times New Roman" w:eastAsia="宋体"/>
                      <w:color w:val="auto"/>
                      <w:spacing w:val="0"/>
                      <w:w w:val="100"/>
                      <w:position w:val="0"/>
                      <w:sz w:val="21"/>
                      <w:szCs w:val="16"/>
                      <w:highlight w:val="none"/>
                      <w:u w:val="none" w:color="auto"/>
                      <w:lang w:val="en-US" w:eastAsia="zh-CN"/>
                    </w:rPr>
                    <w:t>符</w:t>
                  </w:r>
                  <w:r>
                    <w:rPr>
                      <w:rFonts w:hint="eastAsia" w:ascii="Times New Roman" w:hAnsi="Times New Roman" w:eastAsia="宋体" w:cs="Times New Roman"/>
                      <w:color w:val="auto"/>
                      <w:spacing w:val="0"/>
                      <w:w w:val="100"/>
                      <w:position w:val="0"/>
                      <w:sz w:val="21"/>
                      <w:szCs w:val="16"/>
                      <w:highlight w:val="none"/>
                      <w:u w:val="none" w:color="auto"/>
                      <w:lang w:val="en-US" w:eastAsia="zh-CN"/>
                    </w:rPr>
                    <w:t>合。</w:t>
                  </w:r>
                  <w:r>
                    <w:rPr>
                      <w:rFonts w:hint="eastAsia" w:ascii="Times New Roman" w:hAnsi="Times New Roman" w:eastAsia="宋体"/>
                      <w:color w:val="auto"/>
                      <w:spacing w:val="0"/>
                      <w:w w:val="100"/>
                      <w:position w:val="0"/>
                      <w:sz w:val="21"/>
                      <w:szCs w:val="21"/>
                      <w:highlight w:val="none"/>
                      <w:u w:val="none" w:color="auto"/>
                      <w:lang w:val="en-US" w:eastAsia="zh-CN"/>
                    </w:rPr>
                    <w:t>施工船舶含油污水、船舶生活污水收集后委托有资质单位处置。</w:t>
                  </w:r>
                </w:p>
              </w:tc>
            </w:tr>
            <w:tr w14:paraId="612B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518A1E21">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Times New Roman" w:hAnsi="Times New Roman" w:eastAsia="宋体"/>
                      <w:color w:val="auto"/>
                      <w:spacing w:val="0"/>
                      <w:w w:val="100"/>
                      <w:position w:val="0"/>
                      <w:sz w:val="21"/>
                      <w:szCs w:val="21"/>
                      <w:highlight w:val="none"/>
                      <w:u w:val="none" w:color="auto"/>
                      <w:vertAlign w:val="baseline"/>
                      <w:lang w:val="en-US" w:eastAsia="zh-CN"/>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8</w:t>
                  </w:r>
                </w:p>
              </w:tc>
              <w:tc>
                <w:tcPr>
                  <w:tcW w:w="3630" w:type="pct"/>
                  <w:noWrap w:val="0"/>
                  <w:vAlign w:val="center"/>
                </w:tcPr>
                <w:p w14:paraId="3F9411BA">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88" w:lineRule="auto"/>
                    <w:ind w:left="0" w:right="0"/>
                    <w:jc w:val="both"/>
                    <w:textAlignment w:val="baseline"/>
                    <w:rPr>
                      <w:rFonts w:hint="eastAsia" w:ascii="Times New Roman" w:hAnsi="Times New Roman" w:eastAsia="宋体"/>
                      <w:color w:val="auto"/>
                      <w:spacing w:val="0"/>
                      <w:w w:val="100"/>
                      <w:position w:val="0"/>
                      <w:sz w:val="21"/>
                      <w:szCs w:val="21"/>
                      <w:highlight w:val="none"/>
                      <w:u w:val="none" w:color="auto"/>
                      <w:vertAlign w:val="baseline"/>
                      <w:lang w:val="en-US" w:eastAsia="zh-CN"/>
                    </w:rPr>
                  </w:pPr>
                  <w:r>
                    <w:rPr>
                      <w:rFonts w:hint="eastAsia" w:ascii="Times New Roman" w:hAnsi="Times New Roman" w:eastAsia="宋体"/>
                      <w:color w:val="auto"/>
                      <w:spacing w:val="0"/>
                      <w:w w:val="100"/>
                      <w:position w:val="0"/>
                      <w:sz w:val="21"/>
                      <w:szCs w:val="21"/>
                      <w:highlight w:val="none"/>
                      <w:u w:val="none" w:color="auto"/>
                      <w:vertAlign w:val="baseline"/>
                      <w:lang w:val="en-US" w:eastAsia="zh-CN"/>
                    </w:rPr>
                    <w:t>建立健全生态环境长期监测体系。建立涵盖水、生态、大气等要素的常态化监测体系，在港区及周边建立红树林、珊瑚礁、海草床生态系统及其生境和中华白海豚、中国鲎等重要保护物种及其栖息地的长期跟踪监测体系，系统评估港口开发对典型生态系统、重要保护物种的影响，必要时强化生态环境保护措施、优化施工运营管理措施或调整《规划》内容等。</w:t>
                  </w:r>
                </w:p>
              </w:tc>
              <w:tc>
                <w:tcPr>
                  <w:tcW w:w="1046" w:type="pct"/>
                  <w:noWrap w:val="0"/>
                  <w:vAlign w:val="center"/>
                </w:tcPr>
                <w:p w14:paraId="45863C21">
                  <w:pPr>
                    <w:keepNext w:val="0"/>
                    <w:keepLines w:val="0"/>
                    <w:suppressLineNumbers w:val="0"/>
                    <w:bidi w:val="0"/>
                    <w:spacing w:before="0" w:beforeAutospacing="0" w:after="0" w:afterAutospacing="0" w:line="240" w:lineRule="auto"/>
                    <w:ind w:left="0" w:right="0"/>
                    <w:rPr>
                      <w:rFonts w:hint="default" w:ascii="Times New Roman" w:hAnsi="Times New Roman" w:eastAsia="宋体"/>
                      <w:color w:val="auto"/>
                      <w:spacing w:val="0"/>
                      <w:w w:val="100"/>
                      <w:position w:val="0"/>
                      <w:sz w:val="21"/>
                      <w:szCs w:val="16"/>
                      <w:highlight w:val="none"/>
                      <w:u w:val="none" w:color="auto"/>
                      <w:lang w:val="en-US" w:eastAsia="zh-CN"/>
                    </w:rPr>
                  </w:pPr>
                  <w:r>
                    <w:rPr>
                      <w:rFonts w:hint="eastAsia" w:ascii="Times New Roman" w:hAnsi="Times New Roman" w:eastAsia="宋体"/>
                      <w:color w:val="auto"/>
                      <w:spacing w:val="0"/>
                      <w:w w:val="100"/>
                      <w:position w:val="0"/>
                      <w:sz w:val="21"/>
                      <w:szCs w:val="16"/>
                      <w:highlight w:val="none"/>
                      <w:u w:val="none" w:color="auto"/>
                      <w:lang w:val="en-US" w:eastAsia="zh-CN"/>
                    </w:rPr>
                    <w:t>符合。本项目为航道内部回旋水域维护性疏浚，项目无营运期，施工期结束后对区域进行生态补偿。</w:t>
                  </w:r>
                </w:p>
              </w:tc>
            </w:tr>
          </w:tbl>
          <w:p w14:paraId="26962F71">
            <w:pPr>
              <w:autoSpaceDE w:val="0"/>
              <w:autoSpaceDN w:val="0"/>
              <w:adjustRightInd w:val="0"/>
              <w:snapToGrid w:val="0"/>
              <w:spacing w:line="360" w:lineRule="auto"/>
              <w:rPr>
                <w:rFonts w:hint="default" w:eastAsia="宋体"/>
                <w:color w:val="auto"/>
                <w:highlight w:val="none"/>
                <w:lang w:val="en-US" w:eastAsia="zh-CN"/>
              </w:rPr>
            </w:pPr>
          </w:p>
        </w:tc>
      </w:tr>
      <w:tr w14:paraId="71C7C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2" w:type="dxa"/>
            <w:noWrap w:val="0"/>
            <w:vAlign w:val="center"/>
          </w:tcPr>
          <w:p w14:paraId="47D91073">
            <w:pPr>
              <w:autoSpaceDE w:val="0"/>
              <w:autoSpaceDN w:val="0"/>
              <w:adjustRightInd w:val="0"/>
              <w:snapToGrid w:val="0"/>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其他符合性分析</w:t>
            </w:r>
          </w:p>
        </w:tc>
        <w:tc>
          <w:tcPr>
            <w:tcW w:w="6838" w:type="dxa"/>
            <w:gridSpan w:val="3"/>
            <w:noWrap w:val="0"/>
            <w:vAlign w:val="center"/>
          </w:tcPr>
          <w:p w14:paraId="4F3B08DA">
            <w:pPr>
              <w:keepNext w:val="0"/>
              <w:keepLines w:val="0"/>
              <w:pageBreakBefore w:val="0"/>
              <w:widowControl w:val="0"/>
              <w:numPr>
                <w:ilvl w:val="0"/>
                <w:numId w:val="0"/>
              </w:numPr>
              <w:tabs>
                <w:tab w:val="left" w:pos="0"/>
              </w:tabs>
              <w:kinsoku/>
              <w:wordWrap/>
              <w:overflowPunct/>
              <w:topLinePunct w:val="0"/>
              <w:autoSpaceDE w:val="0"/>
              <w:autoSpaceDN w:val="0"/>
              <w:bidi w:val="0"/>
              <w:adjustRightInd w:val="0"/>
              <w:snapToGrid w:val="0"/>
              <w:spacing w:line="360" w:lineRule="auto"/>
              <w:ind w:leftChars="0"/>
              <w:textAlignment w:val="auto"/>
              <w:rPr>
                <w:rFonts w:ascii="Times New Roman" w:hAnsi="Times New Roman" w:eastAsia="宋体" w:cs="Times New Roman"/>
                <w:b/>
                <w:color w:val="auto"/>
                <w:kern w:val="0"/>
                <w:sz w:val="28"/>
                <w:szCs w:val="28"/>
                <w:highlight w:val="none"/>
              </w:rPr>
            </w:pPr>
            <w:r>
              <w:rPr>
                <w:rFonts w:hint="eastAsia" w:ascii="Times New Roman" w:hAnsi="Times New Roman" w:eastAsia="宋体" w:cs="Times New Roman"/>
                <w:b/>
                <w:color w:val="auto"/>
                <w:kern w:val="0"/>
                <w:sz w:val="28"/>
                <w:szCs w:val="28"/>
                <w:highlight w:val="none"/>
                <w:lang w:val="en-US" w:eastAsia="zh-CN"/>
              </w:rPr>
              <w:t>1.2.1</w:t>
            </w:r>
            <w:r>
              <w:rPr>
                <w:rFonts w:ascii="Times New Roman" w:hAnsi="Times New Roman" w:eastAsia="宋体" w:cs="Times New Roman"/>
                <w:b/>
                <w:color w:val="auto"/>
                <w:kern w:val="0"/>
                <w:sz w:val="28"/>
                <w:szCs w:val="28"/>
                <w:highlight w:val="none"/>
              </w:rPr>
              <w:t>产业政策符合性分析</w:t>
            </w:r>
          </w:p>
          <w:p w14:paraId="531C4D00">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本项目</w:t>
            </w:r>
            <w:r>
              <w:rPr>
                <w:rFonts w:hint="eastAsia"/>
                <w:color w:val="auto"/>
                <w:sz w:val="24"/>
                <w:highlight w:val="none"/>
                <w:lang w:val="en-US" w:eastAsia="zh-CN"/>
              </w:rPr>
              <w:t>对</w:t>
            </w:r>
            <w:r>
              <w:rPr>
                <w:rFonts w:hint="eastAsia"/>
                <w:color w:val="auto"/>
                <w:sz w:val="24"/>
                <w:highlight w:val="none"/>
                <w:lang w:eastAsia="zh-CN"/>
              </w:rPr>
              <w:t>码头</w:t>
            </w:r>
            <w:r>
              <w:rPr>
                <w:rFonts w:hint="eastAsia"/>
                <w:color w:val="auto"/>
                <w:sz w:val="24"/>
                <w:highlight w:val="none"/>
                <w:lang w:val="en-US" w:eastAsia="zh-CN"/>
              </w:rPr>
              <w:t>回旋水域与金鼓江航道重叠部分进行维护性</w:t>
            </w:r>
            <w:r>
              <w:rPr>
                <w:rFonts w:hint="eastAsia"/>
                <w:color w:val="auto"/>
                <w:sz w:val="24"/>
                <w:highlight w:val="none"/>
                <w:lang w:eastAsia="zh-CN"/>
              </w:rPr>
              <w:t>疏浚</w:t>
            </w:r>
            <w:r>
              <w:rPr>
                <w:rFonts w:hint="eastAsia"/>
                <w:color w:val="auto"/>
                <w:sz w:val="24"/>
                <w:highlight w:val="none"/>
              </w:rPr>
              <w:t>，不属于《国家产业结构调整指导目录（2024年本）》中鼓励类、限制类、淘汰类，</w:t>
            </w:r>
            <w:r>
              <w:rPr>
                <w:rFonts w:hint="eastAsia"/>
                <w:color w:val="auto"/>
                <w:sz w:val="24"/>
                <w:highlight w:val="none"/>
                <w:lang w:eastAsia="zh-CN"/>
              </w:rPr>
              <w:t>属于允许类项目。本项目已在广西投资项目在线审批监管平台备案（详见附件</w:t>
            </w:r>
            <w:r>
              <w:rPr>
                <w:rFonts w:hint="eastAsia"/>
                <w:color w:val="auto"/>
                <w:sz w:val="24"/>
                <w:highlight w:val="none"/>
                <w:lang w:val="en-US" w:eastAsia="zh-CN"/>
              </w:rPr>
              <w:t>2</w:t>
            </w:r>
            <w:r>
              <w:rPr>
                <w:rFonts w:hint="eastAsia"/>
                <w:color w:val="auto"/>
                <w:sz w:val="24"/>
                <w:highlight w:val="none"/>
                <w:lang w:eastAsia="zh-CN"/>
              </w:rPr>
              <w:t>），项目代码为：</w:t>
            </w:r>
            <w:r>
              <w:rPr>
                <w:rFonts w:hint="eastAsia" w:eastAsia="宋体"/>
                <w:color w:val="auto"/>
                <w:sz w:val="24"/>
                <w:highlight w:val="none"/>
                <w:lang w:eastAsia="zh-CN"/>
              </w:rPr>
              <w:t>2512-450704-04-05-221481</w:t>
            </w:r>
            <w:r>
              <w:rPr>
                <w:rFonts w:hint="eastAsia"/>
                <w:color w:val="auto"/>
                <w:sz w:val="24"/>
                <w:highlight w:val="none"/>
              </w:rPr>
              <w:t>。</w:t>
            </w:r>
            <w:r>
              <w:rPr>
                <w:rFonts w:hint="eastAsia"/>
                <w:color w:val="auto"/>
                <w:sz w:val="24"/>
                <w:highlight w:val="none"/>
                <w:lang w:eastAsia="zh-CN"/>
              </w:rPr>
              <w:t>项目</w:t>
            </w:r>
            <w:r>
              <w:rPr>
                <w:rFonts w:hint="eastAsia"/>
                <w:color w:val="auto"/>
                <w:sz w:val="24"/>
                <w:highlight w:val="none"/>
              </w:rPr>
              <w:t>建设符合</w:t>
            </w:r>
            <w:r>
              <w:rPr>
                <w:rFonts w:hint="eastAsia"/>
                <w:color w:val="auto"/>
                <w:sz w:val="24"/>
                <w:highlight w:val="none"/>
                <w:lang w:eastAsia="zh-CN"/>
              </w:rPr>
              <w:t>国家产业结构调整目录</w:t>
            </w:r>
            <w:r>
              <w:rPr>
                <w:rFonts w:hint="eastAsia"/>
                <w:color w:val="auto"/>
                <w:sz w:val="24"/>
                <w:highlight w:val="none"/>
              </w:rPr>
              <w:t>。</w:t>
            </w:r>
          </w:p>
          <w:p w14:paraId="14475217">
            <w:pPr>
              <w:autoSpaceDE w:val="0"/>
              <w:autoSpaceDN w:val="0"/>
              <w:adjustRightInd w:val="0"/>
              <w:snapToGrid w:val="0"/>
              <w:spacing w:line="360" w:lineRule="auto"/>
              <w:rPr>
                <w:rFonts w:hint="eastAsia" w:ascii="Times New Roman" w:hAnsi="Times New Roman" w:eastAsia="宋体" w:cs="Times New Roman"/>
                <w:b/>
                <w:color w:val="auto"/>
                <w:kern w:val="0"/>
                <w:sz w:val="28"/>
                <w:szCs w:val="28"/>
                <w:highlight w:val="none"/>
                <w:lang w:eastAsia="zh-CN"/>
              </w:rPr>
            </w:pPr>
            <w:r>
              <w:rPr>
                <w:rFonts w:hint="eastAsia" w:ascii="Times New Roman" w:hAnsi="Times New Roman" w:eastAsia="宋体" w:cs="Times New Roman"/>
                <w:b/>
                <w:color w:val="auto"/>
                <w:kern w:val="0"/>
                <w:sz w:val="28"/>
                <w:szCs w:val="28"/>
                <w:highlight w:val="none"/>
                <w:lang w:val="en-US" w:eastAsia="zh-CN"/>
              </w:rPr>
              <w:t>1.2.2</w:t>
            </w:r>
            <w:r>
              <w:rPr>
                <w:rFonts w:hint="eastAsia" w:ascii="Times New Roman" w:hAnsi="Times New Roman" w:eastAsia="宋体" w:cs="Times New Roman"/>
                <w:b/>
                <w:color w:val="auto"/>
                <w:kern w:val="0"/>
                <w:sz w:val="28"/>
                <w:szCs w:val="28"/>
                <w:highlight w:val="none"/>
                <w:lang w:eastAsia="zh-CN"/>
              </w:rPr>
              <w:t>“三线一单”分区管控意见相符性分析</w:t>
            </w:r>
          </w:p>
          <w:p w14:paraId="04885A14">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2024年8月广西壮族自治区生态环境厅《广西壮族自治区生态环境厅关于印发实施广西壮族自治区生态环境分区管控动态更新成果（2023年）的通知》（桂环规范〔2024〕3号）、钦州市生态环境局关于印发《钦州市生态环境分区管控动态更新成果》（2023版）的通知相关要求，分析论证项目与生态环境分区管控要求的相符性。</w:t>
            </w:r>
          </w:p>
          <w:p w14:paraId="577E937A">
            <w:pPr>
              <w:numPr>
                <w:ilvl w:val="0"/>
                <w:numId w:val="4"/>
              </w:numPr>
              <w:autoSpaceDE w:val="0"/>
              <w:autoSpaceDN w:val="0"/>
              <w:adjustRightInd w:val="0"/>
              <w:snapToGrid w:val="0"/>
              <w:spacing w:line="360" w:lineRule="auto"/>
              <w:ind w:firstLine="482"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广西壮族自治区关于生态环境分区管控的实施意见</w:t>
            </w:r>
          </w:p>
          <w:p w14:paraId="7A1EF679">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①环境管控单元</w:t>
            </w:r>
          </w:p>
          <w:p w14:paraId="0B6A6D31">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根据《广西壮族自治区人民政府关于实施</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三线一单</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生态环境分区管控的意见》（桂政发〔</w:t>
            </w:r>
            <w:r>
              <w:rPr>
                <w:rFonts w:hint="default" w:ascii="Times New Roman" w:hAnsi="Times New Roman" w:eastAsia="宋体" w:cs="Times New Roman"/>
                <w:color w:val="auto"/>
                <w:sz w:val="24"/>
                <w:highlight w:val="none"/>
                <w:lang w:val="en-US" w:eastAsia="zh-CN"/>
              </w:rPr>
              <w:t>2020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号）广西壮族自治区将按照国土空间规划确定的生态保护红线、资源利用上线和生态环境部门确定的环境质量底线进行生态环境综合评价后所提出的管控要求，将全区行政区域从生态环境保护角度划分为优先保护单元、重点管控单元、一般管控单元三类环境管控单元。其中陆域环境管控单元分类如下：</w:t>
            </w:r>
          </w:p>
          <w:p w14:paraId="1658784C">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优先保护单元主要包括生态保护红线、自然保护地、县级以上饮用水水源保护区、环境空气一类功能区等生态功能区域；重点管控单元主要包括工业园区、县级以上城镇中心城区及规划区、矿产开采区、港区等开发强度高、污染物排放强度大的区域，以及环境问题相对集中的区域；一般管控单元为优先保护单元、重点管控单元以外的区域。</w:t>
            </w:r>
          </w:p>
          <w:p w14:paraId="5F48031D">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根据《广西壮族自治区生态环境厅关于印发实施广西壮族自治区生态环境分区管控动态更新成果（</w:t>
            </w:r>
            <w:r>
              <w:rPr>
                <w:rFonts w:hint="default" w:ascii="Times New Roman" w:hAnsi="Times New Roman" w:eastAsia="宋体" w:cs="Times New Roman"/>
                <w:color w:val="auto"/>
                <w:sz w:val="24"/>
                <w:highlight w:val="none"/>
                <w:lang w:val="en-US" w:eastAsia="zh-CN"/>
              </w:rPr>
              <w:t>2023</w:t>
            </w:r>
            <w:r>
              <w:rPr>
                <w:rFonts w:hint="eastAsia" w:ascii="Times New Roman" w:hAnsi="Times New Roman" w:eastAsia="宋体" w:cs="Times New Roman"/>
                <w:color w:val="auto"/>
                <w:sz w:val="24"/>
                <w:highlight w:val="none"/>
                <w:lang w:val="en-US" w:eastAsia="zh-CN"/>
              </w:rPr>
              <w:t>年）的通知》（桂环规范〔</w:t>
            </w:r>
            <w:r>
              <w:rPr>
                <w:rFonts w:hint="default" w:ascii="Times New Roman" w:hAnsi="Times New Roman"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号），全区陆域共划分为</w:t>
            </w:r>
            <w:r>
              <w:rPr>
                <w:rFonts w:hint="default" w:ascii="Times New Roman" w:hAnsi="Times New Roman" w:eastAsia="宋体" w:cs="Times New Roman"/>
                <w:color w:val="auto"/>
                <w:sz w:val="24"/>
                <w:highlight w:val="none"/>
                <w:lang w:val="en-US" w:eastAsia="zh-CN"/>
              </w:rPr>
              <w:t>1461</w:t>
            </w:r>
            <w:r>
              <w:rPr>
                <w:rFonts w:hint="eastAsia" w:ascii="Times New Roman" w:hAnsi="Times New Roman" w:eastAsia="宋体" w:cs="Times New Roman"/>
                <w:color w:val="auto"/>
                <w:sz w:val="24"/>
                <w:highlight w:val="none"/>
                <w:lang w:val="en-US" w:eastAsia="zh-CN"/>
              </w:rPr>
              <w:t>个环境管控单元。其中，优先保护单元</w:t>
            </w:r>
            <w:r>
              <w:rPr>
                <w:rFonts w:hint="default" w:ascii="Times New Roman" w:hAnsi="Times New Roman" w:eastAsia="宋体" w:cs="Times New Roman"/>
                <w:color w:val="auto"/>
                <w:sz w:val="24"/>
                <w:highlight w:val="none"/>
                <w:lang w:val="en-US" w:eastAsia="zh-CN"/>
              </w:rPr>
              <w:t>831</w:t>
            </w:r>
            <w:r>
              <w:rPr>
                <w:rFonts w:hint="eastAsia" w:ascii="Times New Roman" w:hAnsi="Times New Roman" w:eastAsia="宋体" w:cs="Times New Roman"/>
                <w:color w:val="auto"/>
                <w:sz w:val="24"/>
                <w:highlight w:val="none"/>
                <w:lang w:val="en-US" w:eastAsia="zh-CN"/>
              </w:rPr>
              <w:t>个，重点管控单元</w:t>
            </w:r>
            <w:r>
              <w:rPr>
                <w:rFonts w:hint="default" w:ascii="Times New Roman" w:hAnsi="Times New Roman" w:eastAsia="宋体" w:cs="Times New Roman"/>
                <w:color w:val="auto"/>
                <w:sz w:val="24"/>
                <w:highlight w:val="none"/>
                <w:lang w:val="en-US" w:eastAsia="zh-CN"/>
              </w:rPr>
              <w:t>519</w:t>
            </w:r>
            <w:r>
              <w:rPr>
                <w:rFonts w:hint="eastAsia" w:ascii="Times New Roman" w:hAnsi="Times New Roman" w:eastAsia="宋体" w:cs="Times New Roman"/>
                <w:color w:val="auto"/>
                <w:sz w:val="24"/>
                <w:highlight w:val="none"/>
                <w:lang w:val="en-US" w:eastAsia="zh-CN"/>
              </w:rPr>
              <w:t>个，一般管控单元</w:t>
            </w:r>
            <w:r>
              <w:rPr>
                <w:rFonts w:hint="default" w:ascii="Times New Roman" w:hAnsi="Times New Roman" w:eastAsia="宋体" w:cs="Times New Roman"/>
                <w:color w:val="auto"/>
                <w:sz w:val="24"/>
                <w:highlight w:val="none"/>
                <w:lang w:val="en-US" w:eastAsia="zh-CN"/>
              </w:rPr>
              <w:t>111</w:t>
            </w:r>
            <w:r>
              <w:rPr>
                <w:rFonts w:hint="eastAsia" w:ascii="Times New Roman" w:hAnsi="Times New Roman" w:eastAsia="宋体" w:cs="Times New Roman"/>
                <w:color w:val="auto"/>
                <w:sz w:val="24"/>
                <w:highlight w:val="none"/>
                <w:lang w:val="en-US" w:eastAsia="zh-CN"/>
              </w:rPr>
              <w:t>个。近岸海域共划分为</w:t>
            </w:r>
            <w:r>
              <w:rPr>
                <w:rFonts w:hint="default" w:ascii="Times New Roman" w:hAnsi="Times New Roman" w:eastAsia="宋体" w:cs="Times New Roman"/>
                <w:color w:val="auto"/>
                <w:sz w:val="24"/>
                <w:highlight w:val="none"/>
                <w:lang w:val="en-US" w:eastAsia="zh-CN"/>
              </w:rPr>
              <w:t>212</w:t>
            </w:r>
            <w:r>
              <w:rPr>
                <w:rFonts w:hint="eastAsia" w:ascii="Times New Roman" w:hAnsi="Times New Roman" w:eastAsia="宋体" w:cs="Times New Roman"/>
                <w:color w:val="auto"/>
                <w:sz w:val="24"/>
                <w:highlight w:val="none"/>
                <w:lang w:val="en-US" w:eastAsia="zh-CN"/>
              </w:rPr>
              <w:t>个环境管控单元。其中，优先保护单元</w:t>
            </w:r>
            <w:r>
              <w:rPr>
                <w:rFonts w:hint="default" w:ascii="Times New Roman" w:hAnsi="Times New Roman" w:eastAsia="宋体" w:cs="Times New Roman"/>
                <w:color w:val="auto"/>
                <w:sz w:val="24"/>
                <w:highlight w:val="none"/>
                <w:lang w:val="en-US" w:eastAsia="zh-CN"/>
              </w:rPr>
              <w:t>101</w:t>
            </w:r>
            <w:r>
              <w:rPr>
                <w:rFonts w:hint="eastAsia" w:ascii="Times New Roman" w:hAnsi="Times New Roman" w:eastAsia="宋体" w:cs="Times New Roman"/>
                <w:color w:val="auto"/>
                <w:sz w:val="24"/>
                <w:highlight w:val="none"/>
                <w:lang w:val="en-US" w:eastAsia="zh-CN"/>
              </w:rPr>
              <w:t>个，重点管控单元</w:t>
            </w:r>
            <w:r>
              <w:rPr>
                <w:rFonts w:hint="default" w:ascii="Times New Roman" w:hAnsi="Times New Roman" w:eastAsia="宋体" w:cs="Times New Roman"/>
                <w:color w:val="auto"/>
                <w:sz w:val="24"/>
                <w:highlight w:val="none"/>
                <w:lang w:val="en-US" w:eastAsia="zh-CN"/>
              </w:rPr>
              <w:t>72</w:t>
            </w:r>
            <w:r>
              <w:rPr>
                <w:rFonts w:hint="eastAsia" w:ascii="Times New Roman" w:hAnsi="Times New Roman" w:eastAsia="宋体" w:cs="Times New Roman"/>
                <w:color w:val="auto"/>
                <w:sz w:val="24"/>
                <w:highlight w:val="none"/>
                <w:lang w:val="en-US" w:eastAsia="zh-CN"/>
              </w:rPr>
              <w:t>个，一般管控单元</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个。</w:t>
            </w:r>
          </w:p>
          <w:p w14:paraId="13E3928E">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②生态准入负面清单</w:t>
            </w:r>
          </w:p>
          <w:p w14:paraId="3186945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根据《广西壮族自治区人民政府关于实施</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三线一单</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生态环境分区管控的意见》（桂政发〔</w:t>
            </w:r>
            <w:r>
              <w:rPr>
                <w:rFonts w:hint="default" w:ascii="Times New Roman" w:hAnsi="Times New Roman" w:eastAsia="宋体" w:cs="Times New Roman"/>
                <w:color w:val="auto"/>
                <w:sz w:val="24"/>
                <w:highlight w:val="none"/>
                <w:lang w:val="en-US" w:eastAsia="zh-CN"/>
              </w:rPr>
              <w:t>2020</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39</w:t>
            </w:r>
            <w:r>
              <w:rPr>
                <w:rFonts w:hint="eastAsia" w:ascii="Times New Roman" w:hAnsi="Times New Roman" w:eastAsia="宋体" w:cs="Times New Roman"/>
                <w:color w:val="auto"/>
                <w:sz w:val="24"/>
                <w:highlight w:val="none"/>
                <w:lang w:val="en-US" w:eastAsia="zh-CN"/>
              </w:rPr>
              <w:t>号），广西壮族自治区将以环境管控单元为基础，衔接区域发展战略、国土空间规划和生态功能定位，坚持目标导向和问题导向，从空间布局约束、污染物排放管控、环境风险防控和资源利用效率等方面明确生态环境准入要求，建立全区生态环境准入原则清单。陆域生态环境管控单元内环境准入要求如下：</w:t>
            </w:r>
          </w:p>
          <w:p w14:paraId="74946FE0">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Ⅰ</w:t>
            </w:r>
            <w:r>
              <w:rPr>
                <w:rFonts w:hint="eastAsia" w:ascii="Times New Roman" w:hAnsi="Times New Roman" w:eastAsia="宋体" w:cs="Times New Roman"/>
                <w:color w:val="auto"/>
                <w:sz w:val="24"/>
                <w:highlight w:val="none"/>
                <w:lang w:val="en-US" w:eastAsia="zh-CN"/>
              </w:rPr>
              <w:t>、优先保护单元</w:t>
            </w:r>
          </w:p>
          <w:p w14:paraId="7A13F295">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优先保护单元内，依法禁止或限制大规模、高强度的工业和城镇开发建设；单元内的开发建设活动须在符合法律法规和相关规划的前提下，按照保护优先的原则，避免损害所在单元的生态服务功能和生态产品质量；涉及生态保护红线的，按照国家和自治区相关规定进行管控；在功能受损的优先保护单元优先开展生态保护修复活动，恢复生态系统服务功能。</w:t>
            </w:r>
          </w:p>
          <w:p w14:paraId="0BE705C4">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Ⅱ</w:t>
            </w:r>
            <w:r>
              <w:rPr>
                <w:rFonts w:hint="eastAsia" w:ascii="Times New Roman" w:hAnsi="Times New Roman" w:eastAsia="宋体" w:cs="Times New Roman"/>
                <w:color w:val="auto"/>
                <w:sz w:val="24"/>
                <w:highlight w:val="none"/>
                <w:lang w:val="en-US" w:eastAsia="zh-CN"/>
              </w:rPr>
              <w:t>、重点管控单元</w:t>
            </w:r>
          </w:p>
          <w:p w14:paraId="69B8EB13">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重点管控单元内，根据单元内生态环境质量目标和资源环境管控要求，结合经济社会发展水平，按照差别化的生态环境准入要求，优化空间和产业布局，加强污染物排放控制和环境风险防控，不断提升资源利用效率，解决局部生态环境质量不达标、生态环境风险高的问题。</w:t>
            </w:r>
          </w:p>
          <w:p w14:paraId="543DDEDB">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Ⅲ</w:t>
            </w:r>
            <w:r>
              <w:rPr>
                <w:rFonts w:hint="eastAsia" w:ascii="Times New Roman" w:hAnsi="Times New Roman" w:eastAsia="宋体" w:cs="Times New Roman"/>
                <w:color w:val="auto"/>
                <w:sz w:val="24"/>
                <w:highlight w:val="none"/>
                <w:lang w:val="en-US" w:eastAsia="zh-CN"/>
              </w:rPr>
              <w:t>、一般管控单元</w:t>
            </w:r>
          </w:p>
          <w:p w14:paraId="28BBCD6F">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在陆域一般管控单元内，主要落实生态环境保护的基本要求。</w:t>
            </w:r>
          </w:p>
          <w:p w14:paraId="6033FCBF">
            <w:pPr>
              <w:numPr>
                <w:ilvl w:val="0"/>
                <w:numId w:val="4"/>
              </w:numPr>
              <w:autoSpaceDE w:val="0"/>
              <w:autoSpaceDN w:val="0"/>
              <w:adjustRightInd w:val="0"/>
              <w:snapToGrid w:val="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四大板块生态环境总体准入及管控相符性分析</w:t>
            </w:r>
          </w:p>
          <w:p w14:paraId="477498CC">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全区建立</w:t>
            </w:r>
            <w:r>
              <w:rPr>
                <w:rFonts w:hint="default" w:ascii="Times New Roman" w:hAnsi="Times New Roman" w:eastAsia="宋体" w:cs="Times New Roman"/>
                <w:color w:val="auto"/>
                <w:sz w:val="24"/>
                <w:highlight w:val="none"/>
                <w:lang w:val="en-US" w:eastAsia="zh-CN"/>
              </w:rPr>
              <w:t>“1+4+14+1554”</w:t>
            </w:r>
            <w:r>
              <w:rPr>
                <w:rFonts w:hint="eastAsia" w:ascii="Times New Roman" w:hAnsi="Times New Roman" w:eastAsia="宋体" w:cs="Times New Roman"/>
                <w:color w:val="auto"/>
                <w:sz w:val="24"/>
                <w:highlight w:val="none"/>
                <w:lang w:val="en-US" w:eastAsia="zh-CN"/>
              </w:rPr>
              <w:t>生态环境准入清单管控体系，从空间布局约束、污染物排放管控、环境风险防控和资源开发利用效率等四个维度明确生态环境准入及管控要求。</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为全区生态环境总体准入及管控要求；</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为四大板块，包括北部湾经济区、左右江革命老区、西江经济带、桂林国际旅游胜地生态环境总体准入及管控要求；</w:t>
            </w:r>
            <w:r>
              <w:rPr>
                <w:rFonts w:hint="default" w:ascii="Times New Roman" w:hAnsi="Times New Roman" w:eastAsia="宋体" w:cs="Times New Roman"/>
                <w:color w:val="auto"/>
                <w:sz w:val="24"/>
                <w:highlight w:val="none"/>
                <w:lang w:val="en-US" w:eastAsia="zh-CN"/>
              </w:rPr>
              <w:t>“14”</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14</w:t>
            </w:r>
            <w:r>
              <w:rPr>
                <w:rFonts w:hint="eastAsia" w:ascii="Times New Roman" w:hAnsi="Times New Roman" w:eastAsia="宋体" w:cs="Times New Roman"/>
                <w:color w:val="auto"/>
                <w:sz w:val="24"/>
                <w:highlight w:val="none"/>
                <w:lang w:val="en-US" w:eastAsia="zh-CN"/>
              </w:rPr>
              <w:t>个设区市生态环境准入及管控要求；</w:t>
            </w:r>
            <w:r>
              <w:rPr>
                <w:rFonts w:hint="default" w:ascii="Times New Roman" w:hAnsi="Times New Roman" w:eastAsia="宋体" w:cs="Times New Roman"/>
                <w:color w:val="auto"/>
                <w:sz w:val="24"/>
                <w:highlight w:val="none"/>
                <w:lang w:val="en-US" w:eastAsia="zh-CN"/>
              </w:rPr>
              <w:t>“1554”</w:t>
            </w:r>
            <w:r>
              <w:rPr>
                <w:rFonts w:hint="eastAsia" w:ascii="Times New Roman" w:hAnsi="Times New Roman" w:eastAsia="宋体" w:cs="Times New Roman"/>
                <w:color w:val="auto"/>
                <w:sz w:val="24"/>
                <w:highlight w:val="none"/>
                <w:lang w:val="en-US" w:eastAsia="zh-CN"/>
              </w:rPr>
              <w:t>为全区划分的环境管控单元生态环境准入及管控要求。按照分批、分级适时发布的原则，由自治区发布自治区及四大板块生态环境总体准入及管控要求。</w:t>
            </w:r>
          </w:p>
          <w:p w14:paraId="3696EF07">
            <w:pPr>
              <w:autoSpaceDE w:val="0"/>
              <w:autoSpaceDN w:val="0"/>
              <w:adjustRightInd w:val="0"/>
              <w:snapToGrid w:val="0"/>
              <w:spacing w:line="360" w:lineRule="auto"/>
              <w:ind w:firstLine="480" w:firstLineChars="200"/>
              <w:rPr>
                <w:rFonts w:hAnsi="宋体" w:cs="宋体"/>
                <w:color w:val="auto"/>
                <w:kern w:val="0"/>
                <w:sz w:val="24"/>
                <w:highlight w:val="none"/>
              </w:rPr>
            </w:pPr>
            <w:r>
              <w:rPr>
                <w:rFonts w:hint="eastAsia" w:ascii="Times New Roman" w:hAnsi="Times New Roman" w:eastAsia="宋体" w:cs="Times New Roman"/>
                <w:color w:val="auto"/>
                <w:sz w:val="24"/>
                <w:highlight w:val="none"/>
                <w:lang w:val="en-US" w:eastAsia="zh-CN"/>
              </w:rPr>
              <w:t>项目位于钦州市，属于北部湾经济区，项目与北部湾生态环境总体准入及管控要求符合性分析见下表。根据分析，项目在采取相关环保措施前提下，符合广西壮族自治区四大板块中北</w:t>
            </w:r>
            <w:r>
              <w:rPr>
                <w:rFonts w:hint="eastAsia" w:ascii="Times New Roman" w:hAnsi="Times New Roman" w:eastAsia="宋体" w:cs="Times New Roman"/>
                <w:color w:val="auto"/>
                <w:sz w:val="24"/>
                <w:highlight w:val="none"/>
                <w:u w:val="none"/>
                <w:lang w:val="en-US" w:eastAsia="zh-CN"/>
              </w:rPr>
              <w:t>部湾经济区生态环境总体准入及管控要求。</w:t>
            </w:r>
          </w:p>
        </w:tc>
      </w:tr>
    </w:tbl>
    <w:p w14:paraId="2953D648">
      <w:pPr>
        <w:rPr>
          <w:color w:val="auto"/>
          <w:highlight w:val="none"/>
        </w:rPr>
      </w:pPr>
    </w:p>
    <w:p w14:paraId="1E51EBD6">
      <w:pPr>
        <w:rPr>
          <w:color w:val="auto"/>
          <w:highlight w:val="none"/>
        </w:rPr>
        <w:sectPr>
          <w:headerReference r:id="rId5" w:type="default"/>
          <w:footerReference r:id="rId6" w:type="default"/>
          <w:pgSz w:w="11906" w:h="16838"/>
          <w:pgMar w:top="1701" w:right="1531" w:bottom="1701" w:left="1531" w:header="851" w:footer="1077" w:gutter="0"/>
          <w:pgNumType w:start="1"/>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0609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9" w:hRule="atLeast"/>
        </w:trPr>
        <w:tc>
          <w:tcPr>
            <w:tcW w:w="13652" w:type="dxa"/>
            <w:noWrap w:val="0"/>
            <w:vAlign w:val="top"/>
          </w:tcPr>
          <w:p w14:paraId="727DAC51">
            <w:pPr>
              <w:widowControl/>
              <w:jc w:val="center"/>
              <w:rPr>
                <w:b/>
                <w:bCs/>
                <w:color w:val="auto"/>
                <w:szCs w:val="21"/>
                <w:highlight w:val="none"/>
                <w:u w:val="none"/>
              </w:rPr>
            </w:pPr>
            <w:r>
              <w:rPr>
                <w:b/>
                <w:bCs/>
                <w:color w:val="auto"/>
                <w:szCs w:val="21"/>
                <w:highlight w:val="none"/>
                <w:u w:val="none"/>
              </w:rPr>
              <w:t>表</w:t>
            </w:r>
            <w:r>
              <w:rPr>
                <w:rFonts w:hint="eastAsia"/>
                <w:b/>
                <w:bCs/>
                <w:color w:val="auto"/>
                <w:szCs w:val="21"/>
                <w:highlight w:val="none"/>
                <w:u w:val="none"/>
                <w:lang w:val="en-US" w:eastAsia="zh-CN"/>
              </w:rPr>
              <w:t>1.2-1</w:t>
            </w:r>
            <w:r>
              <w:rPr>
                <w:b/>
                <w:bCs/>
                <w:color w:val="auto"/>
                <w:szCs w:val="21"/>
                <w:highlight w:val="none"/>
                <w:u w:val="none"/>
              </w:rPr>
              <w:t>项目与</w:t>
            </w:r>
            <w:r>
              <w:rPr>
                <w:rFonts w:hint="eastAsia"/>
                <w:b/>
                <w:bCs/>
                <w:color w:val="auto"/>
                <w:szCs w:val="21"/>
                <w:highlight w:val="none"/>
                <w:u w:val="none"/>
                <w:lang w:val="en-US" w:eastAsia="zh-CN"/>
              </w:rPr>
              <w:t>北部湾经济区生态环境准入及管控要求</w:t>
            </w:r>
            <w:r>
              <w:rPr>
                <w:b/>
                <w:bCs/>
                <w:color w:val="auto"/>
                <w:szCs w:val="21"/>
                <w:highlight w:val="none"/>
                <w:u w:val="none"/>
              </w:rPr>
              <w:t>符合性分析</w:t>
            </w:r>
          </w:p>
          <w:tbl>
            <w:tblPr>
              <w:tblStyle w:val="4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6"/>
              <w:gridCol w:w="9959"/>
              <w:gridCol w:w="1795"/>
              <w:gridCol w:w="615"/>
            </w:tblGrid>
            <w:tr w14:paraId="5DD2E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noWrap w:val="0"/>
                  <w:vAlign w:val="center"/>
                </w:tcPr>
                <w:p w14:paraId="52227E48">
                  <w:pPr>
                    <w:adjustRightInd w:val="0"/>
                    <w:snapToGrid w:val="0"/>
                    <w:jc w:val="center"/>
                    <w:rPr>
                      <w:rFonts w:hint="default" w:eastAsia="宋体"/>
                      <w:b/>
                      <w:bCs/>
                      <w:color w:val="auto"/>
                      <w:szCs w:val="21"/>
                      <w:highlight w:val="none"/>
                      <w:u w:val="none"/>
                      <w:lang w:val="en-US" w:eastAsia="zh-CN"/>
                    </w:rPr>
                  </w:pPr>
                  <w:r>
                    <w:rPr>
                      <w:rFonts w:hint="eastAsia"/>
                      <w:b/>
                      <w:bCs/>
                      <w:color w:val="auto"/>
                      <w:szCs w:val="21"/>
                      <w:highlight w:val="none"/>
                      <w:u w:val="none"/>
                      <w:lang w:val="en-US" w:eastAsia="zh-CN"/>
                    </w:rPr>
                    <w:t>管控要求类别</w:t>
                  </w:r>
                </w:p>
              </w:tc>
              <w:tc>
                <w:tcPr>
                  <w:tcW w:w="3711" w:type="pct"/>
                  <w:noWrap w:val="0"/>
                  <w:vAlign w:val="center"/>
                </w:tcPr>
                <w:p w14:paraId="6D0C6CE1">
                  <w:pPr>
                    <w:adjustRightInd w:val="0"/>
                    <w:snapToGrid w:val="0"/>
                    <w:jc w:val="center"/>
                    <w:rPr>
                      <w:rFonts w:hint="eastAsia"/>
                      <w:b/>
                      <w:bCs/>
                      <w:color w:val="auto"/>
                      <w:szCs w:val="21"/>
                      <w:highlight w:val="none"/>
                      <w:u w:val="none"/>
                    </w:rPr>
                  </w:pPr>
                  <w:r>
                    <w:rPr>
                      <w:rFonts w:hint="eastAsia"/>
                      <w:b/>
                      <w:bCs/>
                      <w:color w:val="auto"/>
                      <w:szCs w:val="21"/>
                      <w:highlight w:val="none"/>
                      <w:u w:val="none"/>
                    </w:rPr>
                    <w:t>禁止事项清单</w:t>
                  </w:r>
                </w:p>
              </w:tc>
              <w:tc>
                <w:tcPr>
                  <w:tcW w:w="669" w:type="pct"/>
                  <w:noWrap w:val="0"/>
                  <w:vAlign w:val="center"/>
                </w:tcPr>
                <w:p w14:paraId="39E0C97D">
                  <w:pPr>
                    <w:adjustRightInd w:val="0"/>
                    <w:snapToGrid w:val="0"/>
                    <w:jc w:val="center"/>
                    <w:rPr>
                      <w:rFonts w:hint="eastAsia"/>
                      <w:b/>
                      <w:bCs/>
                      <w:color w:val="auto"/>
                      <w:szCs w:val="21"/>
                      <w:highlight w:val="none"/>
                      <w:u w:val="none"/>
                    </w:rPr>
                  </w:pPr>
                  <w:r>
                    <w:rPr>
                      <w:rFonts w:hint="eastAsia"/>
                      <w:b/>
                      <w:bCs/>
                      <w:color w:val="auto"/>
                      <w:szCs w:val="21"/>
                      <w:highlight w:val="none"/>
                      <w:u w:val="none"/>
                    </w:rPr>
                    <w:t>项目情况</w:t>
                  </w:r>
                </w:p>
              </w:tc>
              <w:tc>
                <w:tcPr>
                  <w:tcW w:w="229" w:type="pct"/>
                  <w:noWrap w:val="0"/>
                  <w:vAlign w:val="center"/>
                </w:tcPr>
                <w:p w14:paraId="20182EEF">
                  <w:pPr>
                    <w:adjustRightInd w:val="0"/>
                    <w:snapToGrid w:val="0"/>
                    <w:jc w:val="center"/>
                    <w:rPr>
                      <w:rFonts w:hint="eastAsia"/>
                      <w:b/>
                      <w:bCs/>
                      <w:color w:val="auto"/>
                      <w:szCs w:val="21"/>
                      <w:highlight w:val="none"/>
                      <w:u w:val="none"/>
                    </w:rPr>
                  </w:pPr>
                  <w:r>
                    <w:rPr>
                      <w:rFonts w:hint="eastAsia"/>
                      <w:b/>
                      <w:bCs/>
                      <w:color w:val="auto"/>
                      <w:szCs w:val="21"/>
                      <w:highlight w:val="none"/>
                      <w:u w:val="none"/>
                    </w:rPr>
                    <w:t>符合性</w:t>
                  </w:r>
                </w:p>
              </w:tc>
            </w:tr>
            <w:tr w14:paraId="42A83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47FFBE35">
                  <w:pPr>
                    <w:pStyle w:val="223"/>
                    <w:widowControl w:val="0"/>
                    <w:jc w:val="center"/>
                    <w:rPr>
                      <w:rFonts w:hint="eastAsia"/>
                      <w:color w:val="auto"/>
                      <w:szCs w:val="21"/>
                      <w:highlight w:val="none"/>
                      <w:u w:val="none"/>
                    </w:rPr>
                  </w:pPr>
                  <w:r>
                    <w:rPr>
                      <w:rFonts w:hAnsi="宋体" w:eastAsia="宋体"/>
                      <w:color w:val="auto"/>
                      <w:kern w:val="2"/>
                      <w:sz w:val="21"/>
                      <w:highlight w:val="none"/>
                      <w:u w:val="none"/>
                      <w:lang w:bidi="ar-SA"/>
                    </w:rPr>
                    <w:t>空间布局约束</w:t>
                  </w:r>
                </w:p>
              </w:tc>
              <w:tc>
                <w:tcPr>
                  <w:tcW w:w="3711" w:type="pct"/>
                  <w:noWrap w:val="0"/>
                  <w:vAlign w:val="center"/>
                </w:tcPr>
                <w:p w14:paraId="49A647A0">
                  <w:pPr>
                    <w:pStyle w:val="223"/>
                    <w:widowControl w:val="0"/>
                    <w:spacing w:line="240" w:lineRule="auto"/>
                    <w:jc w:val="both"/>
                    <w:rPr>
                      <w:rFonts w:hint="eastAsia"/>
                      <w:color w:val="auto"/>
                      <w:szCs w:val="21"/>
                      <w:highlight w:val="none"/>
                      <w:u w:val="non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．坚持高质量发展和高水平保护并重，引领广西高质量发展的重要增长极和成为具有区域影响力和带动力的重要增长极，建设宜居宜业宜游蓝色生态湾区。</w:t>
                  </w:r>
                </w:p>
              </w:tc>
              <w:tc>
                <w:tcPr>
                  <w:tcW w:w="669" w:type="pct"/>
                  <w:noWrap w:val="0"/>
                  <w:vAlign w:val="center"/>
                </w:tcPr>
                <w:p w14:paraId="2A7D93C3">
                  <w:pPr>
                    <w:adjustRightInd w:val="0"/>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本项目不涉及。</w:t>
                  </w:r>
                </w:p>
              </w:tc>
              <w:tc>
                <w:tcPr>
                  <w:tcW w:w="229" w:type="pct"/>
                  <w:noWrap w:val="0"/>
                  <w:vAlign w:val="center"/>
                </w:tcPr>
                <w:p w14:paraId="6E6DD300">
                  <w:pPr>
                    <w:adjustRightInd w:val="0"/>
                    <w:snapToGrid w:val="0"/>
                    <w:jc w:val="center"/>
                    <w:rPr>
                      <w:rFonts w:hint="eastAsia" w:eastAsia="宋体"/>
                      <w:color w:val="auto"/>
                      <w:szCs w:val="21"/>
                      <w:highlight w:val="none"/>
                      <w:u w:val="none"/>
                      <w:lang w:val="en-US" w:eastAsia="zh-CN"/>
                    </w:rPr>
                  </w:pPr>
                  <w:r>
                    <w:rPr>
                      <w:rFonts w:hint="eastAsia"/>
                      <w:color w:val="auto"/>
                      <w:szCs w:val="21"/>
                      <w:highlight w:val="none"/>
                      <w:u w:val="none"/>
                      <w:lang w:val="en-US" w:eastAsia="zh-CN"/>
                    </w:rPr>
                    <w:t>符合</w:t>
                  </w:r>
                </w:p>
              </w:tc>
            </w:tr>
            <w:tr w14:paraId="32F60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C871309">
                  <w:pPr>
                    <w:pStyle w:val="223"/>
                    <w:widowControl w:val="0"/>
                    <w:jc w:val="both"/>
                    <w:rPr>
                      <w:color w:val="auto"/>
                      <w:highlight w:val="none"/>
                      <w:u w:val="none"/>
                    </w:rPr>
                  </w:pPr>
                </w:p>
              </w:tc>
              <w:tc>
                <w:tcPr>
                  <w:tcW w:w="3711" w:type="pct"/>
                  <w:noWrap w:val="0"/>
                  <w:vAlign w:val="center"/>
                </w:tcPr>
                <w:p w14:paraId="756953CA">
                  <w:pPr>
                    <w:pStyle w:val="223"/>
                    <w:widowControl w:val="0"/>
                    <w:spacing w:line="240" w:lineRule="auto"/>
                    <w:jc w:val="both"/>
                    <w:rPr>
                      <w:rFonts w:hint="eastAsia"/>
                      <w:color w:val="auto"/>
                      <w:szCs w:val="21"/>
                      <w:highlight w:val="none"/>
                      <w:u w:val="none"/>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．实行严格的资源环境生态红线管控，合理开发和节约资源，加强对水源林、防护林、湿地等生态系统的保护与修复。</w:t>
                  </w:r>
                </w:p>
              </w:tc>
              <w:tc>
                <w:tcPr>
                  <w:tcW w:w="669" w:type="pct"/>
                  <w:noWrap w:val="0"/>
                  <w:vAlign w:val="center"/>
                </w:tcPr>
                <w:p w14:paraId="4AD2C50D">
                  <w:pPr>
                    <w:widowControl w:val="0"/>
                    <w:jc w:val="center"/>
                    <w:rPr>
                      <w:rFonts w:hint="eastAsia"/>
                      <w:color w:val="auto"/>
                      <w:szCs w:val="21"/>
                      <w:highlight w:val="none"/>
                      <w:u w:val="none"/>
                    </w:rPr>
                  </w:pPr>
                  <w:r>
                    <w:rPr>
                      <w:rFonts w:hint="eastAsia"/>
                      <w:color w:val="auto"/>
                      <w:szCs w:val="21"/>
                      <w:highlight w:val="none"/>
                      <w:u w:val="none"/>
                      <w:lang w:val="en-US" w:eastAsia="zh-CN"/>
                    </w:rPr>
                    <w:t>本项目不涉及。</w:t>
                  </w:r>
                </w:p>
              </w:tc>
              <w:tc>
                <w:tcPr>
                  <w:tcW w:w="229" w:type="pct"/>
                  <w:noWrap w:val="0"/>
                  <w:vAlign w:val="center"/>
                </w:tcPr>
                <w:p w14:paraId="376654BB">
                  <w:pPr>
                    <w:widowControl w:val="0"/>
                    <w:jc w:val="center"/>
                    <w:rPr>
                      <w:rFonts w:hint="eastAsia"/>
                      <w:color w:val="auto"/>
                      <w:szCs w:val="21"/>
                      <w:highlight w:val="none"/>
                      <w:u w:val="none"/>
                    </w:rPr>
                  </w:pPr>
                  <w:r>
                    <w:rPr>
                      <w:rFonts w:hint="eastAsia"/>
                      <w:color w:val="auto"/>
                      <w:szCs w:val="21"/>
                      <w:highlight w:val="none"/>
                      <w:u w:val="none"/>
                      <w:lang w:val="en-US" w:eastAsia="zh-CN"/>
                    </w:rPr>
                    <w:t>符合</w:t>
                  </w:r>
                </w:p>
              </w:tc>
            </w:tr>
            <w:tr w14:paraId="37173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4228C18">
                  <w:pPr>
                    <w:pStyle w:val="223"/>
                    <w:widowControl w:val="0"/>
                    <w:jc w:val="both"/>
                    <w:rPr>
                      <w:color w:val="auto"/>
                      <w:highlight w:val="none"/>
                      <w:u w:val="none"/>
                    </w:rPr>
                  </w:pPr>
                </w:p>
              </w:tc>
              <w:tc>
                <w:tcPr>
                  <w:tcW w:w="3711" w:type="pct"/>
                  <w:noWrap w:val="0"/>
                  <w:vAlign w:val="center"/>
                </w:tcPr>
                <w:p w14:paraId="5452FFF8">
                  <w:pPr>
                    <w:pStyle w:val="223"/>
                    <w:widowControl w:val="0"/>
                    <w:spacing w:line="240" w:lineRule="auto"/>
                    <w:jc w:val="both"/>
                    <w:rPr>
                      <w:rFonts w:eastAsia="宋体"/>
                      <w:color w:val="auto"/>
                      <w:kern w:val="2"/>
                      <w:sz w:val="21"/>
                      <w:highlight w:val="none"/>
                      <w:u w:val="none"/>
                      <w:lang w:bidi="ar-SA"/>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tc>
              <w:tc>
                <w:tcPr>
                  <w:tcW w:w="669" w:type="pct"/>
                  <w:noWrap w:val="0"/>
                  <w:vAlign w:val="center"/>
                </w:tcPr>
                <w:p w14:paraId="09B2B7BD">
                  <w:pPr>
                    <w:widowControl w:val="0"/>
                    <w:spacing w:line="240" w:lineRule="auto"/>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1DE144A0">
                  <w:pPr>
                    <w:widowControl w:val="0"/>
                    <w:spacing w:line="240" w:lineRule="auto"/>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7ABC7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798CDCD">
                  <w:pPr>
                    <w:pStyle w:val="223"/>
                    <w:widowControl w:val="0"/>
                    <w:jc w:val="both"/>
                    <w:rPr>
                      <w:color w:val="auto"/>
                      <w:highlight w:val="none"/>
                      <w:u w:val="none"/>
                    </w:rPr>
                  </w:pPr>
                </w:p>
              </w:tc>
              <w:tc>
                <w:tcPr>
                  <w:tcW w:w="3711" w:type="pct"/>
                  <w:noWrap w:val="0"/>
                  <w:vAlign w:val="center"/>
                </w:tcPr>
                <w:p w14:paraId="6BE4D1B8">
                  <w:pPr>
                    <w:pStyle w:val="223"/>
                    <w:widowControl w:val="0"/>
                    <w:spacing w:line="240" w:lineRule="auto"/>
                    <w:jc w:val="both"/>
                    <w:rPr>
                      <w:rFonts w:eastAsia="宋体"/>
                      <w:color w:val="auto"/>
                      <w:kern w:val="2"/>
                      <w:sz w:val="21"/>
                      <w:highlight w:val="none"/>
                      <w:u w:val="none"/>
                      <w:lang w:bidi="ar-SA"/>
                    </w:rPr>
                  </w:pPr>
                  <w:r>
                    <w:rPr>
                      <w:rFonts w:eastAsia="宋体"/>
                      <w:color w:val="auto"/>
                      <w:kern w:val="2"/>
                      <w:sz w:val="21"/>
                      <w:highlight w:val="none"/>
                      <w:u w:val="none"/>
                      <w:lang w:bidi="ar-SA"/>
                    </w:rPr>
                    <w:t>4</w:t>
                  </w:r>
                  <w:r>
                    <w:rPr>
                      <w:rFonts w:hAnsi="宋体" w:eastAsia="宋体"/>
                      <w:color w:val="auto"/>
                      <w:kern w:val="2"/>
                      <w:sz w:val="21"/>
                      <w:highlight w:val="none"/>
                      <w:u w:val="none"/>
                      <w:lang w:bidi="ar-SA"/>
                    </w:rPr>
                    <w:t>．严格围填海管控，</w:t>
                  </w:r>
                  <w:r>
                    <w:rPr>
                      <w:rFonts w:hAnsi="宋体" w:eastAsia="宋体"/>
                      <w:b w:val="0"/>
                      <w:bCs w:val="0"/>
                      <w:color w:val="auto"/>
                      <w:kern w:val="2"/>
                      <w:sz w:val="21"/>
                      <w:highlight w:val="none"/>
                      <w:u w:val="none"/>
                      <w:lang w:bidi="ar-SA"/>
                    </w:rPr>
                    <w:t>禁止在海域</w:t>
                  </w:r>
                  <w:r>
                    <w:rPr>
                      <w:rFonts w:hAnsi="宋体" w:eastAsia="宋体"/>
                      <w:color w:val="auto"/>
                      <w:kern w:val="2"/>
                      <w:sz w:val="21"/>
                      <w:highlight w:val="none"/>
                      <w:u w:val="none"/>
                      <w:lang w:bidi="ar-SA"/>
                    </w:rPr>
                    <w:t>内实施连岛行动。保护北部湾自然岸线，严格控制岸线利用项目准入门槛。合理有序开发利用滩涂资源。</w:t>
                  </w:r>
                </w:p>
              </w:tc>
              <w:tc>
                <w:tcPr>
                  <w:tcW w:w="669" w:type="pct"/>
                  <w:noWrap w:val="0"/>
                  <w:vAlign w:val="center"/>
                </w:tcPr>
                <w:p w14:paraId="6490BBEC">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7CF6C099">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42FB1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D9DE10E">
                  <w:pPr>
                    <w:pStyle w:val="223"/>
                    <w:widowControl w:val="0"/>
                    <w:jc w:val="both"/>
                    <w:rPr>
                      <w:rFonts w:eastAsia="宋体"/>
                      <w:color w:val="auto"/>
                      <w:kern w:val="2"/>
                      <w:sz w:val="21"/>
                      <w:highlight w:val="none"/>
                      <w:u w:val="none"/>
                      <w:lang w:bidi="ar-SA"/>
                    </w:rPr>
                  </w:pPr>
                </w:p>
              </w:tc>
              <w:tc>
                <w:tcPr>
                  <w:tcW w:w="3711" w:type="pct"/>
                  <w:noWrap w:val="0"/>
                  <w:vAlign w:val="center"/>
                </w:tcPr>
                <w:p w14:paraId="79D377A9">
                  <w:pPr>
                    <w:shd w:val="clear" w:color="auto" w:fill="auto"/>
                    <w:adjustRightInd w:val="0"/>
                    <w:snapToGrid w:val="0"/>
                    <w:rPr>
                      <w:rFonts w:eastAsia="宋体"/>
                      <w:color w:val="auto"/>
                      <w:kern w:val="2"/>
                      <w:sz w:val="21"/>
                      <w:highlight w:val="none"/>
                      <w:u w:val="none"/>
                      <w:lang w:bidi="ar-SA"/>
                    </w:rPr>
                  </w:pPr>
                  <w:r>
                    <w:rPr>
                      <w:rFonts w:ascii="Times New Roman" w:hAnsi="Times New Roman" w:eastAsia="宋体" w:cs="Times New Roman"/>
                      <w:color w:val="auto"/>
                      <w:szCs w:val="21"/>
                      <w:highlight w:val="none"/>
                      <w:u w:val="none"/>
                    </w:rPr>
                    <w:t>5</w:t>
                  </w:r>
                  <w:r>
                    <w:rPr>
                      <w:rFonts w:ascii="Times New Roman" w:hAnsi="宋体" w:eastAsia="宋体" w:cs="Times New Roman"/>
                      <w:color w:val="auto"/>
                      <w:szCs w:val="21"/>
                      <w:highlight w:val="none"/>
                      <w:u w:val="none"/>
                    </w:rPr>
                    <w:t>．南流江流域、廉州湾海域超过环境承载力的县市区严格区域主要污染物管控要求，新改扩</w:t>
                  </w:r>
                  <w:r>
                    <w:rPr>
                      <w:rFonts w:hint="eastAsia" w:ascii="Times New Roman" w:hAnsi="Times New Roman" w:cs="Times New Roman"/>
                      <w:color w:val="auto"/>
                      <w:szCs w:val="21"/>
                      <w:highlight w:val="none"/>
                      <w:u w:val="none"/>
                      <w:lang w:eastAsia="zh-CN"/>
                    </w:rPr>
                    <w:t>“</w:t>
                  </w:r>
                  <w:r>
                    <w:rPr>
                      <w:rFonts w:ascii="Times New Roman" w:hAnsi="宋体" w:eastAsia="宋体" w:cs="Times New Roman"/>
                      <w:color w:val="auto"/>
                      <w:szCs w:val="21"/>
                      <w:highlight w:val="none"/>
                      <w:u w:val="none"/>
                    </w:rPr>
                    <w:t>两高</w:t>
                  </w:r>
                  <w:r>
                    <w:rPr>
                      <w:rFonts w:hint="eastAsia" w:ascii="Times New Roman" w:hAnsi="Times New Roman" w:cs="Times New Roman"/>
                      <w:color w:val="auto"/>
                      <w:szCs w:val="21"/>
                      <w:highlight w:val="none"/>
                      <w:u w:val="none"/>
                      <w:lang w:eastAsia="zh-CN"/>
                    </w:rPr>
                    <w:t>”</w:t>
                  </w:r>
                  <w:r>
                    <w:rPr>
                      <w:rFonts w:ascii="Times New Roman" w:hAnsi="宋体" w:eastAsia="宋体" w:cs="Times New Roman"/>
                      <w:color w:val="auto"/>
                      <w:szCs w:val="21"/>
                      <w:highlight w:val="none"/>
                      <w:u w:val="none"/>
                    </w:rPr>
                    <w:t>、重点行业建设项目实行主要污染物区域削减方案。廉州湾沿岸新设排污口选址必须符合《中华人民共和国海洋环境保护法》《</w:t>
                  </w:r>
                  <w:r>
                    <w:rPr>
                      <w:rFonts w:hint="eastAsia" w:hAnsi="宋体" w:cs="Times New Roman"/>
                      <w:color w:val="auto"/>
                      <w:szCs w:val="21"/>
                      <w:highlight w:val="none"/>
                      <w:u w:val="none"/>
                      <w:lang w:eastAsia="zh-CN"/>
                    </w:rPr>
                    <w:t>中华人民共和国防治陆源污染物污染损害海洋环境管理条例</w:t>
                  </w:r>
                  <w:r>
                    <w:rPr>
                      <w:rFonts w:ascii="Times New Roman" w:hAnsi="宋体" w:eastAsia="宋体" w:cs="Times New Roman"/>
                      <w:color w:val="auto"/>
                      <w:szCs w:val="21"/>
                      <w:highlight w:val="none"/>
                      <w:u w:val="none"/>
                    </w:rPr>
                    <w:t>》等有关规定。</w:t>
                  </w:r>
                </w:p>
              </w:tc>
              <w:tc>
                <w:tcPr>
                  <w:tcW w:w="669" w:type="pct"/>
                  <w:noWrap w:val="0"/>
                  <w:vAlign w:val="center"/>
                </w:tcPr>
                <w:p w14:paraId="563059AF">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00B469EB">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16857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C42CCC8">
                  <w:pPr>
                    <w:pStyle w:val="223"/>
                    <w:widowControl w:val="0"/>
                    <w:jc w:val="both"/>
                    <w:rPr>
                      <w:rFonts w:eastAsia="宋体"/>
                      <w:color w:val="auto"/>
                      <w:kern w:val="2"/>
                      <w:sz w:val="21"/>
                      <w:highlight w:val="none"/>
                      <w:u w:val="none"/>
                      <w:lang w:bidi="ar-SA"/>
                    </w:rPr>
                  </w:pPr>
                </w:p>
              </w:tc>
              <w:tc>
                <w:tcPr>
                  <w:tcW w:w="3711" w:type="pct"/>
                  <w:noWrap w:val="0"/>
                  <w:vAlign w:val="center"/>
                </w:tcPr>
                <w:p w14:paraId="37A18697">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6</w:t>
                  </w:r>
                  <w:r>
                    <w:rPr>
                      <w:rFonts w:hAnsi="宋体" w:eastAsia="宋体"/>
                      <w:color w:val="auto"/>
                      <w:kern w:val="2"/>
                      <w:sz w:val="21"/>
                      <w:highlight w:val="none"/>
                      <w:u w:val="none"/>
                      <w:lang w:bidi="ar-SA"/>
                    </w:rPr>
                    <w:t>．依法依规推动落后产能有序退出。</w:t>
                  </w:r>
                </w:p>
              </w:tc>
              <w:tc>
                <w:tcPr>
                  <w:tcW w:w="669" w:type="pct"/>
                  <w:noWrap w:val="0"/>
                  <w:vAlign w:val="center"/>
                </w:tcPr>
                <w:p w14:paraId="07EE666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7C261DA5">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14B3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2734D35">
                  <w:pPr>
                    <w:pStyle w:val="223"/>
                    <w:widowControl w:val="0"/>
                    <w:jc w:val="both"/>
                    <w:rPr>
                      <w:rFonts w:eastAsia="宋体"/>
                      <w:color w:val="auto"/>
                      <w:kern w:val="2"/>
                      <w:sz w:val="21"/>
                      <w:highlight w:val="none"/>
                      <w:u w:val="none"/>
                      <w:lang w:bidi="ar-SA"/>
                    </w:rPr>
                  </w:pPr>
                </w:p>
              </w:tc>
              <w:tc>
                <w:tcPr>
                  <w:tcW w:w="3711" w:type="pct"/>
                  <w:noWrap w:val="0"/>
                  <w:vAlign w:val="center"/>
                </w:tcPr>
                <w:p w14:paraId="2A387D74">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7</w:t>
                  </w:r>
                  <w:r>
                    <w:rPr>
                      <w:rFonts w:hAnsi="宋体" w:eastAsia="宋体"/>
                      <w:color w:val="auto"/>
                      <w:kern w:val="2"/>
                      <w:sz w:val="21"/>
                      <w:highlight w:val="none"/>
                      <w:u w:val="none"/>
                      <w:lang w:bidi="ar-SA"/>
                    </w:rPr>
                    <w:t>．</w:t>
                  </w:r>
                  <w:r>
                    <w:rPr>
                      <w:rFonts w:hAnsi="宋体" w:eastAsia="宋体"/>
                      <w:b w:val="0"/>
                      <w:bCs w:val="0"/>
                      <w:color w:val="auto"/>
                      <w:kern w:val="2"/>
                      <w:sz w:val="21"/>
                      <w:highlight w:val="none"/>
                      <w:u w:val="none"/>
                      <w:lang w:bidi="ar-SA"/>
                    </w:rPr>
                    <w:t>严禁占用</w:t>
                  </w:r>
                  <w:r>
                    <w:rPr>
                      <w:rFonts w:hAnsi="宋体" w:eastAsia="宋体"/>
                      <w:color w:val="auto"/>
                      <w:kern w:val="2"/>
                      <w:sz w:val="21"/>
                      <w:highlight w:val="none"/>
                      <w:u w:val="none"/>
                      <w:lang w:bidi="ar-SA"/>
                    </w:rPr>
                    <w:t>运河沿线两岸</w:t>
                  </w:r>
                  <w:r>
                    <w:rPr>
                      <w:rFonts w:eastAsia="宋体"/>
                      <w:color w:val="auto"/>
                      <w:kern w:val="2"/>
                      <w:sz w:val="21"/>
                      <w:highlight w:val="none"/>
                      <w:u w:val="none"/>
                      <w:lang w:bidi="ar-SA"/>
                    </w:rPr>
                    <w:t>1</w:t>
                  </w:r>
                  <w:r>
                    <w:rPr>
                      <w:rFonts w:hAnsi="宋体" w:eastAsia="宋体"/>
                      <w:color w:val="auto"/>
                      <w:kern w:val="2"/>
                      <w:sz w:val="21"/>
                      <w:highlight w:val="none"/>
                      <w:u w:val="none"/>
                      <w:lang w:bidi="ar-SA"/>
                    </w:rPr>
                    <w:t>公里范围内预留作为生态廊道的用地，科学规划平陆运河沿岸生态廊道空间和开发保护核心管制区。</w:t>
                  </w:r>
                </w:p>
              </w:tc>
              <w:tc>
                <w:tcPr>
                  <w:tcW w:w="669" w:type="pct"/>
                  <w:noWrap w:val="0"/>
                  <w:vAlign w:val="center"/>
                </w:tcPr>
                <w:p w14:paraId="5CCC1624">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0BC1995A">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3B67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F1C0891">
                  <w:pPr>
                    <w:pStyle w:val="223"/>
                    <w:widowControl w:val="0"/>
                    <w:jc w:val="both"/>
                    <w:rPr>
                      <w:rFonts w:eastAsia="宋体"/>
                      <w:color w:val="auto"/>
                      <w:kern w:val="2"/>
                      <w:sz w:val="21"/>
                      <w:highlight w:val="none"/>
                      <w:u w:val="none"/>
                      <w:lang w:bidi="ar-SA"/>
                    </w:rPr>
                  </w:pPr>
                </w:p>
              </w:tc>
              <w:tc>
                <w:tcPr>
                  <w:tcW w:w="3711" w:type="pct"/>
                  <w:noWrap w:val="0"/>
                  <w:vAlign w:val="center"/>
                </w:tcPr>
                <w:p w14:paraId="3FAAD0D2">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8</w:t>
                  </w:r>
                  <w:r>
                    <w:rPr>
                      <w:rFonts w:hAnsi="宋体" w:eastAsia="宋体"/>
                      <w:color w:val="auto"/>
                      <w:kern w:val="2"/>
                      <w:sz w:val="21"/>
                      <w:highlight w:val="none"/>
                      <w:u w:val="none"/>
                      <w:lang w:bidi="ar-SA"/>
                    </w:rPr>
                    <w:t>．</w:t>
                  </w:r>
                  <w:r>
                    <w:rPr>
                      <w:rFonts w:hint="eastAsia" w:hAnsi="宋体"/>
                      <w:color w:val="auto"/>
                      <w:kern w:val="2"/>
                      <w:sz w:val="21"/>
                      <w:highlight w:val="none"/>
                      <w:u w:val="none"/>
                      <w:lang w:eastAsia="zh-CN" w:bidi="ar-SA"/>
                    </w:rPr>
                    <w:t>执行</w:t>
                  </w:r>
                  <w:r>
                    <w:rPr>
                      <w:rFonts w:hAnsi="宋体" w:eastAsia="宋体"/>
                      <w:color w:val="auto"/>
                      <w:kern w:val="2"/>
                      <w:sz w:val="21"/>
                      <w:highlight w:val="none"/>
                      <w:u w:val="none"/>
                      <w:lang w:bidi="ar-SA"/>
                    </w:rPr>
                    <w:t>平陆运河绿色工程防范管控重点清单、打造特色亮点清单，平陆运河绿色工程评估指标体系。</w:t>
                  </w:r>
                </w:p>
              </w:tc>
              <w:tc>
                <w:tcPr>
                  <w:tcW w:w="669" w:type="pct"/>
                  <w:noWrap w:val="0"/>
                  <w:vAlign w:val="center"/>
                </w:tcPr>
                <w:p w14:paraId="5382256F">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3E99C9E3">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4F9F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33AB8FC5">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污染物排放管控</w:t>
                  </w:r>
                </w:p>
              </w:tc>
              <w:tc>
                <w:tcPr>
                  <w:tcW w:w="3711" w:type="pct"/>
                  <w:noWrap w:val="0"/>
                  <w:vAlign w:val="center"/>
                </w:tcPr>
                <w:p w14:paraId="01816957">
                  <w:pPr>
                    <w:pStyle w:val="223"/>
                    <w:widowControl w:val="0"/>
                    <w:jc w:val="both"/>
                    <w:rPr>
                      <w:rFonts w:hint="eastAsia" w:eastAsia="宋体"/>
                      <w:color w:val="auto"/>
                      <w:szCs w:val="21"/>
                      <w:highlight w:val="none"/>
                      <w:u w:val="single"/>
                      <w:lang w:eastAsia="zh-CN"/>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．坚持陆海统筹，强化</w:t>
                  </w:r>
                  <w:r>
                    <w:rPr>
                      <w:rFonts w:hint="eastAsia" w:hAnsi="宋体"/>
                      <w:color w:val="auto"/>
                      <w:kern w:val="2"/>
                      <w:sz w:val="21"/>
                      <w:highlight w:val="none"/>
                      <w:u w:val="none"/>
                      <w:lang w:eastAsia="zh-CN" w:bidi="ar-SA"/>
                    </w:rPr>
                    <w:t>重点</w:t>
                  </w:r>
                  <w:r>
                    <w:rPr>
                      <w:rFonts w:hAnsi="宋体" w:eastAsia="宋体"/>
                      <w:color w:val="auto"/>
                      <w:kern w:val="2"/>
                      <w:sz w:val="21"/>
                      <w:highlight w:val="none"/>
                      <w:u w:val="none"/>
                      <w:lang w:bidi="ar-SA"/>
                    </w:rPr>
                    <w:t>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w:t>
                  </w:r>
                  <w:r>
                    <w:rPr>
                      <w:rFonts w:hint="eastAsia" w:hAnsi="宋体"/>
                      <w:color w:val="auto"/>
                      <w:kern w:val="2"/>
                      <w:sz w:val="21"/>
                      <w:highlight w:val="none"/>
                      <w:u w:val="none"/>
                      <w:lang w:eastAsia="zh-CN" w:bidi="ar-SA"/>
                    </w:rPr>
                    <w:t>砂</w:t>
                  </w:r>
                  <w:r>
                    <w:rPr>
                      <w:rFonts w:hAnsi="宋体" w:eastAsia="宋体"/>
                      <w:color w:val="auto"/>
                      <w:kern w:val="2"/>
                      <w:sz w:val="21"/>
                      <w:highlight w:val="none"/>
                      <w:u w:val="none"/>
                      <w:lang w:bidi="ar-SA"/>
                    </w:rPr>
                    <w:t>污染</w:t>
                  </w:r>
                  <w:r>
                    <w:rPr>
                      <w:rFonts w:hint="eastAsia" w:hAnsi="宋体"/>
                      <w:color w:val="auto"/>
                      <w:kern w:val="2"/>
                      <w:sz w:val="21"/>
                      <w:highlight w:val="none"/>
                      <w:u w:val="none"/>
                      <w:lang w:eastAsia="zh-CN" w:bidi="ar-SA"/>
                    </w:rPr>
                    <w:t>。</w:t>
                  </w:r>
                </w:p>
              </w:tc>
              <w:tc>
                <w:tcPr>
                  <w:tcW w:w="669" w:type="pct"/>
                  <w:noWrap w:val="0"/>
                  <w:vAlign w:val="center"/>
                </w:tcPr>
                <w:p w14:paraId="023F94E2">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601BFE4D">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60534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349D627">
                  <w:pPr>
                    <w:pStyle w:val="223"/>
                    <w:widowControl w:val="0"/>
                    <w:jc w:val="both"/>
                    <w:rPr>
                      <w:color w:val="auto"/>
                      <w:highlight w:val="none"/>
                    </w:rPr>
                  </w:pPr>
                </w:p>
              </w:tc>
              <w:tc>
                <w:tcPr>
                  <w:tcW w:w="3711" w:type="pct"/>
                  <w:noWrap w:val="0"/>
                  <w:vAlign w:val="center"/>
                </w:tcPr>
                <w:p w14:paraId="6013C1B7">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tc>
              <w:tc>
                <w:tcPr>
                  <w:tcW w:w="669" w:type="pct"/>
                  <w:noWrap w:val="0"/>
                  <w:vAlign w:val="center"/>
                </w:tcPr>
                <w:p w14:paraId="574D6190">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39DC2692">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21D05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E4BEAD2">
                  <w:pPr>
                    <w:pStyle w:val="223"/>
                    <w:widowControl w:val="0"/>
                    <w:jc w:val="both"/>
                    <w:rPr>
                      <w:rFonts w:eastAsia="宋体"/>
                      <w:color w:val="auto"/>
                      <w:kern w:val="2"/>
                      <w:sz w:val="21"/>
                      <w:highlight w:val="none"/>
                      <w:u w:val="none"/>
                      <w:lang w:bidi="ar-SA"/>
                    </w:rPr>
                  </w:pPr>
                </w:p>
              </w:tc>
              <w:tc>
                <w:tcPr>
                  <w:tcW w:w="3711" w:type="pct"/>
                  <w:noWrap w:val="0"/>
                  <w:vAlign w:val="center"/>
                </w:tcPr>
                <w:p w14:paraId="7666A490">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．推进区域大气污染联防联控。共同开展重点行业污染整治和重污染天气联合应对，加强挥发性有机化合物（</w:t>
                  </w:r>
                  <w:r>
                    <w:rPr>
                      <w:rFonts w:eastAsia="宋体"/>
                      <w:color w:val="auto"/>
                      <w:kern w:val="2"/>
                      <w:sz w:val="21"/>
                      <w:highlight w:val="none"/>
                      <w:u w:val="none"/>
                      <w:lang w:bidi="ar-SA"/>
                    </w:rPr>
                    <w:t>VOCs</w:t>
                  </w:r>
                  <w:r>
                    <w:rPr>
                      <w:rFonts w:hAnsi="宋体" w:eastAsia="宋体"/>
                      <w:color w:val="auto"/>
                      <w:kern w:val="2"/>
                      <w:sz w:val="21"/>
                      <w:highlight w:val="none"/>
                      <w:u w:val="none"/>
                      <w:lang w:bidi="ar-SA"/>
                    </w:rPr>
                    <w:t>）和氮氧化物（</w:t>
                  </w:r>
                  <w:r>
                    <w:rPr>
                      <w:rFonts w:eastAsia="宋体"/>
                      <w:color w:val="auto"/>
                      <w:kern w:val="2"/>
                      <w:sz w:val="21"/>
                      <w:highlight w:val="none"/>
                      <w:u w:val="none"/>
                      <w:lang w:bidi="ar-SA"/>
                    </w:rPr>
                    <w:t>NOx</w:t>
                  </w:r>
                  <w:r>
                    <w:rPr>
                      <w:rFonts w:hAnsi="宋体" w:eastAsia="宋体"/>
                      <w:color w:val="auto"/>
                      <w:kern w:val="2"/>
                      <w:sz w:val="21"/>
                      <w:highlight w:val="none"/>
                      <w:u w:val="none"/>
                      <w:lang w:bidi="ar-SA"/>
                    </w:rPr>
                    <w:t>）协同控制，协同应对区域多污染物，联合开展空气污染综合治理，改善空气质量。严格城市空气质量达标管理，改善城市环境空气质量，对大气质量改善进度进行监督和考核。</w:t>
                  </w:r>
                </w:p>
              </w:tc>
              <w:tc>
                <w:tcPr>
                  <w:tcW w:w="669" w:type="pct"/>
                  <w:noWrap w:val="0"/>
                  <w:vAlign w:val="center"/>
                </w:tcPr>
                <w:p w14:paraId="79B1E552">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200C3404">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3EC1B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81D0F53">
                  <w:pPr>
                    <w:pStyle w:val="223"/>
                    <w:widowControl w:val="0"/>
                    <w:jc w:val="both"/>
                    <w:rPr>
                      <w:rFonts w:eastAsia="宋体"/>
                      <w:color w:val="auto"/>
                      <w:kern w:val="2"/>
                      <w:sz w:val="21"/>
                      <w:highlight w:val="none"/>
                      <w:u w:val="none"/>
                      <w:lang w:bidi="ar-SA"/>
                    </w:rPr>
                  </w:pPr>
                </w:p>
              </w:tc>
              <w:tc>
                <w:tcPr>
                  <w:tcW w:w="3711" w:type="pct"/>
                  <w:noWrap w:val="0"/>
                  <w:vAlign w:val="center"/>
                </w:tcPr>
                <w:p w14:paraId="75EFBE3E">
                  <w:pPr>
                    <w:pStyle w:val="223"/>
                    <w:widowControl w:val="0"/>
                    <w:jc w:val="both"/>
                    <w:rPr>
                      <w:rFonts w:hint="eastAsia" w:eastAsia="宋体"/>
                      <w:color w:val="auto"/>
                      <w:kern w:val="2"/>
                      <w:sz w:val="21"/>
                      <w:highlight w:val="none"/>
                      <w:u w:val="none"/>
                      <w:lang w:eastAsia="zh-CN" w:bidi="ar-SA"/>
                    </w:rPr>
                  </w:pPr>
                  <w:r>
                    <w:rPr>
                      <w:rFonts w:eastAsia="宋体"/>
                      <w:color w:val="auto"/>
                      <w:kern w:val="2"/>
                      <w:sz w:val="21"/>
                      <w:highlight w:val="none"/>
                      <w:u w:val="none"/>
                      <w:lang w:bidi="ar-SA"/>
                    </w:rPr>
                    <w:t>4</w:t>
                  </w:r>
                  <w:r>
                    <w:rPr>
                      <w:rFonts w:hAnsi="宋体" w:eastAsia="宋体"/>
                      <w:color w:val="auto"/>
                      <w:kern w:val="2"/>
                      <w:sz w:val="21"/>
                      <w:highlight w:val="none"/>
                      <w:u w:val="none"/>
                      <w:lang w:bidi="ar-SA"/>
                    </w:rPr>
                    <w:t>．严格控制</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两高</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行业项目布局和建设</w:t>
                  </w:r>
                  <w:r>
                    <w:rPr>
                      <w:rFonts w:hint="eastAsia" w:hAnsi="宋体"/>
                      <w:color w:val="auto"/>
                      <w:kern w:val="2"/>
                      <w:sz w:val="21"/>
                      <w:highlight w:val="none"/>
                      <w:u w:val="none"/>
                      <w:lang w:eastAsia="zh-CN" w:bidi="ar-SA"/>
                    </w:rPr>
                    <w:t>，</w:t>
                  </w:r>
                  <w:r>
                    <w:rPr>
                      <w:rFonts w:hAnsi="宋体" w:eastAsia="宋体"/>
                      <w:color w:val="auto"/>
                      <w:kern w:val="2"/>
                      <w:sz w:val="21"/>
                      <w:highlight w:val="none"/>
                      <w:u w:val="none"/>
                      <w:lang w:bidi="ar-SA"/>
                    </w:rPr>
                    <w:t>提升</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两高</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r>
                    <w:rPr>
                      <w:rFonts w:hint="eastAsia" w:hAnsi="宋体"/>
                      <w:color w:val="auto"/>
                      <w:kern w:val="2"/>
                      <w:sz w:val="21"/>
                      <w:highlight w:val="none"/>
                      <w:u w:val="none"/>
                      <w:lang w:eastAsia="zh-CN" w:bidi="ar-SA"/>
                    </w:rPr>
                    <w:t>。</w:t>
                  </w:r>
                </w:p>
              </w:tc>
              <w:tc>
                <w:tcPr>
                  <w:tcW w:w="669" w:type="pct"/>
                  <w:noWrap w:val="0"/>
                  <w:vAlign w:val="center"/>
                </w:tcPr>
                <w:p w14:paraId="63592F61">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7C3D63D0">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4C769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3453D0C">
                  <w:pPr>
                    <w:pStyle w:val="223"/>
                    <w:widowControl w:val="0"/>
                    <w:jc w:val="both"/>
                    <w:rPr>
                      <w:rFonts w:eastAsia="宋体"/>
                      <w:color w:val="auto"/>
                      <w:kern w:val="2"/>
                      <w:sz w:val="21"/>
                      <w:highlight w:val="none"/>
                      <w:u w:val="none"/>
                      <w:lang w:bidi="ar-SA"/>
                    </w:rPr>
                  </w:pPr>
                </w:p>
              </w:tc>
              <w:tc>
                <w:tcPr>
                  <w:tcW w:w="3711" w:type="pct"/>
                  <w:noWrap w:val="0"/>
                  <w:vAlign w:val="center"/>
                </w:tcPr>
                <w:p w14:paraId="13E95AB8">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5</w:t>
                  </w:r>
                  <w:r>
                    <w:rPr>
                      <w:rFonts w:hAnsi="宋体" w:eastAsia="宋体"/>
                      <w:color w:val="auto"/>
                      <w:kern w:val="2"/>
                      <w:sz w:val="21"/>
                      <w:highlight w:val="none"/>
                      <w:u w:val="none"/>
                      <w:lang w:bidi="ar-SA"/>
                    </w:rPr>
                    <w:t>．</w:t>
                  </w:r>
                  <w:r>
                    <w:rPr>
                      <w:rFonts w:hint="eastAsia" w:hAnsi="宋体"/>
                      <w:color w:val="auto"/>
                      <w:kern w:val="2"/>
                      <w:sz w:val="21"/>
                      <w:highlight w:val="none"/>
                      <w:u w:val="none"/>
                      <w:lang w:eastAsia="zh-CN" w:bidi="ar-SA"/>
                    </w:rPr>
                    <w:t>以</w:t>
                  </w:r>
                  <w:r>
                    <w:rPr>
                      <w:rFonts w:hAnsi="宋体" w:eastAsia="宋体"/>
                      <w:color w:val="auto"/>
                      <w:kern w:val="2"/>
                      <w:sz w:val="21"/>
                      <w:highlight w:val="none"/>
                      <w:u w:val="none"/>
                      <w:lang w:bidi="ar-SA"/>
                    </w:rPr>
                    <w:t>平陆运河、北部湾港</w:t>
                  </w:r>
                  <w:r>
                    <w:rPr>
                      <w:rFonts w:hint="eastAsia" w:hAnsi="宋体"/>
                      <w:color w:val="auto"/>
                      <w:kern w:val="2"/>
                      <w:sz w:val="21"/>
                      <w:highlight w:val="none"/>
                      <w:u w:val="none"/>
                      <w:lang w:eastAsia="zh-CN" w:bidi="ar-SA"/>
                    </w:rPr>
                    <w:t>为重点，</w:t>
                  </w:r>
                  <w:r>
                    <w:rPr>
                      <w:rFonts w:hAnsi="宋体" w:eastAsia="宋体"/>
                      <w:color w:val="auto"/>
                      <w:kern w:val="2"/>
                      <w:sz w:val="21"/>
                      <w:highlight w:val="none"/>
                      <w:u w:val="none"/>
                      <w:lang w:bidi="ar-SA"/>
                    </w:rPr>
                    <w:t>加强船舶和港口污染防治，加快淘汰老旧船舶，鼓励引导高能耗船舶技术改造升级和提前退出。推动新能源、清洁能源动力船舶应用，加快港口供电设施建设，提高船舶岸电设施使用率。</w:t>
                  </w:r>
                </w:p>
              </w:tc>
              <w:tc>
                <w:tcPr>
                  <w:tcW w:w="669" w:type="pct"/>
                  <w:noWrap w:val="0"/>
                  <w:vAlign w:val="center"/>
                </w:tcPr>
                <w:p w14:paraId="5852E6F0">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47995DBF">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74715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44EC594">
                  <w:pPr>
                    <w:pStyle w:val="223"/>
                    <w:widowControl w:val="0"/>
                    <w:jc w:val="both"/>
                    <w:rPr>
                      <w:rFonts w:eastAsia="宋体"/>
                      <w:color w:val="auto"/>
                      <w:kern w:val="2"/>
                      <w:sz w:val="21"/>
                      <w:highlight w:val="none"/>
                      <w:u w:val="none"/>
                      <w:lang w:bidi="ar-SA"/>
                    </w:rPr>
                  </w:pPr>
                </w:p>
              </w:tc>
              <w:tc>
                <w:tcPr>
                  <w:tcW w:w="3711" w:type="pct"/>
                  <w:noWrap w:val="0"/>
                  <w:vAlign w:val="center"/>
                </w:tcPr>
                <w:p w14:paraId="0CA8B6C3">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6</w:t>
                  </w:r>
                  <w:r>
                    <w:rPr>
                      <w:rFonts w:hAnsi="宋体" w:eastAsia="宋体"/>
                      <w:color w:val="auto"/>
                      <w:kern w:val="2"/>
                      <w:sz w:val="21"/>
                      <w:highlight w:val="none"/>
                      <w:u w:val="none"/>
                      <w:lang w:bidi="ar-SA"/>
                    </w:rPr>
                    <w:t>．平陆运河沿线城市实施生活污水集中处理设施能力提升全覆盖工程，开展城市污水处理设施差别化精准提标改造。</w:t>
                  </w:r>
                </w:p>
              </w:tc>
              <w:tc>
                <w:tcPr>
                  <w:tcW w:w="669" w:type="pct"/>
                  <w:noWrap w:val="0"/>
                  <w:vAlign w:val="center"/>
                </w:tcPr>
                <w:p w14:paraId="4E978964">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3ACCC482">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r w14:paraId="7A453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1836BB3C">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环境风险防控</w:t>
                  </w:r>
                </w:p>
              </w:tc>
              <w:tc>
                <w:tcPr>
                  <w:tcW w:w="3711" w:type="pct"/>
                  <w:noWrap w:val="0"/>
                  <w:vAlign w:val="center"/>
                </w:tcPr>
                <w:p w14:paraId="79047C6A">
                  <w:pPr>
                    <w:pStyle w:val="223"/>
                    <w:widowControl w:val="0"/>
                    <w:jc w:val="both"/>
                    <w:rPr>
                      <w:rFonts w:hint="eastAsia"/>
                      <w:color w:val="auto"/>
                      <w:szCs w:val="21"/>
                      <w:highlight w:val="none"/>
                      <w:u w:val="singl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．强化沿海工业园区和沿海石油、石化、化工、冶炼及危化品储运等企业的环境风险防控。</w:t>
                  </w:r>
                </w:p>
              </w:tc>
              <w:tc>
                <w:tcPr>
                  <w:tcW w:w="669" w:type="pct"/>
                  <w:noWrap w:val="0"/>
                  <w:vAlign w:val="center"/>
                </w:tcPr>
                <w:p w14:paraId="699FBA58">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78E29CBE">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08435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B73E3BA">
                  <w:pPr>
                    <w:adjustRightInd w:val="0"/>
                    <w:snapToGrid w:val="0"/>
                    <w:rPr>
                      <w:color w:val="auto"/>
                      <w:highlight w:val="none"/>
                    </w:rPr>
                  </w:pPr>
                </w:p>
              </w:tc>
              <w:tc>
                <w:tcPr>
                  <w:tcW w:w="3711" w:type="pct"/>
                  <w:noWrap w:val="0"/>
                  <w:vAlign w:val="center"/>
                </w:tcPr>
                <w:p w14:paraId="2F478998">
                  <w:pPr>
                    <w:pStyle w:val="223"/>
                    <w:widowControl w:val="0"/>
                    <w:jc w:val="both"/>
                    <w:rPr>
                      <w:color w:val="auto"/>
                      <w:highlight w:val="none"/>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．建立和完善海上溢油、危险化学品泄漏、赤潮应急反应预案，提升应对海洋突发环境事件能力，防范海上溢油、危险化学品泄漏等重大环境风险。加强海洋环境监测，实施海洋环境预警预报工程。</w:t>
                  </w:r>
                </w:p>
              </w:tc>
              <w:tc>
                <w:tcPr>
                  <w:tcW w:w="669" w:type="pct"/>
                  <w:noWrap w:val="0"/>
                  <w:vAlign w:val="center"/>
                </w:tcPr>
                <w:p w14:paraId="3B2553E5">
                  <w:pPr>
                    <w:widowControl w:val="0"/>
                    <w:jc w:val="center"/>
                    <w:rPr>
                      <w:rFonts w:hint="eastAsia"/>
                      <w:color w:val="auto"/>
                      <w:szCs w:val="21"/>
                      <w:highlight w:val="none"/>
                      <w:u w:val="single"/>
                    </w:rPr>
                  </w:pPr>
                  <w:r>
                    <w:rPr>
                      <w:rFonts w:hint="eastAsia"/>
                      <w:color w:val="auto"/>
                      <w:szCs w:val="21"/>
                      <w:highlight w:val="none"/>
                      <w:u w:val="none"/>
                      <w:lang w:val="en-US" w:eastAsia="zh-CN"/>
                    </w:rPr>
                    <w:t>本项目依托16、17号泊位应急物资，加强演练提高事故应急能力。</w:t>
                  </w:r>
                </w:p>
              </w:tc>
              <w:tc>
                <w:tcPr>
                  <w:tcW w:w="229" w:type="pct"/>
                  <w:noWrap w:val="0"/>
                  <w:vAlign w:val="center"/>
                </w:tcPr>
                <w:p w14:paraId="2C7B5378">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7FCA8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960082B">
                  <w:pPr>
                    <w:adjustRightInd w:val="0"/>
                    <w:snapToGrid w:val="0"/>
                    <w:rPr>
                      <w:rFonts w:hint="eastAsia"/>
                      <w:color w:val="auto"/>
                      <w:szCs w:val="21"/>
                      <w:highlight w:val="none"/>
                      <w:u w:val="single"/>
                    </w:rPr>
                  </w:pPr>
                </w:p>
              </w:tc>
              <w:tc>
                <w:tcPr>
                  <w:tcW w:w="3711" w:type="pct"/>
                  <w:noWrap w:val="0"/>
                  <w:vAlign w:val="center"/>
                </w:tcPr>
                <w:p w14:paraId="3CB12040">
                  <w:pPr>
                    <w:adjustRightInd w:val="0"/>
                    <w:snapToGrid w:val="0"/>
                    <w:rPr>
                      <w:rFonts w:hint="eastAsia"/>
                      <w:color w:val="auto"/>
                      <w:szCs w:val="21"/>
                      <w:highlight w:val="none"/>
                      <w:u w:val="single"/>
                    </w:rPr>
                  </w:pPr>
                  <w:r>
                    <w:rPr>
                      <w:rFonts w:eastAsia="宋体"/>
                      <w:color w:val="auto"/>
                      <w:kern w:val="2"/>
                      <w:sz w:val="21"/>
                      <w:highlight w:val="none"/>
                      <w:u w:val="none"/>
                      <w:lang w:bidi="ar-SA"/>
                    </w:rPr>
                    <w:t>3</w:t>
                  </w:r>
                  <w:r>
                    <w:rPr>
                      <w:rFonts w:hAnsi="宋体" w:eastAsia="宋体"/>
                      <w:color w:val="auto"/>
                      <w:kern w:val="2"/>
                      <w:sz w:val="21"/>
                      <w:highlight w:val="none"/>
                      <w:u w:val="none"/>
                      <w:lang w:bidi="ar-SA"/>
                    </w:rPr>
                    <w:t>．实行严格的核污染监控管理，提升核安全治理能力，提高核设施安全水平，降低核安全风险，推进放射性污染防治，确保辐射环境质量保持良好，强化核辐射安全监管体系，消除核安全隐患。</w:t>
                  </w:r>
                </w:p>
              </w:tc>
              <w:tc>
                <w:tcPr>
                  <w:tcW w:w="669" w:type="pct"/>
                  <w:noWrap w:val="0"/>
                  <w:vAlign w:val="center"/>
                </w:tcPr>
                <w:p w14:paraId="6A63AC40">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5E5BB89F">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21AA6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138F1F75">
                  <w:pPr>
                    <w:pStyle w:val="223"/>
                    <w:widowControl w:val="0"/>
                    <w:jc w:val="center"/>
                    <w:rPr>
                      <w:rFonts w:hint="eastAsia"/>
                      <w:color w:val="auto"/>
                      <w:szCs w:val="21"/>
                      <w:highlight w:val="none"/>
                      <w:u w:val="single"/>
                    </w:rPr>
                  </w:pPr>
                  <w:r>
                    <w:rPr>
                      <w:rFonts w:hAnsi="宋体" w:eastAsia="宋体"/>
                      <w:color w:val="auto"/>
                      <w:kern w:val="2"/>
                      <w:sz w:val="21"/>
                      <w:highlight w:val="none"/>
                      <w:u w:val="none"/>
                      <w:lang w:bidi="ar-SA"/>
                    </w:rPr>
                    <w:t>资源开发利用效率要求</w:t>
                  </w:r>
                </w:p>
              </w:tc>
              <w:tc>
                <w:tcPr>
                  <w:tcW w:w="3711" w:type="pct"/>
                  <w:noWrap w:val="0"/>
                  <w:vAlign w:val="center"/>
                </w:tcPr>
                <w:p w14:paraId="70298DA8">
                  <w:pPr>
                    <w:pStyle w:val="223"/>
                    <w:widowControl w:val="0"/>
                    <w:jc w:val="both"/>
                    <w:rPr>
                      <w:rFonts w:hint="eastAsia"/>
                      <w:color w:val="auto"/>
                      <w:szCs w:val="21"/>
                      <w:highlight w:val="none"/>
                      <w:u w:val="single"/>
                    </w:rPr>
                  </w:pPr>
                  <w:r>
                    <w:rPr>
                      <w:rFonts w:eastAsia="宋体"/>
                      <w:color w:val="auto"/>
                      <w:kern w:val="2"/>
                      <w:sz w:val="21"/>
                      <w:highlight w:val="none"/>
                      <w:u w:val="none"/>
                      <w:lang w:bidi="ar-SA"/>
                    </w:rPr>
                    <w:t>1</w:t>
                  </w:r>
                  <w:r>
                    <w:rPr>
                      <w:rFonts w:hAnsi="宋体" w:eastAsia="宋体"/>
                      <w:color w:val="auto"/>
                      <w:kern w:val="2"/>
                      <w:sz w:val="21"/>
                      <w:highlight w:val="none"/>
                      <w:u w:val="none"/>
                      <w:lang w:bidi="ar-SA"/>
                    </w:rPr>
                    <w:t>．严格执行能耗</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双控</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，新建项目能源利用效率应达到国内先进水平。</w:t>
                  </w:r>
                </w:p>
              </w:tc>
              <w:tc>
                <w:tcPr>
                  <w:tcW w:w="669" w:type="pct"/>
                  <w:noWrap w:val="0"/>
                  <w:vAlign w:val="center"/>
                </w:tcPr>
                <w:p w14:paraId="0D407F5E">
                  <w:pPr>
                    <w:widowControl w:val="0"/>
                    <w:jc w:val="center"/>
                    <w:rPr>
                      <w:rFonts w:hint="eastAsia"/>
                      <w:color w:val="auto"/>
                      <w:szCs w:val="21"/>
                      <w:highlight w:val="none"/>
                      <w:u w:val="single"/>
                    </w:rPr>
                  </w:pPr>
                  <w:r>
                    <w:rPr>
                      <w:rFonts w:hint="eastAsia"/>
                      <w:color w:val="auto"/>
                      <w:szCs w:val="21"/>
                      <w:highlight w:val="none"/>
                      <w:u w:val="none"/>
                      <w:lang w:val="en-US" w:eastAsia="zh-CN"/>
                    </w:rPr>
                    <w:t>本项目不涉及。</w:t>
                  </w:r>
                </w:p>
              </w:tc>
              <w:tc>
                <w:tcPr>
                  <w:tcW w:w="229" w:type="pct"/>
                  <w:noWrap w:val="0"/>
                  <w:vAlign w:val="center"/>
                </w:tcPr>
                <w:p w14:paraId="556CCD82">
                  <w:pPr>
                    <w:widowControl w:val="0"/>
                    <w:jc w:val="center"/>
                    <w:rPr>
                      <w:rFonts w:hint="eastAsia"/>
                      <w:color w:val="auto"/>
                      <w:szCs w:val="21"/>
                      <w:highlight w:val="none"/>
                      <w:u w:val="single"/>
                    </w:rPr>
                  </w:pPr>
                  <w:r>
                    <w:rPr>
                      <w:rFonts w:hint="eastAsia"/>
                      <w:color w:val="auto"/>
                      <w:szCs w:val="21"/>
                      <w:highlight w:val="none"/>
                      <w:u w:val="none"/>
                      <w:lang w:val="en-US" w:eastAsia="zh-CN"/>
                    </w:rPr>
                    <w:t>符合</w:t>
                  </w:r>
                </w:p>
              </w:tc>
            </w:tr>
            <w:tr w14:paraId="09D8D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2FED8F9">
                  <w:pPr>
                    <w:pStyle w:val="223"/>
                    <w:widowControl w:val="0"/>
                    <w:jc w:val="both"/>
                    <w:rPr>
                      <w:color w:val="auto"/>
                      <w:highlight w:val="none"/>
                    </w:rPr>
                  </w:pPr>
                </w:p>
              </w:tc>
              <w:tc>
                <w:tcPr>
                  <w:tcW w:w="3711" w:type="pct"/>
                  <w:noWrap w:val="0"/>
                  <w:vAlign w:val="center"/>
                </w:tcPr>
                <w:p w14:paraId="3139C4C5">
                  <w:pPr>
                    <w:pStyle w:val="223"/>
                    <w:widowControl w:val="0"/>
                    <w:jc w:val="both"/>
                    <w:rPr>
                      <w:rFonts w:eastAsia="宋体"/>
                      <w:color w:val="auto"/>
                      <w:kern w:val="2"/>
                      <w:sz w:val="21"/>
                      <w:highlight w:val="none"/>
                      <w:u w:val="none"/>
                      <w:lang w:bidi="ar-SA"/>
                    </w:rPr>
                  </w:pPr>
                  <w:r>
                    <w:rPr>
                      <w:rFonts w:eastAsia="宋体"/>
                      <w:color w:val="auto"/>
                      <w:kern w:val="2"/>
                      <w:sz w:val="21"/>
                      <w:highlight w:val="none"/>
                      <w:u w:val="none"/>
                      <w:lang w:bidi="ar-SA"/>
                    </w:rPr>
                    <w:t>2</w:t>
                  </w:r>
                  <w:r>
                    <w:rPr>
                      <w:rFonts w:hAnsi="宋体" w:eastAsia="宋体"/>
                      <w:color w:val="auto"/>
                      <w:kern w:val="2"/>
                      <w:sz w:val="21"/>
                      <w:highlight w:val="none"/>
                      <w:u w:val="none"/>
                      <w:lang w:bidi="ar-SA"/>
                    </w:rPr>
                    <w:t>．实施水资源消耗总量和强度</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双控</w:t>
                  </w:r>
                  <w:r>
                    <w:rPr>
                      <w:rFonts w:hint="eastAsia"/>
                      <w:color w:val="auto"/>
                      <w:kern w:val="2"/>
                      <w:sz w:val="21"/>
                      <w:highlight w:val="none"/>
                      <w:u w:val="none"/>
                      <w:lang w:eastAsia="zh-CN" w:bidi="ar-SA"/>
                    </w:rPr>
                    <w:t>”</w:t>
                  </w:r>
                  <w:r>
                    <w:rPr>
                      <w:rFonts w:hAnsi="宋体" w:eastAsia="宋体"/>
                      <w:color w:val="auto"/>
                      <w:kern w:val="2"/>
                      <w:sz w:val="21"/>
                      <w:highlight w:val="none"/>
                      <w:u w:val="none"/>
                      <w:lang w:bidi="ar-SA"/>
                    </w:rPr>
                    <w:t>。</w:t>
                  </w:r>
                </w:p>
              </w:tc>
              <w:tc>
                <w:tcPr>
                  <w:tcW w:w="669" w:type="pct"/>
                  <w:noWrap w:val="0"/>
                  <w:vAlign w:val="center"/>
                </w:tcPr>
                <w:p w14:paraId="509AB48E">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本项目不涉及。</w:t>
                  </w:r>
                </w:p>
              </w:tc>
              <w:tc>
                <w:tcPr>
                  <w:tcW w:w="229" w:type="pct"/>
                  <w:noWrap w:val="0"/>
                  <w:vAlign w:val="center"/>
                </w:tcPr>
                <w:p w14:paraId="5E42D8C7">
                  <w:pPr>
                    <w:widowControl w:val="0"/>
                    <w:jc w:val="center"/>
                    <w:rPr>
                      <w:rFonts w:eastAsia="宋体"/>
                      <w:color w:val="auto"/>
                      <w:kern w:val="2"/>
                      <w:sz w:val="21"/>
                      <w:highlight w:val="none"/>
                      <w:u w:val="none"/>
                      <w:lang w:bidi="ar-SA"/>
                    </w:rPr>
                  </w:pPr>
                  <w:r>
                    <w:rPr>
                      <w:rFonts w:hint="eastAsia"/>
                      <w:color w:val="auto"/>
                      <w:szCs w:val="21"/>
                      <w:highlight w:val="none"/>
                      <w:u w:val="none"/>
                      <w:lang w:val="en-US" w:eastAsia="zh-CN"/>
                    </w:rPr>
                    <w:t>符合</w:t>
                  </w:r>
                </w:p>
              </w:tc>
            </w:tr>
          </w:tbl>
          <w:p w14:paraId="67BAB198">
            <w:pPr>
              <w:keepNext w:val="0"/>
              <w:keepLines w:val="0"/>
              <w:pageBreakBefore w:val="0"/>
              <w:widowControl w:val="0"/>
              <w:numPr>
                <w:ilvl w:val="0"/>
                <w:numId w:val="4"/>
              </w:numPr>
              <w:kinsoku/>
              <w:wordWrap/>
              <w:overflowPunct/>
              <w:topLinePunct w:val="0"/>
              <w:autoSpaceDE w:val="0"/>
              <w:autoSpaceDN w:val="0"/>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与《钦州市生态环境分区管控动态更新成果（2023版）》相符性分析</w:t>
            </w:r>
          </w:p>
          <w:p w14:paraId="769396D0">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根据《钦州市生态环境局关于印发&lt;钦州市生态环境分区管控动态更新成果（2023版）的通知&gt;》，调整</w:t>
            </w:r>
            <w:r>
              <w:rPr>
                <w:rFonts w:ascii="宋体" w:hAnsi="宋体" w:eastAsia="宋体" w:cs="宋体"/>
                <w:color w:val="auto"/>
                <w:sz w:val="24"/>
                <w:szCs w:val="24"/>
                <w:highlight w:val="none"/>
              </w:rPr>
              <w:t>后全市陆域共划分为64个环境管控</w:t>
            </w:r>
            <w:r>
              <w:rPr>
                <w:rFonts w:hint="eastAsia" w:ascii="宋体" w:hAnsi="宋体" w:eastAsia="宋体" w:cs="宋体"/>
                <w:color w:val="auto"/>
                <w:sz w:val="24"/>
                <w:szCs w:val="24"/>
                <w:highlight w:val="none"/>
                <w:lang w:eastAsia="zh-CN"/>
              </w:rPr>
              <w:t>单元，优先保护单元</w:t>
            </w:r>
            <w:r>
              <w:rPr>
                <w:rFonts w:hint="eastAsia" w:ascii="宋体" w:hAnsi="宋体" w:eastAsia="宋体" w:cs="宋体"/>
                <w:color w:val="auto"/>
                <w:sz w:val="24"/>
                <w:szCs w:val="24"/>
                <w:highlight w:val="none"/>
                <w:lang w:val="en-US" w:eastAsia="zh-CN"/>
              </w:rPr>
              <w:t>34个，重点保护单元26个，一般保护单元4个；近岸海域共划分为63个环境管控单元，其中</w:t>
            </w:r>
            <w:r>
              <w:rPr>
                <w:rFonts w:hint="eastAsia" w:ascii="宋体" w:hAnsi="宋体" w:eastAsia="宋体" w:cs="宋体"/>
                <w:color w:val="auto"/>
                <w:sz w:val="24"/>
                <w:szCs w:val="24"/>
                <w:highlight w:val="none"/>
                <w:lang w:eastAsia="zh-CN"/>
              </w:rPr>
              <w:t>优先保护单元</w:t>
            </w:r>
            <w:r>
              <w:rPr>
                <w:rFonts w:hint="eastAsia" w:ascii="宋体" w:hAnsi="宋体" w:eastAsia="宋体" w:cs="宋体"/>
                <w:color w:val="auto"/>
                <w:sz w:val="24"/>
                <w:szCs w:val="24"/>
                <w:highlight w:val="none"/>
                <w:lang w:val="en-US" w:eastAsia="zh-CN"/>
              </w:rPr>
              <w:t>25个，重点保护单元31个，一般保护单元7个。项目与钦州市生态环境准入及管控要求相符性分析见下表。</w:t>
            </w:r>
          </w:p>
          <w:p w14:paraId="463B3D96">
            <w:pPr>
              <w:widowControl/>
              <w:jc w:val="center"/>
              <w:rPr>
                <w:b/>
                <w:bCs/>
                <w:color w:val="auto"/>
                <w:szCs w:val="21"/>
                <w:highlight w:val="none"/>
                <w:u w:val="none"/>
              </w:rPr>
            </w:pPr>
            <w:r>
              <w:rPr>
                <w:b/>
                <w:bCs/>
                <w:color w:val="auto"/>
                <w:szCs w:val="21"/>
                <w:highlight w:val="none"/>
                <w:u w:val="none"/>
              </w:rPr>
              <w:t>表</w:t>
            </w:r>
            <w:r>
              <w:rPr>
                <w:rFonts w:hint="eastAsia"/>
                <w:b/>
                <w:bCs/>
                <w:color w:val="auto"/>
                <w:szCs w:val="21"/>
                <w:highlight w:val="none"/>
                <w:u w:val="none"/>
                <w:lang w:val="en-US" w:eastAsia="zh-CN"/>
              </w:rPr>
              <w:t>1.2-2</w:t>
            </w:r>
            <w:r>
              <w:rPr>
                <w:b/>
                <w:bCs/>
                <w:color w:val="auto"/>
                <w:szCs w:val="21"/>
                <w:highlight w:val="none"/>
                <w:u w:val="none"/>
              </w:rPr>
              <w:t>项目与</w:t>
            </w:r>
            <w:r>
              <w:rPr>
                <w:rFonts w:hint="eastAsia"/>
                <w:b/>
                <w:bCs/>
                <w:color w:val="auto"/>
                <w:szCs w:val="21"/>
                <w:highlight w:val="none"/>
                <w:u w:val="none"/>
                <w:lang w:eastAsia="zh-CN"/>
              </w:rPr>
              <w:t>钦州市</w:t>
            </w:r>
            <w:r>
              <w:rPr>
                <w:rFonts w:hint="eastAsia"/>
                <w:b/>
                <w:bCs/>
                <w:color w:val="auto"/>
                <w:szCs w:val="21"/>
                <w:highlight w:val="none"/>
                <w:u w:val="none"/>
                <w:lang w:val="en-US" w:eastAsia="zh-CN"/>
              </w:rPr>
              <w:t>生态环境准入及管控要求</w:t>
            </w:r>
            <w:r>
              <w:rPr>
                <w:b/>
                <w:bCs/>
                <w:color w:val="auto"/>
                <w:szCs w:val="21"/>
                <w:highlight w:val="none"/>
                <w:u w:val="none"/>
              </w:rPr>
              <w:t>符合性分析</w:t>
            </w:r>
          </w:p>
          <w:tbl>
            <w:tblPr>
              <w:tblStyle w:val="4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6"/>
              <w:gridCol w:w="9959"/>
              <w:gridCol w:w="1795"/>
              <w:gridCol w:w="615"/>
            </w:tblGrid>
            <w:tr w14:paraId="4E2DC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noWrap w:val="0"/>
                  <w:vAlign w:val="center"/>
                </w:tcPr>
                <w:p w14:paraId="0152632B">
                  <w:pPr>
                    <w:adjustRightInd w:val="0"/>
                    <w:snapToGrid w:val="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管控要求类别</w:t>
                  </w:r>
                </w:p>
              </w:tc>
              <w:tc>
                <w:tcPr>
                  <w:tcW w:w="3711" w:type="pct"/>
                  <w:noWrap w:val="0"/>
                  <w:vAlign w:val="center"/>
                </w:tcPr>
                <w:p w14:paraId="4507CB26">
                  <w:pPr>
                    <w:adjustRightInd w:val="0"/>
                    <w:snapToGrid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禁止事项清单</w:t>
                  </w:r>
                </w:p>
              </w:tc>
              <w:tc>
                <w:tcPr>
                  <w:tcW w:w="669" w:type="pct"/>
                  <w:noWrap w:val="0"/>
                  <w:vAlign w:val="center"/>
                </w:tcPr>
                <w:p w14:paraId="3AEFCDAF">
                  <w:pPr>
                    <w:adjustRightInd w:val="0"/>
                    <w:snapToGrid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项目情况</w:t>
                  </w:r>
                </w:p>
              </w:tc>
              <w:tc>
                <w:tcPr>
                  <w:tcW w:w="229" w:type="pct"/>
                  <w:noWrap w:val="0"/>
                  <w:vAlign w:val="center"/>
                </w:tcPr>
                <w:p w14:paraId="3508F180">
                  <w:pPr>
                    <w:adjustRightInd w:val="0"/>
                    <w:snapToGrid w:val="0"/>
                    <w:jc w:val="center"/>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符合性</w:t>
                  </w:r>
                </w:p>
              </w:tc>
            </w:tr>
            <w:tr w14:paraId="5CB30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11C1B2FE">
                  <w:pPr>
                    <w:pStyle w:val="223"/>
                    <w:widowControl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2"/>
                      <w:sz w:val="21"/>
                      <w:szCs w:val="21"/>
                      <w:highlight w:val="none"/>
                      <w:u w:val="none"/>
                      <w:lang w:bidi="ar-SA"/>
                    </w:rPr>
                    <w:t>空间布局约束</w:t>
                  </w:r>
                </w:p>
              </w:tc>
              <w:tc>
                <w:tcPr>
                  <w:tcW w:w="3711" w:type="pct"/>
                  <w:noWrap w:val="0"/>
                  <w:vAlign w:val="center"/>
                </w:tcPr>
                <w:p w14:paraId="193FA13F">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w:t>
                  </w:r>
                </w:p>
                <w:p w14:paraId="1186A03E">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有关生态保护红线内各类开发活动的准入及管控规定和要求。</w:t>
                  </w:r>
                </w:p>
              </w:tc>
              <w:tc>
                <w:tcPr>
                  <w:tcW w:w="870" w:type="dxa"/>
                  <w:noWrap w:val="0"/>
                  <w:vAlign w:val="center"/>
                </w:tcPr>
                <w:p w14:paraId="617FCC5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0A699CFF">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2F4D2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C955E21">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158B12FA">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2．红树林依据《广西壮族自治区红树林资源保护条例》进行管理。开展红树林修复要依法依规进行，并符合红树林资源保护规划等相关要求。</w:t>
                  </w:r>
                </w:p>
              </w:tc>
              <w:tc>
                <w:tcPr>
                  <w:tcW w:w="870" w:type="dxa"/>
                  <w:noWrap w:val="0"/>
                  <w:vAlign w:val="center"/>
                </w:tcPr>
                <w:p w14:paraId="3A66C65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42CC92E5">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631E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E82AFD4">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19BDEED2">
                  <w:pPr>
                    <w:pStyle w:val="223"/>
                    <w:widowControl w:val="0"/>
                    <w:spacing w:line="240" w:lineRule="auto"/>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3．重要湿地依据《中华人民共和国湿地保护法》《国家湿地公园管理办法》《广西壮族自治区湿地保护条例》进行管理。</w:t>
                  </w:r>
                </w:p>
              </w:tc>
              <w:tc>
                <w:tcPr>
                  <w:tcW w:w="669" w:type="pct"/>
                  <w:noWrap w:val="0"/>
                  <w:vAlign w:val="center"/>
                </w:tcPr>
                <w:p w14:paraId="310BC2AA">
                  <w:pPr>
                    <w:widowControl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229" w:type="pct"/>
                  <w:noWrap w:val="0"/>
                  <w:vAlign w:val="center"/>
                </w:tcPr>
                <w:p w14:paraId="13D96B5C">
                  <w:pPr>
                    <w:widowControl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符合</w:t>
                  </w:r>
                </w:p>
              </w:tc>
            </w:tr>
            <w:tr w14:paraId="78C90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2BD1411">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434D198D">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tc>
              <w:tc>
                <w:tcPr>
                  <w:tcW w:w="870" w:type="dxa"/>
                  <w:noWrap w:val="0"/>
                  <w:vAlign w:val="center"/>
                </w:tcPr>
                <w:p w14:paraId="06CF6D5E">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434F16D">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D1F3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F7A7D47">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190E323A">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5．以供给侧结构性改革为导向，坚持培育新增产能与淘汰落后产能相结合，严格审批，防止新增落后产能。严格控制“两高”和产能过剩行业新上项目，遏制高耗能产业无序发展和低水平扩张。</w:t>
                  </w:r>
                </w:p>
              </w:tc>
              <w:tc>
                <w:tcPr>
                  <w:tcW w:w="870" w:type="dxa"/>
                  <w:noWrap w:val="0"/>
                  <w:vAlign w:val="center"/>
                </w:tcPr>
                <w:p w14:paraId="6804952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61CABFF">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5D5DE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82382AA">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51E16702">
                  <w:pPr>
                    <w:pStyle w:val="223"/>
                    <w:widowControl w:val="0"/>
                    <w:spacing w:line="240" w:lineRule="auto"/>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6．全市产业准入执行《广西壮族自治区人民政府办公厅关于印发北钦防一体化产业协同发展限制布局清单（工业类2021年版）的通知》（桂政办函〔2021〕4号）要求，限制布局炼铁、炼钢、铝冶炼、平板玻璃制造。</w:t>
                  </w:r>
                </w:p>
              </w:tc>
              <w:tc>
                <w:tcPr>
                  <w:tcW w:w="870" w:type="dxa"/>
                  <w:noWrap w:val="0"/>
                  <w:vAlign w:val="center"/>
                </w:tcPr>
                <w:p w14:paraId="60324C09">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1B74816">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73D6A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E777065">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2248BE39">
                  <w:pPr>
                    <w:pStyle w:val="223"/>
                    <w:widowControl w:val="0"/>
                    <w:spacing w:line="240" w:lineRule="auto"/>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7．新建、扩建的石化、化工、焦化项目应按照《关于加强高耗能、高排放建设项目生态环境源头防控的指导意见》布设在依法合规设立并经规划环评的产业园区。</w:t>
                  </w:r>
                </w:p>
              </w:tc>
              <w:tc>
                <w:tcPr>
                  <w:tcW w:w="870" w:type="dxa"/>
                  <w:noWrap w:val="0"/>
                  <w:vAlign w:val="center"/>
                </w:tcPr>
                <w:p w14:paraId="0F631567">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AF923FE">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3D03D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83A5E7A">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20184CCC">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8．禁止违法占用、损害自然岸线。海洋开发和海岸开发各类活动，大陆自然岸线保有率标准不低于35%、无居民海岛岸线长度保有率标准不低于85%。</w:t>
                  </w:r>
                </w:p>
              </w:tc>
              <w:tc>
                <w:tcPr>
                  <w:tcW w:w="870" w:type="dxa"/>
                  <w:noWrap w:val="0"/>
                  <w:vAlign w:val="center"/>
                </w:tcPr>
                <w:p w14:paraId="61441AF0">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62A07C8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30549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8D3A8B6">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6EE1C809">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9．推进海域资源市场化配置，严控新增围填海造地，完善围填海总量管控，除国家重大战略项目外，全面停止新增围填海项目审批，全面清理非法占用海洋生态保护红线区域的围填海项目。</w:t>
                  </w:r>
                </w:p>
              </w:tc>
              <w:tc>
                <w:tcPr>
                  <w:tcW w:w="870" w:type="dxa"/>
                  <w:noWrap w:val="0"/>
                  <w:vAlign w:val="center"/>
                </w:tcPr>
                <w:p w14:paraId="5CC5F5BA">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F969A17">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3F4DE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45E1F42">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1FF2F4A2">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10．科学论证在三娘湾海洋保护区、茅尾海中部海洋保护区及周边区域的开发利用活动，严格落实保护区管理要求。</w:t>
                  </w:r>
                </w:p>
              </w:tc>
              <w:tc>
                <w:tcPr>
                  <w:tcW w:w="870" w:type="dxa"/>
                  <w:noWrap w:val="0"/>
                  <w:vAlign w:val="center"/>
                </w:tcPr>
                <w:p w14:paraId="2B1646F7">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5E3E784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50C45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38FB4C0">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04DC9E24">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11．严格按照相关法律法规及国土空间规划等要求，规范设置和监管入海排污口。禁止采挖海砂、设置直排排污口及其他破坏河口生态功能的开发活动。</w:t>
                  </w:r>
                </w:p>
              </w:tc>
              <w:tc>
                <w:tcPr>
                  <w:tcW w:w="870" w:type="dxa"/>
                  <w:noWrap w:val="0"/>
                  <w:vAlign w:val="center"/>
                </w:tcPr>
                <w:p w14:paraId="7A4ADA4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5A4CEB1">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55D6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3A9A671">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7C8190C2">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tc>
              <w:tc>
                <w:tcPr>
                  <w:tcW w:w="870" w:type="dxa"/>
                  <w:noWrap w:val="0"/>
                  <w:vAlign w:val="center"/>
                </w:tcPr>
                <w:p w14:paraId="65C7E68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7A5A68E2">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20BE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9A080E2">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0122EB0A">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13．严格用途管制，坚持陆海统筹，严禁国家产业政策淘汰类、限制类项目在滨海湿地布局，实现山水林田湖草整体保护、系统修复、综合治理。</w:t>
                  </w:r>
                </w:p>
              </w:tc>
              <w:tc>
                <w:tcPr>
                  <w:tcW w:w="870" w:type="dxa"/>
                  <w:noWrap w:val="0"/>
                  <w:vAlign w:val="center"/>
                </w:tcPr>
                <w:p w14:paraId="13BBABCD">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39BFCAEA">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6DDA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048FB0A">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382B9CC7">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14．禁止在氮磷浓度严重超标的近岸海域新增或者扩大投饵、投肥海水养殖规模。</w:t>
                  </w:r>
                </w:p>
              </w:tc>
              <w:tc>
                <w:tcPr>
                  <w:tcW w:w="870" w:type="dxa"/>
                  <w:noWrap w:val="0"/>
                  <w:vAlign w:val="center"/>
                </w:tcPr>
                <w:p w14:paraId="766B3A52">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669A699">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4494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7159724">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1811E84B">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15．平陆运河沿线两岸原则上预留1公里作为生态廊道构建用地，将平陆运河沿线建设成为维护当地自然与文化特色的区域生物廊道、生境走廊、休闲绿道、风景廊道和绿色运河经济带等。</w:t>
                  </w:r>
                </w:p>
              </w:tc>
              <w:tc>
                <w:tcPr>
                  <w:tcW w:w="870" w:type="dxa"/>
                  <w:noWrap w:val="0"/>
                  <w:vAlign w:val="center"/>
                </w:tcPr>
                <w:p w14:paraId="5ABC1839">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0E81D480">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3E255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E5A142E">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1AE0A6E2">
                  <w:pPr>
                    <w:pStyle w:val="223"/>
                    <w:widowControl w:val="0"/>
                    <w:spacing w:line="240" w:lineRule="auto"/>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16．禁止平陆运河建设违规占用环评批复范围之外的红树林，严格落实红树林生态恢复和管护要求。</w:t>
                  </w:r>
                </w:p>
              </w:tc>
              <w:tc>
                <w:tcPr>
                  <w:tcW w:w="870" w:type="dxa"/>
                  <w:noWrap w:val="0"/>
                  <w:vAlign w:val="center"/>
                </w:tcPr>
                <w:p w14:paraId="34C06012">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47F130B2">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131F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A6143A8">
                  <w:pPr>
                    <w:pStyle w:val="223"/>
                    <w:widowControl w:val="0"/>
                    <w:jc w:val="both"/>
                    <w:rPr>
                      <w:rFonts w:hint="default" w:ascii="Times New Roman" w:hAnsi="Times New Roman" w:eastAsia="宋体" w:cs="Times New Roman"/>
                      <w:color w:val="auto"/>
                      <w:sz w:val="21"/>
                      <w:szCs w:val="21"/>
                      <w:highlight w:val="none"/>
                      <w:u w:val="none"/>
                    </w:rPr>
                  </w:pPr>
                </w:p>
              </w:tc>
              <w:tc>
                <w:tcPr>
                  <w:tcW w:w="3711" w:type="pct"/>
                  <w:noWrap w:val="0"/>
                  <w:vAlign w:val="center"/>
                </w:tcPr>
                <w:p w14:paraId="3DB8B34F">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17．除上述空间布局约束外，还应遵循国土空间规划管控要求。</w:t>
                  </w:r>
                </w:p>
              </w:tc>
              <w:tc>
                <w:tcPr>
                  <w:tcW w:w="870" w:type="dxa"/>
                  <w:noWrap w:val="0"/>
                  <w:vAlign w:val="center"/>
                </w:tcPr>
                <w:p w14:paraId="4CCC623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53C87DB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473C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2CF35B09">
                  <w:pPr>
                    <w:pStyle w:val="223"/>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2"/>
                      <w:sz w:val="21"/>
                      <w:szCs w:val="21"/>
                      <w:highlight w:val="none"/>
                      <w:u w:val="none"/>
                      <w:lang w:bidi="ar-SA"/>
                    </w:rPr>
                    <w:t>污染物排放管控</w:t>
                  </w:r>
                </w:p>
              </w:tc>
              <w:tc>
                <w:tcPr>
                  <w:tcW w:w="3711" w:type="pct"/>
                  <w:noWrap w:val="0"/>
                  <w:vAlign w:val="center"/>
                </w:tcPr>
                <w:p w14:paraId="5F845A65">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870" w:type="dxa"/>
                  <w:noWrap w:val="0"/>
                  <w:vAlign w:val="center"/>
                </w:tcPr>
                <w:p w14:paraId="36304361">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2516CA1">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91A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B4C9A88">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3BEBF13B">
                  <w:pPr>
                    <w:keepNext w:val="0"/>
                    <w:keepLines w:val="0"/>
                    <w:widowControl/>
                    <w:suppressLineNumbers w:val="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2．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870" w:type="dxa"/>
                  <w:noWrap w:val="0"/>
                  <w:vAlign w:val="center"/>
                </w:tcPr>
                <w:p w14:paraId="4CDA4A96">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61D6AF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045A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exact"/>
                <w:jc w:val="center"/>
              </w:trPr>
              <w:tc>
                <w:tcPr>
                  <w:tcW w:w="390" w:type="pct"/>
                  <w:vMerge w:val="continue"/>
                  <w:noWrap w:val="0"/>
                  <w:vAlign w:val="center"/>
                </w:tcPr>
                <w:p w14:paraId="50430B54">
                  <w:pPr>
                    <w:pStyle w:val="223"/>
                    <w:widowControl w:val="0"/>
                    <w:jc w:val="center"/>
                    <w:rPr>
                      <w:rFonts w:hint="default" w:ascii="Times New Roman" w:hAnsi="Times New Roman" w:eastAsia="宋体" w:cs="Times New Roman"/>
                      <w:color w:val="auto"/>
                      <w:sz w:val="21"/>
                      <w:szCs w:val="21"/>
                      <w:highlight w:val="none"/>
                      <w:u w:val="single"/>
                    </w:rPr>
                  </w:pPr>
                </w:p>
              </w:tc>
              <w:tc>
                <w:tcPr>
                  <w:tcW w:w="3711" w:type="pct"/>
                  <w:noWrap w:val="0"/>
                  <w:vAlign w:val="center"/>
                </w:tcPr>
                <w:p w14:paraId="1A7A9D65">
                  <w:pPr>
                    <w:keepNext w:val="0"/>
                    <w:keepLines w:val="0"/>
                    <w:widowControl/>
                    <w:suppressLineNumbers w:val="0"/>
                    <w:jc w:val="left"/>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kern w:val="0"/>
                      <w:sz w:val="21"/>
                      <w:szCs w:val="21"/>
                      <w:highlight w:val="none"/>
                      <w:lang w:val="en-US" w:eastAsia="zh-CN" w:bidi="ar"/>
                    </w:rPr>
                    <w:t>3．开展陆海统筹流域治理，深化钦江、大风江、茅岭江、南流江等流域水环境综合整治，钦江、南流江流域切实开展截污、拔污、清污、治污专项行动，以“控磷除氮”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tc>
              <w:tc>
                <w:tcPr>
                  <w:tcW w:w="669" w:type="pct"/>
                  <w:noWrap w:val="0"/>
                  <w:vAlign w:val="center"/>
                </w:tcPr>
                <w:p w14:paraId="081C0195">
                  <w:pPr>
                    <w:widowControl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本项目不涉及。</w:t>
                  </w:r>
                </w:p>
              </w:tc>
              <w:tc>
                <w:tcPr>
                  <w:tcW w:w="229" w:type="pct"/>
                  <w:noWrap w:val="0"/>
                  <w:vAlign w:val="center"/>
                </w:tcPr>
                <w:p w14:paraId="2DB78161">
                  <w:pPr>
                    <w:widowControl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符合</w:t>
                  </w:r>
                </w:p>
              </w:tc>
            </w:tr>
            <w:tr w14:paraId="13BE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79CBF6B">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75B57A65">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4．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870" w:type="dxa"/>
                  <w:noWrap w:val="0"/>
                  <w:vAlign w:val="center"/>
                </w:tcPr>
                <w:p w14:paraId="19D9FAE2">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F1DACBF">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7982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74629B5">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07B84CE3">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870" w:type="dxa"/>
                  <w:noWrap w:val="0"/>
                  <w:vAlign w:val="center"/>
                </w:tcPr>
                <w:p w14:paraId="2E844252">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FA5C332">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029E8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60B8EE4">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0A858194">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6．完善园区集中供热设施，积极推广集中供热，有条件的工业聚集区建设集中喷涂工程中心，配备高效治污设施，替代企业独立喷涂工序。</w:t>
                  </w:r>
                </w:p>
              </w:tc>
              <w:tc>
                <w:tcPr>
                  <w:tcW w:w="870" w:type="dxa"/>
                  <w:noWrap w:val="0"/>
                  <w:vAlign w:val="center"/>
                </w:tcPr>
                <w:p w14:paraId="0776E5D8">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8DBBED7">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74850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16703A1E">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1EAC9492">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7．推进城镇生活垃圾处理基础设施扩能建设，强化渗滤液处理设施运营管理，防止渗滤液积存或违规倾倒垃圾渗滤液至市政管网；加强农村生活垃圾收运、处理体系建设，降低农村垃圾焚烧污染。</w:t>
                  </w:r>
                </w:p>
              </w:tc>
              <w:tc>
                <w:tcPr>
                  <w:tcW w:w="870" w:type="dxa"/>
                  <w:noWrap w:val="0"/>
                  <w:vAlign w:val="center"/>
                </w:tcPr>
                <w:p w14:paraId="2FFDFAFA">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5E605089">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100A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6508E77">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6172A285">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8．新建、改建、扩建涉及重点重金属排放建设项目依照相关规定实行总量控制。</w:t>
                  </w:r>
                </w:p>
              </w:tc>
              <w:tc>
                <w:tcPr>
                  <w:tcW w:w="870" w:type="dxa"/>
                  <w:noWrap w:val="0"/>
                  <w:vAlign w:val="center"/>
                </w:tcPr>
                <w:p w14:paraId="5FBC305D">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2808A236">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2CD38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A2DC292">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1D9B2DC5">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9．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870" w:type="dxa"/>
                  <w:noWrap w:val="0"/>
                  <w:vAlign w:val="center"/>
                </w:tcPr>
                <w:p w14:paraId="0B29AB0F">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33A802F2">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3452D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E4DF95A">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1CA516B2">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10．加强海陆联动，严格控制陆源污染物排放。规范入海排污口设置，全面清理非法或设置不合理的入海排污口。加快推进钦州港三墩作业区配套深海排放管道工程。</w:t>
                  </w:r>
                </w:p>
              </w:tc>
              <w:tc>
                <w:tcPr>
                  <w:tcW w:w="669" w:type="pct"/>
                  <w:noWrap w:val="0"/>
                  <w:vAlign w:val="center"/>
                </w:tcPr>
                <w:p w14:paraId="6552C9F2">
                  <w:pPr>
                    <w:widowControl w:val="0"/>
                    <w:jc w:val="center"/>
                    <w:rPr>
                      <w:rFonts w:hint="default" w:ascii="Times New Roman" w:hAnsi="Times New Roman" w:eastAsia="宋体" w:cs="Times New Roman"/>
                      <w:color w:val="auto"/>
                      <w:kern w:val="2"/>
                      <w:sz w:val="21"/>
                      <w:szCs w:val="21"/>
                      <w:highlight w:val="none"/>
                      <w:u w:val="none"/>
                      <w:lang w:eastAsia="zh-CN" w:bidi="ar-SA"/>
                    </w:rPr>
                  </w:pPr>
                  <w:r>
                    <w:rPr>
                      <w:rFonts w:hint="default" w:ascii="Times New Roman" w:hAnsi="Times New Roman" w:eastAsia="宋体" w:cs="Times New Roman"/>
                      <w:color w:val="auto"/>
                      <w:kern w:val="2"/>
                      <w:sz w:val="21"/>
                      <w:szCs w:val="21"/>
                      <w:highlight w:val="none"/>
                      <w:u w:val="none"/>
                      <w:lang w:eastAsia="zh-CN" w:bidi="ar-SA"/>
                    </w:rPr>
                    <w:t>本项目不涉及。</w:t>
                  </w:r>
                </w:p>
              </w:tc>
              <w:tc>
                <w:tcPr>
                  <w:tcW w:w="229" w:type="pct"/>
                  <w:noWrap w:val="0"/>
                  <w:vAlign w:val="center"/>
                </w:tcPr>
                <w:p w14:paraId="02283DE0">
                  <w:pPr>
                    <w:widowControl w:val="0"/>
                    <w:jc w:val="center"/>
                    <w:rPr>
                      <w:rFonts w:hint="default" w:ascii="Times New Roman" w:hAnsi="Times New Roman" w:eastAsia="宋体" w:cs="Times New Roman"/>
                      <w:color w:val="auto"/>
                      <w:kern w:val="2"/>
                      <w:sz w:val="21"/>
                      <w:szCs w:val="21"/>
                      <w:highlight w:val="none"/>
                      <w:u w:val="none"/>
                      <w:lang w:eastAsia="zh-CN" w:bidi="ar-SA"/>
                    </w:rPr>
                  </w:pPr>
                  <w:r>
                    <w:rPr>
                      <w:rFonts w:hint="default" w:ascii="Times New Roman" w:hAnsi="Times New Roman" w:eastAsia="宋体" w:cs="Times New Roman"/>
                      <w:color w:val="auto"/>
                      <w:kern w:val="2"/>
                      <w:sz w:val="21"/>
                      <w:szCs w:val="21"/>
                      <w:highlight w:val="none"/>
                      <w:u w:val="none"/>
                      <w:lang w:eastAsia="zh-CN" w:bidi="ar-SA"/>
                    </w:rPr>
                    <w:t>符合</w:t>
                  </w:r>
                </w:p>
              </w:tc>
            </w:tr>
            <w:tr w14:paraId="64A58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FC7DCB5">
                  <w:pPr>
                    <w:pStyle w:val="223"/>
                    <w:widowControl w:val="0"/>
                    <w:jc w:val="both"/>
                    <w:rPr>
                      <w:rFonts w:hint="default" w:ascii="Times New Roman" w:hAnsi="Times New Roman" w:eastAsia="宋体" w:cs="Times New Roman"/>
                      <w:color w:val="auto"/>
                      <w:sz w:val="21"/>
                      <w:szCs w:val="21"/>
                      <w:highlight w:val="none"/>
                    </w:rPr>
                  </w:pPr>
                </w:p>
              </w:tc>
              <w:tc>
                <w:tcPr>
                  <w:tcW w:w="3711" w:type="pct"/>
                  <w:noWrap w:val="0"/>
                  <w:vAlign w:val="center"/>
                </w:tcPr>
                <w:p w14:paraId="2ECECD29">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11．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tc>
              <w:tc>
                <w:tcPr>
                  <w:tcW w:w="669" w:type="pct"/>
                  <w:noWrap w:val="0"/>
                  <w:vAlign w:val="center"/>
                </w:tcPr>
                <w:p w14:paraId="19138E59">
                  <w:pPr>
                    <w:widowControl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项目施工船舶污水、船舶生活污水、船舶生活垃圾经收集后交由有资质单位处置。</w:t>
                  </w:r>
                </w:p>
              </w:tc>
              <w:tc>
                <w:tcPr>
                  <w:tcW w:w="229" w:type="pct"/>
                  <w:noWrap w:val="0"/>
                  <w:vAlign w:val="center"/>
                </w:tcPr>
                <w:p w14:paraId="2033D375">
                  <w:pPr>
                    <w:widowControl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符合</w:t>
                  </w:r>
                </w:p>
              </w:tc>
            </w:tr>
            <w:tr w14:paraId="5C956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CB0AD1B">
                  <w:pPr>
                    <w:pStyle w:val="223"/>
                    <w:widowControl w:val="0"/>
                    <w:jc w:val="both"/>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2DEAECE8">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12．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tc>
              <w:tc>
                <w:tcPr>
                  <w:tcW w:w="669" w:type="pct"/>
                  <w:noWrap w:val="0"/>
                  <w:vAlign w:val="center"/>
                </w:tcPr>
                <w:p w14:paraId="12BF860C">
                  <w:pPr>
                    <w:widowControl w:val="0"/>
                    <w:jc w:val="both"/>
                    <w:rPr>
                      <w:rFonts w:hint="default" w:ascii="Times New Roman" w:hAnsi="Times New Roman" w:eastAsia="宋体" w:cs="Times New Roman"/>
                      <w:color w:val="auto"/>
                      <w:kern w:val="2"/>
                      <w:sz w:val="21"/>
                      <w:szCs w:val="21"/>
                      <w:highlight w:val="none"/>
                      <w:u w:val="none"/>
                      <w:lang w:eastAsia="zh-CN" w:bidi="ar-SA"/>
                    </w:rPr>
                  </w:pPr>
                  <w:r>
                    <w:rPr>
                      <w:rFonts w:hint="default" w:ascii="Times New Roman" w:hAnsi="Times New Roman" w:eastAsia="宋体" w:cs="Times New Roman"/>
                      <w:color w:val="auto"/>
                      <w:kern w:val="2"/>
                      <w:sz w:val="21"/>
                      <w:szCs w:val="21"/>
                      <w:highlight w:val="none"/>
                      <w:u w:val="none"/>
                      <w:lang w:eastAsia="zh-CN" w:bidi="ar-SA"/>
                    </w:rPr>
                    <w:t>本项目不涉及。</w:t>
                  </w:r>
                </w:p>
              </w:tc>
              <w:tc>
                <w:tcPr>
                  <w:tcW w:w="229" w:type="pct"/>
                  <w:noWrap w:val="0"/>
                  <w:vAlign w:val="center"/>
                </w:tcPr>
                <w:p w14:paraId="2078F962">
                  <w:pPr>
                    <w:widowControl w:val="0"/>
                    <w:jc w:val="center"/>
                    <w:rPr>
                      <w:rFonts w:hint="default" w:ascii="Times New Roman" w:hAnsi="Times New Roman" w:eastAsia="宋体" w:cs="Times New Roman"/>
                      <w:color w:val="auto"/>
                      <w:kern w:val="2"/>
                      <w:sz w:val="21"/>
                      <w:szCs w:val="21"/>
                      <w:highlight w:val="none"/>
                      <w:u w:val="none"/>
                      <w:lang w:eastAsia="zh-CN" w:bidi="ar-SA"/>
                    </w:rPr>
                  </w:pPr>
                  <w:r>
                    <w:rPr>
                      <w:rFonts w:hint="default" w:ascii="Times New Roman" w:hAnsi="Times New Roman" w:eastAsia="宋体" w:cs="Times New Roman"/>
                      <w:color w:val="auto"/>
                      <w:kern w:val="2"/>
                      <w:sz w:val="21"/>
                      <w:szCs w:val="21"/>
                      <w:highlight w:val="none"/>
                      <w:u w:val="none"/>
                      <w:lang w:eastAsia="zh-CN" w:bidi="ar-SA"/>
                    </w:rPr>
                    <w:t>符合</w:t>
                  </w:r>
                </w:p>
              </w:tc>
            </w:tr>
            <w:tr w14:paraId="1D03E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0E11290">
                  <w:pPr>
                    <w:pStyle w:val="223"/>
                    <w:widowControl w:val="0"/>
                    <w:jc w:val="both"/>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4C181A30">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eastAsia="zh-CN" w:bidi="ar-SA"/>
                    </w:rPr>
                  </w:pPr>
                  <w:r>
                    <w:rPr>
                      <w:rFonts w:hint="default" w:ascii="Times New Roman" w:hAnsi="Times New Roman" w:eastAsia="宋体" w:cs="Times New Roman"/>
                      <w:color w:val="auto"/>
                      <w:kern w:val="0"/>
                      <w:sz w:val="21"/>
                      <w:szCs w:val="21"/>
                      <w:highlight w:val="none"/>
                      <w:lang w:val="en-US" w:eastAsia="zh-CN" w:bidi="ar"/>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795" w:type="dxa"/>
                  <w:noWrap w:val="0"/>
                  <w:vAlign w:val="center"/>
                </w:tcPr>
                <w:p w14:paraId="79DADB69">
                  <w:pPr>
                    <w:widowControl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项目施工船舶污水、船舶生活污水、船舶生活垃圾经收集后交由有资质单位处置。</w:t>
                  </w:r>
                </w:p>
              </w:tc>
              <w:tc>
                <w:tcPr>
                  <w:tcW w:w="615" w:type="dxa"/>
                  <w:noWrap w:val="0"/>
                  <w:vAlign w:val="center"/>
                </w:tcPr>
                <w:p w14:paraId="0D26DF0E">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2"/>
                      <w:sz w:val="21"/>
                      <w:szCs w:val="21"/>
                      <w:highlight w:val="none"/>
                      <w:u w:val="none"/>
                      <w:lang w:val="en-US" w:eastAsia="zh-CN" w:bidi="ar-SA"/>
                    </w:rPr>
                    <w:t>符合</w:t>
                  </w:r>
                </w:p>
              </w:tc>
            </w:tr>
            <w:tr w14:paraId="195C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C60D7F4">
                  <w:pPr>
                    <w:pStyle w:val="223"/>
                    <w:widowControl w:val="0"/>
                    <w:jc w:val="both"/>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55D2CA40">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14．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tc>
              <w:tc>
                <w:tcPr>
                  <w:tcW w:w="669" w:type="pct"/>
                  <w:noWrap w:val="0"/>
                  <w:vAlign w:val="center"/>
                </w:tcPr>
                <w:p w14:paraId="62D3E71C">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29" w:type="pct"/>
                  <w:noWrap w:val="0"/>
                  <w:vAlign w:val="center"/>
                </w:tcPr>
                <w:p w14:paraId="7D826B06">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2D501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F4B7E50">
                  <w:pPr>
                    <w:pStyle w:val="223"/>
                    <w:widowControl w:val="0"/>
                    <w:jc w:val="both"/>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7F404976">
                  <w:pPr>
                    <w:keepNext w:val="0"/>
                    <w:keepLines w:val="0"/>
                    <w:widowControl/>
                    <w:suppressLineNumbers w:val="0"/>
                    <w:jc w:val="left"/>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kern w:val="0"/>
                      <w:sz w:val="21"/>
                      <w:szCs w:val="21"/>
                      <w:highlight w:val="none"/>
                      <w:lang w:val="en-US" w:eastAsia="zh-CN" w:bidi="ar"/>
                    </w:rPr>
                    <w:t>15．推动造纸行业节能改造，加大有机废液、有机废物、生物质气体的回收利用，固体废物近零排放。</w:t>
                  </w:r>
                </w:p>
              </w:tc>
              <w:tc>
                <w:tcPr>
                  <w:tcW w:w="669" w:type="pct"/>
                  <w:noWrap w:val="0"/>
                  <w:vAlign w:val="center"/>
                </w:tcPr>
                <w:p w14:paraId="409DC2DF">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本项目不涉及。</w:t>
                  </w:r>
                </w:p>
              </w:tc>
              <w:tc>
                <w:tcPr>
                  <w:tcW w:w="229" w:type="pct"/>
                  <w:noWrap w:val="0"/>
                  <w:vAlign w:val="center"/>
                </w:tcPr>
                <w:p w14:paraId="321A72A2">
                  <w:pPr>
                    <w:widowControl w:val="0"/>
                    <w:jc w:val="center"/>
                    <w:rPr>
                      <w:rFonts w:hint="default" w:ascii="Times New Roman" w:hAnsi="Times New Roman" w:eastAsia="宋体" w:cs="Times New Roman"/>
                      <w:color w:val="auto"/>
                      <w:kern w:val="2"/>
                      <w:sz w:val="21"/>
                      <w:szCs w:val="21"/>
                      <w:highlight w:val="none"/>
                      <w:u w:val="none"/>
                      <w:lang w:bidi="ar-SA"/>
                    </w:rPr>
                  </w:pPr>
                  <w:r>
                    <w:rPr>
                      <w:rFonts w:hint="default" w:ascii="Times New Roman" w:hAnsi="Times New Roman" w:eastAsia="宋体" w:cs="Times New Roman"/>
                      <w:color w:val="auto"/>
                      <w:sz w:val="21"/>
                      <w:szCs w:val="21"/>
                      <w:highlight w:val="none"/>
                      <w:u w:val="none"/>
                      <w:lang w:val="en-US" w:eastAsia="zh-CN"/>
                    </w:rPr>
                    <w:t>符合</w:t>
                  </w:r>
                </w:p>
              </w:tc>
            </w:tr>
            <w:tr w14:paraId="3EDB5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4714660B">
                  <w:pPr>
                    <w:pStyle w:val="223"/>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2"/>
                      <w:sz w:val="21"/>
                      <w:szCs w:val="21"/>
                      <w:highlight w:val="none"/>
                      <w:u w:val="none"/>
                      <w:lang w:bidi="ar-SA"/>
                    </w:rPr>
                    <w:t>环境风险防控</w:t>
                  </w:r>
                </w:p>
              </w:tc>
              <w:tc>
                <w:tcPr>
                  <w:tcW w:w="3711" w:type="pct"/>
                  <w:noWrap w:val="0"/>
                  <w:vAlign w:val="center"/>
                </w:tcPr>
                <w:p w14:paraId="48DA11BB">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669" w:type="pct"/>
                  <w:noWrap w:val="0"/>
                  <w:vAlign w:val="center"/>
                </w:tcPr>
                <w:p w14:paraId="3F006424">
                  <w:pPr>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lang w:val="en-US" w:eastAsia="zh-CN"/>
                    </w:rPr>
                    <w:t>本项目不涉及。</w:t>
                  </w:r>
                </w:p>
              </w:tc>
              <w:tc>
                <w:tcPr>
                  <w:tcW w:w="229" w:type="pct"/>
                  <w:noWrap w:val="0"/>
                  <w:vAlign w:val="center"/>
                </w:tcPr>
                <w:p w14:paraId="1A7C38FA">
                  <w:pPr>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lang w:val="en-US" w:eastAsia="zh-CN"/>
                    </w:rPr>
                    <w:t>符合</w:t>
                  </w:r>
                </w:p>
              </w:tc>
            </w:tr>
            <w:tr w14:paraId="3B98A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86F6955">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0B481300">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2．选择涉重涉危企业、化工园区、集中式饮用水水源地等重要区域开展突发环境事件风险、环境健康风险评估，实施分类分级风险管控。</w:t>
                  </w:r>
                </w:p>
              </w:tc>
              <w:tc>
                <w:tcPr>
                  <w:tcW w:w="870" w:type="dxa"/>
                  <w:noWrap w:val="0"/>
                  <w:vAlign w:val="center"/>
                </w:tcPr>
                <w:p w14:paraId="5009AE6E">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918D42E">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1B85B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2433DF66">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21A02F66">
                  <w:pPr>
                    <w:keepNext w:val="0"/>
                    <w:keepLines w:val="0"/>
                    <w:widowControl/>
                    <w:suppressLineNumbers w:val="0"/>
                    <w:jc w:val="left"/>
                    <w:rPr>
                      <w:rFonts w:hint="default" w:ascii="Times New Roman" w:hAnsi="Times New Roman" w:eastAsia="宋体" w:cs="Times New Roman"/>
                      <w:color w:val="auto"/>
                      <w:sz w:val="21"/>
                      <w:szCs w:val="21"/>
                      <w:highlight w:val="none"/>
                      <w:u w:val="single"/>
                      <w:lang w:val="en-US"/>
                    </w:rPr>
                  </w:pPr>
                  <w:r>
                    <w:rPr>
                      <w:rFonts w:hint="default" w:ascii="Times New Roman" w:hAnsi="Times New Roman" w:eastAsia="宋体" w:cs="Times New Roman"/>
                      <w:color w:val="auto"/>
                      <w:kern w:val="0"/>
                      <w:sz w:val="21"/>
                      <w:szCs w:val="21"/>
                      <w:highlight w:val="none"/>
                      <w:lang w:val="en-US" w:eastAsia="zh-CN" w:bidi="ar"/>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870" w:type="dxa"/>
                  <w:noWrap w:val="0"/>
                  <w:vAlign w:val="center"/>
                </w:tcPr>
                <w:p w14:paraId="114CC70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54C9ECB0">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80C0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4477383">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1243B25C">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4．严格建设项目环境准入，永久基本农田集中区域禁止规划新建可能造成土壤污染的建设项目；新（改、扩）建涉有毒有害物质可能造成土壤污染的建设项目，提出并落实污染防治要求。</w:t>
                  </w:r>
                </w:p>
              </w:tc>
              <w:tc>
                <w:tcPr>
                  <w:tcW w:w="870" w:type="dxa"/>
                  <w:noWrap w:val="0"/>
                  <w:vAlign w:val="center"/>
                </w:tcPr>
                <w:p w14:paraId="187DE6A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47F1C153">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3B455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44DF05F8">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6B65F5BC">
                  <w:pPr>
                    <w:pStyle w:val="223"/>
                    <w:widowControl w:val="0"/>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5．强化全域矿产资源开发监管，建立矿石生态环境动态监测网络，禁止矿山废水、废气、废渣的无序排放。</w:t>
                  </w:r>
                </w:p>
              </w:tc>
              <w:tc>
                <w:tcPr>
                  <w:tcW w:w="870" w:type="dxa"/>
                  <w:noWrap w:val="0"/>
                  <w:vAlign w:val="center"/>
                </w:tcPr>
                <w:p w14:paraId="5C92C6D1">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518B665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7C901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43DB1A7">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7C0FCD52">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6．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tc>
              <w:tc>
                <w:tcPr>
                  <w:tcW w:w="669" w:type="pct"/>
                  <w:noWrap w:val="0"/>
                  <w:vAlign w:val="center"/>
                </w:tcPr>
                <w:p w14:paraId="74CEC4F6">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本项目为码头</w:t>
                  </w:r>
                  <w:r>
                    <w:rPr>
                      <w:rFonts w:hint="default" w:ascii="Times New Roman" w:hAnsi="Times New Roman" w:eastAsia="宋体" w:cs="Times New Roman"/>
                      <w:color w:val="auto"/>
                      <w:highlight w:val="none"/>
                      <w:lang w:val="en-US" w:eastAsia="zh-CN"/>
                    </w:rPr>
                    <w:t>回旋水域</w:t>
                  </w:r>
                  <w:r>
                    <w:rPr>
                      <w:rFonts w:hint="default" w:ascii="Times New Roman" w:hAnsi="Times New Roman" w:eastAsia="宋体" w:cs="Times New Roman"/>
                      <w:color w:val="auto"/>
                      <w:sz w:val="21"/>
                      <w:szCs w:val="21"/>
                      <w:highlight w:val="none"/>
                      <w:u w:val="none"/>
                      <w:lang w:val="en-US" w:eastAsia="zh-CN"/>
                    </w:rPr>
                    <w:t>维护性疏浚工程，不属于涉海重大工程，项目施工配备应急物资，并进行应急演练，项目环境风险可控。</w:t>
                  </w:r>
                </w:p>
              </w:tc>
              <w:tc>
                <w:tcPr>
                  <w:tcW w:w="229" w:type="pct"/>
                  <w:noWrap w:val="0"/>
                  <w:vAlign w:val="center"/>
                </w:tcPr>
                <w:p w14:paraId="0A94E4BA">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21CE5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7CD07A50">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25B22188">
                  <w:pPr>
                    <w:pStyle w:val="223"/>
                    <w:widowControl w:val="0"/>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7．强化沿海工业园区和沿海石油、石化、化工、冶炼及危化品储运等企业的环境风险防控，加强企业和园区环境应急物资储备。</w:t>
                  </w:r>
                </w:p>
              </w:tc>
              <w:tc>
                <w:tcPr>
                  <w:tcW w:w="870" w:type="dxa"/>
                  <w:noWrap w:val="0"/>
                  <w:vAlign w:val="center"/>
                </w:tcPr>
                <w:p w14:paraId="0680A591">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71E2FD9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1990F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092F762">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4E4D9A51">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8．加强海洋生态灾害应急体系建设，强化海水浴场、电厂取排水口等海洋生态灾害高风险区域的联防联控。</w:t>
                  </w:r>
                </w:p>
              </w:tc>
              <w:tc>
                <w:tcPr>
                  <w:tcW w:w="870" w:type="dxa"/>
                  <w:noWrap w:val="0"/>
                  <w:vAlign w:val="center"/>
                </w:tcPr>
                <w:p w14:paraId="7FA28AAF">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68620B1B">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558B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4B008B0">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6A927F71">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9．加强倾倒区使用状况监督管理工作，做好废弃物向海洋倾倒活动的风险管控。</w:t>
                  </w:r>
                </w:p>
              </w:tc>
              <w:tc>
                <w:tcPr>
                  <w:tcW w:w="669" w:type="pct"/>
                  <w:noWrap w:val="0"/>
                  <w:vAlign w:val="center"/>
                </w:tcPr>
                <w:p w14:paraId="3E142E47">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项目施工前申请倾倒许可证，并按照相关要求做好疏浚物的运输、倾倒工作。</w:t>
                  </w:r>
                </w:p>
              </w:tc>
              <w:tc>
                <w:tcPr>
                  <w:tcW w:w="229" w:type="pct"/>
                  <w:noWrap w:val="0"/>
                  <w:vAlign w:val="center"/>
                </w:tcPr>
                <w:p w14:paraId="07F2DF5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90DB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restart"/>
                  <w:noWrap w:val="0"/>
                  <w:vAlign w:val="center"/>
                </w:tcPr>
                <w:p w14:paraId="430D0706">
                  <w:pPr>
                    <w:pStyle w:val="223"/>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2"/>
                      <w:sz w:val="21"/>
                      <w:szCs w:val="21"/>
                      <w:highlight w:val="none"/>
                      <w:u w:val="none"/>
                      <w:lang w:bidi="ar-SA"/>
                    </w:rPr>
                    <w:t>资源开发利用效率要求</w:t>
                  </w:r>
                </w:p>
              </w:tc>
              <w:tc>
                <w:tcPr>
                  <w:tcW w:w="3711" w:type="pct"/>
                  <w:noWrap w:val="0"/>
                  <w:vAlign w:val="center"/>
                </w:tcPr>
                <w:p w14:paraId="6B636CA3">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1．能源：强化和完善能耗双控制度，严格落实《石化化工重点行业严格能效约束推动节能降碳行动方案（2021－2025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669" w:type="pct"/>
                  <w:noWrap w:val="0"/>
                  <w:vAlign w:val="center"/>
                </w:tcPr>
                <w:p w14:paraId="4DF1E4FE">
                  <w:pPr>
                    <w:widowControl w:val="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lang w:val="en-US" w:eastAsia="zh-CN"/>
                    </w:rPr>
                    <w:t>本项目不涉及。</w:t>
                  </w:r>
                </w:p>
              </w:tc>
              <w:tc>
                <w:tcPr>
                  <w:tcW w:w="229" w:type="pct"/>
                  <w:noWrap w:val="0"/>
                  <w:vAlign w:val="center"/>
                </w:tcPr>
                <w:p w14:paraId="1526299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p w14:paraId="4B74D97F">
                  <w:pPr>
                    <w:pStyle w:val="54"/>
                    <w:rPr>
                      <w:rFonts w:hint="default" w:ascii="Times New Roman" w:hAnsi="Times New Roman" w:eastAsia="宋体" w:cs="Times New Roman"/>
                      <w:color w:val="auto"/>
                      <w:sz w:val="21"/>
                      <w:szCs w:val="21"/>
                      <w:highlight w:val="none"/>
                    </w:rPr>
                  </w:pPr>
                </w:p>
              </w:tc>
            </w:tr>
            <w:tr w14:paraId="1C9F9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8C72377">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185DEDFB">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2．土地资源：严格执行自治区下达的土地资源利用总量及效率管控指标要求。突出节约集约用海原则，合理控制规模，优化空间布局，提高海域空间资源的整体使用效能。</w:t>
                  </w:r>
                </w:p>
              </w:tc>
              <w:tc>
                <w:tcPr>
                  <w:tcW w:w="870" w:type="dxa"/>
                  <w:noWrap w:val="0"/>
                  <w:vAlign w:val="center"/>
                </w:tcPr>
                <w:p w14:paraId="01B05223">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60C6DE66">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13CB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66ED99B1">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42AE712B">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3．水资源：实行水资源消耗总量和强度“双控”。严格用水总量指标管理，健全市、县（市、区）行政区域的用水总量控制指标体系，统筹生活、生产、生态用水，大力推进农业、工业、城镇等领域节水。严格按照地下水开发利用控制目标控制地下水资源开采。</w:t>
                  </w:r>
                </w:p>
              </w:tc>
              <w:tc>
                <w:tcPr>
                  <w:tcW w:w="669" w:type="pct"/>
                  <w:noWrap w:val="0"/>
                  <w:vAlign w:val="center"/>
                </w:tcPr>
                <w:p w14:paraId="732FD290">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本项目主要用水为施工人员生活用水，用水量较少，用水主要依托16#、17#泊位供水，不涉及地下水开发利用。</w:t>
                  </w:r>
                </w:p>
              </w:tc>
              <w:tc>
                <w:tcPr>
                  <w:tcW w:w="229" w:type="pct"/>
                  <w:noWrap w:val="0"/>
                  <w:vAlign w:val="center"/>
                </w:tcPr>
                <w:p w14:paraId="63B54879">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4EC40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3BF2F42E">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2AF07E16">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4．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tc>
              <w:tc>
                <w:tcPr>
                  <w:tcW w:w="870" w:type="dxa"/>
                  <w:noWrap w:val="0"/>
                  <w:vAlign w:val="center"/>
                </w:tcPr>
                <w:p w14:paraId="7DECBF24">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19B1FCB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60C3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5B7438A7">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6AD81335">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5．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669" w:type="pct"/>
                  <w:noWrap w:val="0"/>
                  <w:vAlign w:val="center"/>
                </w:tcPr>
                <w:p w14:paraId="7DE75FC8">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项目为码头回旋水域护性疏浚，不涉及岸线利用和改变。</w:t>
                  </w:r>
                </w:p>
              </w:tc>
              <w:tc>
                <w:tcPr>
                  <w:tcW w:w="229" w:type="pct"/>
                  <w:noWrap w:val="0"/>
                  <w:vAlign w:val="center"/>
                </w:tcPr>
                <w:p w14:paraId="267DA203">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r w14:paraId="531AA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90" w:type="pct"/>
                  <w:vMerge w:val="continue"/>
                  <w:noWrap w:val="0"/>
                  <w:vAlign w:val="center"/>
                </w:tcPr>
                <w:p w14:paraId="0B94A8C8">
                  <w:pPr>
                    <w:pStyle w:val="223"/>
                    <w:widowControl w:val="0"/>
                    <w:jc w:val="center"/>
                    <w:rPr>
                      <w:rFonts w:hint="default" w:ascii="Times New Roman" w:hAnsi="Times New Roman" w:eastAsia="宋体" w:cs="Times New Roman"/>
                      <w:color w:val="auto"/>
                      <w:kern w:val="2"/>
                      <w:sz w:val="21"/>
                      <w:szCs w:val="21"/>
                      <w:highlight w:val="none"/>
                      <w:u w:val="none"/>
                      <w:lang w:bidi="ar-SA"/>
                    </w:rPr>
                  </w:pPr>
                </w:p>
              </w:tc>
              <w:tc>
                <w:tcPr>
                  <w:tcW w:w="3711" w:type="pct"/>
                  <w:noWrap w:val="0"/>
                  <w:vAlign w:val="center"/>
                </w:tcPr>
                <w:p w14:paraId="61F477C9">
                  <w:pPr>
                    <w:keepNext w:val="0"/>
                    <w:keepLines w:val="0"/>
                    <w:widowControl/>
                    <w:suppressLineNumbers w:val="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kern w:val="0"/>
                      <w:sz w:val="21"/>
                      <w:szCs w:val="21"/>
                      <w:highlight w:val="none"/>
                      <w:lang w:val="en-US" w:eastAsia="zh-CN" w:bidi="ar"/>
                    </w:rPr>
                    <w:t>6．高污染燃料禁燃区：禁止新建、扩建燃用高污染燃料的项目和设施，已经建成的应逐步或依法限期改用天然气、电或其他清洁能源。</w:t>
                  </w:r>
                </w:p>
              </w:tc>
              <w:tc>
                <w:tcPr>
                  <w:tcW w:w="870" w:type="dxa"/>
                  <w:noWrap w:val="0"/>
                  <w:vAlign w:val="center"/>
                </w:tcPr>
                <w:p w14:paraId="65DA68BD">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298" w:type="dxa"/>
                  <w:noWrap w:val="0"/>
                  <w:vAlign w:val="center"/>
                </w:tcPr>
                <w:p w14:paraId="0924399C">
                  <w:pPr>
                    <w:widowControl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符合</w:t>
                  </w:r>
                </w:p>
              </w:tc>
            </w:tr>
          </w:tbl>
          <w:p w14:paraId="327486F3">
            <w:pPr>
              <w:pStyle w:val="54"/>
              <w:rPr>
                <w:rFonts w:hint="eastAsia" w:ascii="宋体" w:hAnsi="宋体" w:eastAsia="宋体" w:cs="宋体"/>
                <w:color w:val="auto"/>
                <w:sz w:val="24"/>
                <w:szCs w:val="24"/>
                <w:highlight w:val="none"/>
                <w:lang w:val="en-US" w:eastAsia="zh-CN"/>
              </w:rPr>
            </w:pPr>
          </w:p>
          <w:p w14:paraId="06C8B966">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en-US" w:eastAsia="zh-CN"/>
              </w:rPr>
              <w:t>根据项目《广西“生态云”平台建设项目智能研判报告》，本项目涉及1个管控单元，其中优先保护单元0个，重点管控单元1个，一般管控单</w:t>
            </w:r>
            <w:r>
              <w:rPr>
                <w:rFonts w:hint="eastAsia" w:ascii="宋体" w:hAnsi="宋体" w:eastAsia="宋体" w:cs="宋体"/>
                <w:color w:val="auto"/>
                <w:sz w:val="24"/>
                <w:szCs w:val="24"/>
                <w:highlight w:val="none"/>
                <w:u w:val="none"/>
                <w:lang w:val="en-US" w:eastAsia="zh-CN"/>
              </w:rPr>
              <w:t>元0个。项目涉及的管控单元详见下表。</w:t>
            </w:r>
          </w:p>
          <w:p w14:paraId="1B0669ED">
            <w:pPr>
              <w:widowControl/>
              <w:jc w:val="center"/>
              <w:rPr>
                <w:rFonts w:hint="eastAsia" w:eastAsia="宋体"/>
                <w:b/>
                <w:bCs/>
                <w:color w:val="auto"/>
                <w:szCs w:val="21"/>
                <w:highlight w:val="none"/>
                <w:u w:val="none"/>
                <w:lang w:eastAsia="zh-CN"/>
              </w:rPr>
            </w:pPr>
            <w:r>
              <w:rPr>
                <w:b/>
                <w:bCs/>
                <w:color w:val="auto"/>
                <w:szCs w:val="21"/>
                <w:highlight w:val="none"/>
                <w:u w:val="none"/>
              </w:rPr>
              <w:t>表</w:t>
            </w:r>
            <w:r>
              <w:rPr>
                <w:rFonts w:hint="eastAsia"/>
                <w:b/>
                <w:bCs/>
                <w:color w:val="auto"/>
                <w:szCs w:val="21"/>
                <w:highlight w:val="none"/>
                <w:u w:val="none"/>
                <w:lang w:val="en-US" w:eastAsia="zh-CN"/>
              </w:rPr>
              <w:t>1.2-3</w:t>
            </w:r>
            <w:r>
              <w:rPr>
                <w:b/>
                <w:bCs/>
                <w:color w:val="auto"/>
                <w:szCs w:val="21"/>
                <w:highlight w:val="none"/>
                <w:u w:val="none"/>
              </w:rPr>
              <w:t>项目</w:t>
            </w:r>
            <w:r>
              <w:rPr>
                <w:rFonts w:hint="eastAsia"/>
                <w:b/>
                <w:bCs/>
                <w:color w:val="auto"/>
                <w:szCs w:val="21"/>
                <w:highlight w:val="none"/>
                <w:u w:val="none"/>
                <w:lang w:eastAsia="zh-CN"/>
              </w:rPr>
              <w:t>涉及钦州市近岸海域环境管控单元一览表</w:t>
            </w:r>
          </w:p>
          <w:tbl>
            <w:tblPr>
              <w:tblStyle w:val="4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4"/>
              <w:gridCol w:w="3684"/>
              <w:gridCol w:w="6318"/>
              <w:gridCol w:w="2925"/>
            </w:tblGrid>
            <w:tr w14:paraId="61832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184" w:type="pct"/>
                  <w:noWrap w:val="0"/>
                  <w:vAlign w:val="center"/>
                </w:tcPr>
                <w:p w14:paraId="29AA5C4C">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序号</w:t>
                  </w:r>
                </w:p>
              </w:tc>
              <w:tc>
                <w:tcPr>
                  <w:tcW w:w="1372" w:type="pct"/>
                  <w:noWrap w:val="0"/>
                  <w:vAlign w:val="center"/>
                </w:tcPr>
                <w:p w14:paraId="48645B22">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环境管控单元编码</w:t>
                  </w:r>
                </w:p>
              </w:tc>
              <w:tc>
                <w:tcPr>
                  <w:tcW w:w="2353" w:type="pct"/>
                  <w:noWrap w:val="0"/>
                  <w:vAlign w:val="center"/>
                </w:tcPr>
                <w:p w14:paraId="2A789E34">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eastAsia="zh-CN"/>
                    </w:rPr>
                    <w:t>环境管控单元名称</w:t>
                  </w:r>
                </w:p>
              </w:tc>
              <w:tc>
                <w:tcPr>
                  <w:tcW w:w="1089" w:type="pct"/>
                  <w:noWrap w:val="0"/>
                  <w:vAlign w:val="center"/>
                </w:tcPr>
                <w:p w14:paraId="36983ECC">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管控单元分类</w:t>
                  </w:r>
                </w:p>
              </w:tc>
            </w:tr>
            <w:tr w14:paraId="62AA6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noWrap w:val="0"/>
                  <w:vAlign w:val="center"/>
                </w:tcPr>
                <w:p w14:paraId="04F71E5A">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w:t>
                  </w:r>
                </w:p>
              </w:tc>
              <w:tc>
                <w:tcPr>
                  <w:tcW w:w="1372" w:type="pct"/>
                  <w:noWrap w:val="0"/>
                  <w:vAlign w:val="center"/>
                </w:tcPr>
                <w:p w14:paraId="391096E2">
                  <w:pPr>
                    <w:adjustRightInd w:val="0"/>
                    <w:snapToGrid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HY45070020001</w:t>
                  </w:r>
                </w:p>
              </w:tc>
              <w:tc>
                <w:tcPr>
                  <w:tcW w:w="2353" w:type="pct"/>
                  <w:noWrap w:val="0"/>
                  <w:vAlign w:val="center"/>
                </w:tcPr>
                <w:p w14:paraId="2EECAEA8">
                  <w:pPr>
                    <w:adjustRightInd w:val="0"/>
                    <w:snapToGrid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金谷港区（金谷交通运输用海区）</w:t>
                  </w:r>
                </w:p>
              </w:tc>
              <w:tc>
                <w:tcPr>
                  <w:tcW w:w="1089" w:type="pct"/>
                  <w:noWrap w:val="0"/>
                  <w:vAlign w:val="center"/>
                </w:tcPr>
                <w:p w14:paraId="698AC324">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重点管控单元</w:t>
                  </w:r>
                </w:p>
              </w:tc>
            </w:tr>
          </w:tbl>
          <w:p w14:paraId="22B0C08B">
            <w:pPr>
              <w:pStyle w:val="54"/>
              <w:rPr>
                <w:rFonts w:hint="eastAsia"/>
                <w:color w:val="auto"/>
                <w:highlight w:val="none"/>
                <w:u w:val="none"/>
                <w:lang w:val="en-US" w:eastAsia="zh-CN"/>
              </w:rPr>
            </w:pPr>
          </w:p>
          <w:p w14:paraId="09D71791">
            <w:pPr>
              <w:widowControl/>
              <w:jc w:val="center"/>
              <w:rPr>
                <w:rFonts w:hint="eastAsia" w:eastAsia="宋体"/>
                <w:b/>
                <w:bCs/>
                <w:color w:val="auto"/>
                <w:szCs w:val="21"/>
                <w:highlight w:val="none"/>
                <w:u w:val="none"/>
                <w:lang w:eastAsia="zh-CN"/>
              </w:rPr>
            </w:pPr>
            <w:r>
              <w:rPr>
                <w:b/>
                <w:bCs/>
                <w:color w:val="auto"/>
                <w:szCs w:val="21"/>
                <w:highlight w:val="none"/>
                <w:u w:val="none"/>
              </w:rPr>
              <w:t>表</w:t>
            </w:r>
            <w:r>
              <w:rPr>
                <w:rFonts w:hint="eastAsia"/>
                <w:b/>
                <w:bCs/>
                <w:color w:val="auto"/>
                <w:szCs w:val="21"/>
                <w:highlight w:val="none"/>
                <w:u w:val="none"/>
                <w:lang w:val="en-US" w:eastAsia="zh-CN"/>
              </w:rPr>
              <w:t>1.2-4</w:t>
            </w:r>
            <w:r>
              <w:rPr>
                <w:rFonts w:hint="eastAsia"/>
                <w:b/>
                <w:bCs/>
                <w:color w:val="auto"/>
                <w:szCs w:val="21"/>
                <w:highlight w:val="none"/>
                <w:u w:val="none"/>
                <w:lang w:eastAsia="zh-CN"/>
              </w:rPr>
              <w:t>与金谷港区（金谷交通运输用海区）环境管控单元相符性分析</w:t>
            </w:r>
          </w:p>
          <w:tbl>
            <w:tblPr>
              <w:tblStyle w:val="4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09"/>
              <w:gridCol w:w="1026"/>
              <w:gridCol w:w="701"/>
              <w:gridCol w:w="830"/>
              <w:gridCol w:w="6642"/>
              <w:gridCol w:w="2256"/>
              <w:gridCol w:w="457"/>
            </w:tblGrid>
            <w:tr w14:paraId="6BEA3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62" w:type="pct"/>
                  <w:noWrap w:val="0"/>
                  <w:vAlign w:val="center"/>
                </w:tcPr>
                <w:p w14:paraId="7D22B4DE">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环境管控单元编码</w:t>
                  </w:r>
                </w:p>
              </w:tc>
              <w:tc>
                <w:tcPr>
                  <w:tcW w:w="382" w:type="pct"/>
                  <w:noWrap w:val="0"/>
                  <w:vAlign w:val="center"/>
                </w:tcPr>
                <w:p w14:paraId="0B44DFC3">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eastAsia="zh-CN"/>
                    </w:rPr>
                    <w:t>环境管控单元名称</w:t>
                  </w:r>
                </w:p>
              </w:tc>
              <w:tc>
                <w:tcPr>
                  <w:tcW w:w="261" w:type="pct"/>
                  <w:noWrap w:val="0"/>
                  <w:vAlign w:val="center"/>
                </w:tcPr>
                <w:p w14:paraId="2C6A1EA5">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管控单元分类</w:t>
                  </w:r>
                </w:p>
              </w:tc>
              <w:tc>
                <w:tcPr>
                  <w:tcW w:w="2782" w:type="pct"/>
                  <w:gridSpan w:val="2"/>
                  <w:noWrap w:val="0"/>
                  <w:vAlign w:val="center"/>
                </w:tcPr>
                <w:p w14:paraId="0E9F3D37">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管控要求</w:t>
                  </w:r>
                </w:p>
              </w:tc>
              <w:tc>
                <w:tcPr>
                  <w:tcW w:w="840" w:type="pct"/>
                  <w:noWrap w:val="0"/>
                  <w:vAlign w:val="center"/>
                </w:tcPr>
                <w:p w14:paraId="43BF4791">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相符性分析</w:t>
                  </w:r>
                </w:p>
              </w:tc>
              <w:tc>
                <w:tcPr>
                  <w:tcW w:w="170" w:type="pct"/>
                  <w:noWrap w:val="0"/>
                  <w:vAlign w:val="center"/>
                </w:tcPr>
                <w:p w14:paraId="0BD668D4">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相符性</w:t>
                  </w:r>
                </w:p>
              </w:tc>
            </w:tr>
            <w:tr w14:paraId="5E0F7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restart"/>
                  <w:noWrap w:val="0"/>
                  <w:vAlign w:val="center"/>
                </w:tcPr>
                <w:p w14:paraId="7C1B5292">
                  <w:pPr>
                    <w:adjustRightInd w:val="0"/>
                    <w:snapToGrid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HY45070020001</w:t>
                  </w:r>
                </w:p>
              </w:tc>
              <w:tc>
                <w:tcPr>
                  <w:tcW w:w="382" w:type="pct"/>
                  <w:vMerge w:val="restart"/>
                  <w:noWrap w:val="0"/>
                  <w:vAlign w:val="center"/>
                </w:tcPr>
                <w:p w14:paraId="090B4D91">
                  <w:pPr>
                    <w:adjustRightInd w:val="0"/>
                    <w:snapToGrid w:val="0"/>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金谷港区（金谷交通运输用海区）</w:t>
                  </w:r>
                </w:p>
              </w:tc>
              <w:tc>
                <w:tcPr>
                  <w:tcW w:w="261" w:type="pct"/>
                  <w:vMerge w:val="restart"/>
                  <w:noWrap w:val="0"/>
                  <w:vAlign w:val="center"/>
                </w:tcPr>
                <w:p w14:paraId="07CDF9D3">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重点管控单元</w:t>
                  </w:r>
                </w:p>
              </w:tc>
              <w:tc>
                <w:tcPr>
                  <w:tcW w:w="309" w:type="pct"/>
                  <w:vMerge w:val="restart"/>
                  <w:noWrap w:val="0"/>
                  <w:vAlign w:val="center"/>
                </w:tcPr>
                <w:p w14:paraId="32F429FE">
                  <w:pPr>
                    <w:adjustRightInd w:val="0"/>
                    <w:snapToGrid w:val="0"/>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空间布局约束</w:t>
                  </w:r>
                </w:p>
              </w:tc>
              <w:tc>
                <w:tcPr>
                  <w:tcW w:w="2473" w:type="pct"/>
                  <w:noWrap w:val="0"/>
                  <w:vAlign w:val="center"/>
                </w:tcPr>
                <w:p w14:paraId="23B478C1">
                  <w:pPr>
                    <w:keepNext w:val="0"/>
                    <w:keepLines w:val="0"/>
                    <w:widowControl/>
                    <w:suppressLineNumbers w:val="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kern w:val="0"/>
                      <w:sz w:val="21"/>
                      <w:szCs w:val="21"/>
                      <w:highlight w:val="none"/>
                      <w:lang w:val="en-US" w:eastAsia="zh-CN" w:bidi="ar"/>
                    </w:rPr>
                    <w:t>1．加强水生生物重要生境以及自然岸线、红树林、海草床、湿地等保护。新建港口码头应避让且尽量远离生态保护红线、法定保护区、鱼类“三场一通道”等环境保护目标，降低规划实施对敏感目标的影响；现有港口码头应根据其与敏感目标的位置关系，提出强化环境保护措施的要求，避免加剧不利环境影响。</w:t>
                  </w:r>
                </w:p>
              </w:tc>
              <w:tc>
                <w:tcPr>
                  <w:tcW w:w="840" w:type="pct"/>
                  <w:noWrap w:val="0"/>
                  <w:vAlign w:val="center"/>
                </w:tcPr>
                <w:p w14:paraId="55B0C485">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6F092BE7">
                  <w:pPr>
                    <w:adjustRightInd w:val="0"/>
                    <w:snapToGrid w:val="0"/>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相符</w:t>
                  </w:r>
                </w:p>
              </w:tc>
            </w:tr>
            <w:tr w14:paraId="2A8A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29457BB0">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469EDC1F">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7F555A6D">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7603680F">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6A0AB2D1">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2．干散货码头需与居民集中区保持一定距离，确保不对居民造成大气环境不利影响；危险品码头需远离各类生态环境敏感目标。</w:t>
                  </w:r>
                </w:p>
              </w:tc>
              <w:tc>
                <w:tcPr>
                  <w:tcW w:w="840" w:type="pct"/>
                  <w:noWrap w:val="0"/>
                  <w:vAlign w:val="center"/>
                </w:tcPr>
                <w:p w14:paraId="6BE6CF3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7FE7CDC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720C3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52367964">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63103FBA">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5638E32A">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54972AB4">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1FFDD0F6">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3．不得突破港口总体规划划定的岸线范围。</w:t>
                  </w:r>
                </w:p>
              </w:tc>
              <w:tc>
                <w:tcPr>
                  <w:tcW w:w="840" w:type="pct"/>
                  <w:noWrap w:val="0"/>
                  <w:vAlign w:val="center"/>
                </w:tcPr>
                <w:p w14:paraId="5077688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50B043B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2DD31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32025AD8">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2E499692">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77AA84B1">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4B494179">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704E356A">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4．建立渔业资源损失补偿机制，开展增殖放流、人工鱼礁等生态修复工作。</w:t>
                  </w:r>
                </w:p>
              </w:tc>
              <w:tc>
                <w:tcPr>
                  <w:tcW w:w="840" w:type="pct"/>
                  <w:noWrap w:val="0"/>
                  <w:vAlign w:val="center"/>
                </w:tcPr>
                <w:p w14:paraId="24493DF1">
                  <w:pPr>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项目施工结束后对区域进行生态补偿工作，制定生态修复方案。</w:t>
                  </w:r>
                </w:p>
              </w:tc>
              <w:tc>
                <w:tcPr>
                  <w:tcW w:w="170" w:type="pct"/>
                  <w:noWrap w:val="0"/>
                  <w:vAlign w:val="center"/>
                </w:tcPr>
                <w:p w14:paraId="14D6E44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r w14:paraId="1B7C9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5CAE3584">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1FDD3265">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101661D4">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6239DA18">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5E68DB9B">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5．合理控制港口开发规模与强度，不得占用依法应当禁止开发的区域，优先避让其他生态环境敏感区域。推动港口码头岸电设施和船舶受电设施建设和改造。</w:t>
                  </w:r>
                </w:p>
              </w:tc>
              <w:tc>
                <w:tcPr>
                  <w:tcW w:w="840" w:type="pct"/>
                  <w:noWrap w:val="0"/>
                  <w:vAlign w:val="center"/>
                </w:tcPr>
                <w:p w14:paraId="2BA7966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6970A5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4D7A6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4618B1BF">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103A9733">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1E393450">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71E660F1">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3CB6F31D">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6．严格控制建设不符合《北部湾港总体规划（2035年）》《钦州港总体规划（2035年）》的港口码头项目。</w:t>
                  </w:r>
                </w:p>
              </w:tc>
              <w:tc>
                <w:tcPr>
                  <w:tcW w:w="840" w:type="pct"/>
                  <w:noWrap w:val="0"/>
                  <w:vAlign w:val="center"/>
                </w:tcPr>
                <w:p w14:paraId="0A8EE05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03C3F4D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4DF4D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4A29941E">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4A519B23">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277FED92">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restart"/>
                  <w:noWrap w:val="0"/>
                  <w:vAlign w:val="center"/>
                </w:tcPr>
                <w:p w14:paraId="2BC7E51E">
                  <w:pPr>
                    <w:adjustRightInd w:val="0"/>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污染物排放管控</w:t>
                  </w:r>
                </w:p>
              </w:tc>
              <w:tc>
                <w:tcPr>
                  <w:tcW w:w="2473" w:type="pct"/>
                  <w:noWrap w:val="0"/>
                  <w:vAlign w:val="center"/>
                </w:tcPr>
                <w:p w14:paraId="59C01C1B">
                  <w:pPr>
                    <w:adjustRightInd w:val="0"/>
                    <w:snapToGri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1．船舶排放含油污水、生活污水等，应当符合船舶污染物排放标准。禁止向水体倾倒船舶垃圾。禁止排放不符合规定的船舶压载水。</w:t>
                  </w:r>
                </w:p>
              </w:tc>
              <w:tc>
                <w:tcPr>
                  <w:tcW w:w="840" w:type="pct"/>
                  <w:noWrap w:val="0"/>
                  <w:vAlign w:val="center"/>
                </w:tcPr>
                <w:p w14:paraId="113A8F2E">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项目施工船舶生活污水、船舶含油污水、船舶生活垃圾收集后由有资质单位收集处置</w:t>
                  </w:r>
                </w:p>
              </w:tc>
              <w:tc>
                <w:tcPr>
                  <w:tcW w:w="170" w:type="pct"/>
                  <w:noWrap w:val="0"/>
                  <w:vAlign w:val="center"/>
                </w:tcPr>
                <w:p w14:paraId="167A0E65">
                  <w:pPr>
                    <w:adjustRightInd w:val="0"/>
                    <w:snapToGrid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相符</w:t>
                  </w:r>
                </w:p>
              </w:tc>
            </w:tr>
            <w:tr w14:paraId="41FE6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6F4A6425">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3B9F4A52">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101E9E9B">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6FC7D5C3">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6AF8196C">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统筹规划建设船舶污染物、废弃物的接收、转运及处理处置设施。从事船舶污染物、废弃物接收作业，或者从事装载油类、污染危害性货物船舱清洗作业的单位，应当具备与其运营规模相适应的接收处理能力。</w:t>
                  </w:r>
                </w:p>
              </w:tc>
              <w:tc>
                <w:tcPr>
                  <w:tcW w:w="840" w:type="pct"/>
                  <w:noWrap w:val="0"/>
                  <w:vAlign w:val="center"/>
                </w:tcPr>
                <w:p w14:paraId="2586A00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2122784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相符</w:t>
                  </w:r>
                </w:p>
              </w:tc>
            </w:tr>
            <w:tr w14:paraId="4FFB2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4898462F">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29F89C81">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4B02CE97">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38AEB1D8">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6E5DB4EA">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3．实行雨污分流和污水分质处理，完善港区污水集中处理设施和配套管网建设，实现污水集中处理、回用或达标排放。</w:t>
                  </w:r>
                </w:p>
              </w:tc>
              <w:tc>
                <w:tcPr>
                  <w:tcW w:w="840" w:type="pct"/>
                  <w:noWrap w:val="0"/>
                  <w:vAlign w:val="center"/>
                </w:tcPr>
                <w:p w14:paraId="21E5B5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7665497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5EC84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3B327FCE">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10DD2CC7">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46F1921D">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5D077907">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019454F7">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4．干散货作业区应实现封闭/半封闭堆存或建设有效防风抑尘设施。严格控制船舶大气污染物排放，加强码头挥发性有机化合物控制，采取油气回收措施等有效措施控制港区油气无组织排放。</w:t>
                  </w:r>
                </w:p>
              </w:tc>
              <w:tc>
                <w:tcPr>
                  <w:tcW w:w="840" w:type="pct"/>
                  <w:noWrap w:val="0"/>
                  <w:vAlign w:val="center"/>
                </w:tcPr>
                <w:p w14:paraId="105DD0A1">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44490CD7">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78343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54A314FC">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7A760FD8">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17CD2A11">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503E02D4">
                  <w:pPr>
                    <w:adjustRightInd w:val="0"/>
                    <w:snapToGrid w:val="0"/>
                    <w:jc w:val="both"/>
                    <w:rPr>
                      <w:rFonts w:hint="default" w:ascii="Times New Roman" w:hAnsi="Times New Roman" w:eastAsia="宋体" w:cs="Times New Roman"/>
                      <w:color w:val="auto"/>
                      <w:sz w:val="21"/>
                      <w:szCs w:val="21"/>
                      <w:highlight w:val="none"/>
                      <w:lang w:eastAsia="zh-CN"/>
                    </w:rPr>
                  </w:pPr>
                </w:p>
              </w:tc>
              <w:tc>
                <w:tcPr>
                  <w:tcW w:w="2473" w:type="pct"/>
                  <w:noWrap w:val="0"/>
                  <w:vAlign w:val="center"/>
                </w:tcPr>
                <w:p w14:paraId="6D4EB7B7">
                  <w:pPr>
                    <w:keepNext w:val="0"/>
                    <w:keepLines w:val="0"/>
                    <w:widowControl/>
                    <w:numPr>
                      <w:ilvl w:val="0"/>
                      <w:numId w:val="5"/>
                    </w:numPr>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钦州湾超标海域整治：</w:t>
                  </w:r>
                </w:p>
                <w:p w14:paraId="32B5D603">
                  <w:pPr>
                    <w:keepNext w:val="0"/>
                    <w:keepLines w:val="0"/>
                    <w:widowControl/>
                    <w:numPr>
                      <w:ilvl w:val="0"/>
                      <w:numId w:val="6"/>
                    </w:numPr>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推进钦州市东排水口、犀牛脚镇排污口、胜科污水处理厂纳污区域、大榄坪污水处理厂纳污区域、三墩循环经济示范岛水污染整治。</w:t>
                  </w:r>
                </w:p>
                <w:p w14:paraId="09EA27E1">
                  <w:pPr>
                    <w:keepNext w:val="0"/>
                    <w:keepLines w:val="0"/>
                    <w:widowControl/>
                    <w:numPr>
                      <w:ilvl w:val="0"/>
                      <w:numId w:val="6"/>
                    </w:numPr>
                    <w:suppressLineNumbers w:val="0"/>
                    <w:ind w:left="0" w:lef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污水处理厂尾水严格执行污染物排放标准，实施污染物排放总量控制。</w:t>
                  </w:r>
                </w:p>
                <w:p w14:paraId="39ABAEA2">
                  <w:pPr>
                    <w:keepNext w:val="0"/>
                    <w:keepLines w:val="0"/>
                    <w:widowControl/>
                    <w:numPr>
                      <w:ilvl w:val="0"/>
                      <w:numId w:val="6"/>
                    </w:numPr>
                    <w:suppressLineNumbers w:val="0"/>
                    <w:ind w:left="0" w:leftChars="0" w:firstLine="0" w:firstLineChars="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推进雨污分流制改造。</w:t>
                  </w:r>
                </w:p>
                <w:p w14:paraId="5097632F">
                  <w:pPr>
                    <w:keepNext w:val="0"/>
                    <w:keepLines w:val="0"/>
                    <w:widowControl/>
                    <w:numPr>
                      <w:ilvl w:val="0"/>
                      <w:numId w:val="0"/>
                    </w:numPr>
                    <w:suppressLineNumbers w:val="0"/>
                    <w:ind w:left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（4）加强工业集聚区污染治理和污染物排放控制，提高企业工业用水重复率。</w:t>
                  </w:r>
                </w:p>
              </w:tc>
              <w:tc>
                <w:tcPr>
                  <w:tcW w:w="840" w:type="pct"/>
                  <w:noWrap w:val="0"/>
                  <w:vAlign w:val="center"/>
                </w:tcPr>
                <w:p w14:paraId="5C8D1AD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0037BD6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40645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6A6374C7">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470AC5C9">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023DEEA7">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restart"/>
                  <w:noWrap w:val="0"/>
                  <w:vAlign w:val="center"/>
                </w:tcPr>
                <w:p w14:paraId="1D550521">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环境风险防控</w:t>
                  </w:r>
                </w:p>
              </w:tc>
              <w:tc>
                <w:tcPr>
                  <w:tcW w:w="2473" w:type="pct"/>
                  <w:noWrap w:val="0"/>
                  <w:vAlign w:val="center"/>
                </w:tcPr>
                <w:p w14:paraId="47EB3227">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1．严控港区油品和化学品运输、存储的环境风险，加大船舶航行安全保障和港区风险防范力度。船舶装载运输油类或者有毒货物，应当采取防止溢流和渗漏的措施，防止货物落水造成水污染。</w:t>
                  </w:r>
                </w:p>
              </w:tc>
              <w:tc>
                <w:tcPr>
                  <w:tcW w:w="840" w:type="pct"/>
                  <w:noWrap w:val="0"/>
                  <w:vAlign w:val="center"/>
                </w:tcPr>
                <w:p w14:paraId="0084FB0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23ADCA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0C324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14B2FA74">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051B1A32">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330603C9">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5A1C36E8">
                  <w:pPr>
                    <w:keepNext w:val="0"/>
                    <w:keepLines w:val="0"/>
                    <w:widowControl/>
                    <w:suppressLineNumbers w:val="0"/>
                    <w:jc w:val="left"/>
                    <w:rPr>
                      <w:rFonts w:hint="default" w:ascii="Times New Roman" w:hAnsi="Times New Roman" w:eastAsia="宋体" w:cs="Times New Roman"/>
                      <w:color w:val="auto"/>
                      <w:sz w:val="21"/>
                      <w:szCs w:val="21"/>
                      <w:highlight w:val="none"/>
                    </w:rPr>
                  </w:pPr>
                </w:p>
              </w:tc>
              <w:tc>
                <w:tcPr>
                  <w:tcW w:w="2473" w:type="pct"/>
                  <w:noWrap w:val="0"/>
                  <w:vAlign w:val="center"/>
                </w:tcPr>
                <w:p w14:paraId="3E4495ED">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开展环境风险评估，编制重大突发环境事件应急预案并备案，完善陆域环境风险源和海上溢油及危险化学品泄漏对近岸海域影响的应急方案，落实港区环境风险应急能力建设，并定期开展应急演练。完善区域应急联动机制。探索建立健全沿海环境污染责任保险制度。</w:t>
                  </w:r>
                </w:p>
              </w:tc>
              <w:tc>
                <w:tcPr>
                  <w:tcW w:w="840" w:type="pct"/>
                  <w:noWrap w:val="0"/>
                  <w:vAlign w:val="center"/>
                </w:tcPr>
                <w:p w14:paraId="3B0A1E3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3A03E85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r w14:paraId="2CBBC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57419903">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678DF4F2">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67FF3FA2">
                  <w:pPr>
                    <w:adjustRightInd w:val="0"/>
                    <w:snapToGrid w:val="0"/>
                    <w:jc w:val="center"/>
                    <w:rPr>
                      <w:rFonts w:hint="default" w:ascii="Times New Roman" w:hAnsi="Times New Roman" w:eastAsia="宋体" w:cs="Times New Roman"/>
                      <w:color w:val="auto"/>
                      <w:sz w:val="21"/>
                      <w:szCs w:val="21"/>
                      <w:highlight w:val="none"/>
                    </w:rPr>
                  </w:pPr>
                </w:p>
              </w:tc>
              <w:tc>
                <w:tcPr>
                  <w:tcW w:w="309" w:type="pct"/>
                  <w:vMerge w:val="continue"/>
                  <w:noWrap w:val="0"/>
                  <w:vAlign w:val="center"/>
                </w:tcPr>
                <w:p w14:paraId="2C1B5BE1">
                  <w:pPr>
                    <w:adjustRightInd w:val="0"/>
                    <w:snapToGrid w:val="0"/>
                    <w:jc w:val="center"/>
                    <w:rPr>
                      <w:rFonts w:hint="default" w:ascii="Times New Roman" w:hAnsi="Times New Roman" w:eastAsia="宋体" w:cs="Times New Roman"/>
                      <w:color w:val="auto"/>
                      <w:sz w:val="21"/>
                      <w:szCs w:val="21"/>
                      <w:highlight w:val="none"/>
                    </w:rPr>
                  </w:pPr>
                </w:p>
              </w:tc>
              <w:tc>
                <w:tcPr>
                  <w:tcW w:w="2473" w:type="pct"/>
                  <w:noWrap w:val="0"/>
                  <w:vAlign w:val="center"/>
                </w:tcPr>
                <w:p w14:paraId="00D406E5">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进一步完善港区环境风险应急体系建设，加快建立溢油应急设备库，增配应急设施配备，加强现有油品码头风险应急能力建设，在涠洲岛配备完善的应急设备和应急预案，根据相关规定，配备一定数量的风险应急设施。</w:t>
                  </w:r>
                </w:p>
              </w:tc>
              <w:tc>
                <w:tcPr>
                  <w:tcW w:w="840" w:type="pct"/>
                  <w:noWrap w:val="0"/>
                  <w:vAlign w:val="center"/>
                </w:tcPr>
                <w:p w14:paraId="152488B8">
                  <w:pPr>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本项目为港池维护性疏浚工程，项目施工配备应急物资，并进行应急演练，项目环境风险可控。</w:t>
                  </w:r>
                </w:p>
              </w:tc>
              <w:tc>
                <w:tcPr>
                  <w:tcW w:w="170" w:type="pct"/>
                  <w:noWrap w:val="0"/>
                  <w:vAlign w:val="center"/>
                </w:tcPr>
                <w:p w14:paraId="1B99E13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r w14:paraId="66107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jc w:val="center"/>
              </w:trPr>
              <w:tc>
                <w:tcPr>
                  <w:tcW w:w="562" w:type="pct"/>
                  <w:vMerge w:val="continue"/>
                  <w:noWrap w:val="0"/>
                  <w:vAlign w:val="center"/>
                </w:tcPr>
                <w:p w14:paraId="62CEDAE2">
                  <w:pPr>
                    <w:adjustRightInd w:val="0"/>
                    <w:snapToGrid w:val="0"/>
                    <w:jc w:val="center"/>
                    <w:rPr>
                      <w:rFonts w:hint="default" w:ascii="Times New Roman" w:hAnsi="Times New Roman" w:eastAsia="宋体" w:cs="Times New Roman"/>
                      <w:color w:val="auto"/>
                      <w:sz w:val="21"/>
                      <w:szCs w:val="21"/>
                      <w:highlight w:val="none"/>
                    </w:rPr>
                  </w:pPr>
                </w:p>
              </w:tc>
              <w:tc>
                <w:tcPr>
                  <w:tcW w:w="382" w:type="pct"/>
                  <w:vMerge w:val="continue"/>
                  <w:noWrap w:val="0"/>
                  <w:vAlign w:val="center"/>
                </w:tcPr>
                <w:p w14:paraId="2CA24EDE">
                  <w:pPr>
                    <w:adjustRightInd w:val="0"/>
                    <w:snapToGrid w:val="0"/>
                    <w:jc w:val="center"/>
                    <w:rPr>
                      <w:rFonts w:hint="default" w:ascii="Times New Roman" w:hAnsi="Times New Roman" w:eastAsia="宋体" w:cs="Times New Roman"/>
                      <w:color w:val="auto"/>
                      <w:sz w:val="21"/>
                      <w:szCs w:val="21"/>
                      <w:highlight w:val="none"/>
                    </w:rPr>
                  </w:pPr>
                </w:p>
              </w:tc>
              <w:tc>
                <w:tcPr>
                  <w:tcW w:w="261" w:type="pct"/>
                  <w:vMerge w:val="continue"/>
                  <w:noWrap w:val="0"/>
                  <w:vAlign w:val="center"/>
                </w:tcPr>
                <w:p w14:paraId="1767D961">
                  <w:pPr>
                    <w:adjustRightInd w:val="0"/>
                    <w:snapToGrid w:val="0"/>
                    <w:jc w:val="center"/>
                    <w:rPr>
                      <w:rFonts w:hint="default" w:ascii="Times New Roman" w:hAnsi="Times New Roman" w:eastAsia="宋体" w:cs="Times New Roman"/>
                      <w:color w:val="auto"/>
                      <w:sz w:val="21"/>
                      <w:szCs w:val="21"/>
                      <w:highlight w:val="none"/>
                    </w:rPr>
                  </w:pPr>
                </w:p>
              </w:tc>
              <w:tc>
                <w:tcPr>
                  <w:tcW w:w="309" w:type="pct"/>
                  <w:noWrap w:val="0"/>
                  <w:vAlign w:val="center"/>
                </w:tcPr>
                <w:p w14:paraId="1E87511E">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资源开发利用效率要求</w:t>
                  </w:r>
                </w:p>
              </w:tc>
              <w:tc>
                <w:tcPr>
                  <w:tcW w:w="2473" w:type="pct"/>
                  <w:noWrap w:val="0"/>
                  <w:vAlign w:val="center"/>
                </w:tcPr>
                <w:p w14:paraId="66490872">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港区污染物排放以及用水、能耗、物耗、岸线与土地利用等资源环境指标达到行业先进水平。</w:t>
                  </w:r>
                </w:p>
              </w:tc>
              <w:tc>
                <w:tcPr>
                  <w:tcW w:w="840" w:type="pct"/>
                  <w:noWrap w:val="0"/>
                  <w:vAlign w:val="center"/>
                </w:tcPr>
                <w:p w14:paraId="4F457F5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本项目不涉及。</w:t>
                  </w:r>
                </w:p>
              </w:tc>
              <w:tc>
                <w:tcPr>
                  <w:tcW w:w="170" w:type="pct"/>
                  <w:noWrap w:val="0"/>
                  <w:vAlign w:val="center"/>
                </w:tcPr>
                <w:p w14:paraId="281719A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相符</w:t>
                  </w:r>
                </w:p>
              </w:tc>
            </w:tr>
          </w:tbl>
          <w:p w14:paraId="7D1732D8">
            <w:pPr>
              <w:autoSpaceDE w:val="0"/>
              <w:autoSpaceDN w:val="0"/>
              <w:adjustRightInd w:val="0"/>
              <w:snapToGrid w:val="0"/>
              <w:jc w:val="center"/>
              <w:rPr>
                <w:b/>
                <w:bCs/>
                <w:color w:val="auto"/>
                <w:kern w:val="0"/>
                <w:szCs w:val="21"/>
                <w:highlight w:val="none"/>
              </w:rPr>
            </w:pPr>
          </w:p>
        </w:tc>
      </w:tr>
    </w:tbl>
    <w:p w14:paraId="22B4B2BA">
      <w:pPr>
        <w:rPr>
          <w:color w:val="auto"/>
          <w:highlight w:val="none"/>
        </w:rPr>
        <w:sectPr>
          <w:headerReference r:id="rId7" w:type="default"/>
          <w:pgSz w:w="16838" w:h="11906" w:orient="landscape"/>
          <w:pgMar w:top="1531" w:right="1701" w:bottom="1531" w:left="1701" w:header="851" w:footer="1077" w:gutter="0"/>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22E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5B12ED87">
            <w:pPr>
              <w:numPr>
                <w:ilvl w:val="0"/>
                <w:numId w:val="0"/>
              </w:numPr>
              <w:tabs>
                <w:tab w:val="left" w:pos="0"/>
              </w:tabs>
              <w:autoSpaceDE w:val="0"/>
              <w:autoSpaceDN w:val="0"/>
              <w:adjustRightInd w:val="0"/>
              <w:snapToGrid w:val="0"/>
              <w:spacing w:line="360" w:lineRule="auto"/>
              <w:ind w:leftChars="0"/>
              <w:rPr>
                <w:rFonts w:hint="eastAsia" w:ascii="宋体" w:hAnsi="宋体" w:eastAsia="宋体" w:cs="宋体"/>
                <w:b/>
                <w:color w:val="auto"/>
                <w:kern w:val="0"/>
                <w:sz w:val="28"/>
                <w:szCs w:val="28"/>
                <w:highlight w:val="none"/>
                <w:lang w:val="en-US" w:eastAsia="zh-CN"/>
              </w:rPr>
            </w:pPr>
            <w:bookmarkStart w:id="25" w:name="_Toc32630"/>
            <w:bookmarkStart w:id="26" w:name="_Toc4414"/>
            <w:bookmarkStart w:id="27" w:name="_Toc3568"/>
            <w:r>
              <w:rPr>
                <w:rFonts w:hint="eastAsia" w:ascii="宋体" w:hAnsi="宋体" w:eastAsia="宋体" w:cs="宋体"/>
                <w:b/>
                <w:color w:val="auto"/>
                <w:kern w:val="0"/>
                <w:sz w:val="28"/>
                <w:szCs w:val="28"/>
                <w:highlight w:val="none"/>
                <w:lang w:val="en-US" w:eastAsia="zh-CN"/>
              </w:rPr>
              <w:t>1.2.3与相关功能区的符合性</w:t>
            </w:r>
          </w:p>
          <w:p w14:paraId="6D20B532">
            <w:pPr>
              <w:spacing w:line="360" w:lineRule="auto"/>
              <w:ind w:firstLine="480" w:firstLineChars="200"/>
              <w:rPr>
                <w:rFonts w:ascii="宋体" w:hAnsi="宋体" w:eastAsia="宋体" w:cs="宋体"/>
                <w:color w:val="auto"/>
                <w:sz w:val="24"/>
                <w:szCs w:val="24"/>
                <w:highlight w:val="none"/>
              </w:rPr>
            </w:pPr>
            <w:r>
              <w:rPr>
                <w:rFonts w:hint="eastAsia" w:ascii="Times New Roman" w:hAnsi="Times New Roman" w:eastAsia="宋体" w:cs="Times New Roman"/>
                <w:color w:val="auto"/>
                <w:sz w:val="24"/>
                <w:highlight w:val="none"/>
                <w:lang w:val="en-US" w:eastAsia="zh-CN"/>
              </w:rPr>
              <w:t>根据《广西壮族自治区海洋功能区划（2011-2020年）》</w:t>
            </w:r>
            <w:r>
              <w:rPr>
                <w:rFonts w:hint="eastAsia" w:ascii="Times New Roman" w:hAnsi="Times New Roman" w:eastAsia="宋体" w:cs="Times New Roman"/>
                <w:color w:val="auto"/>
                <w:sz w:val="24"/>
                <w:highlight w:val="none"/>
              </w:rPr>
              <w:t>（国函〔2012〕</w:t>
            </w:r>
            <w:r>
              <w:rPr>
                <w:rFonts w:hint="default" w:ascii="Times New Roman" w:hAnsi="Times New Roman" w:eastAsia="宋体" w:cs="Times New Roman"/>
                <w:color w:val="auto"/>
                <w:sz w:val="24"/>
                <w:highlight w:val="none"/>
              </w:rPr>
              <w:t>166</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项目所在位置为“A2-9鹰岭-果子山-金鼓江港口航运区”，港口航运</w:t>
            </w:r>
            <w:r>
              <w:rPr>
                <w:rFonts w:ascii="宋体" w:hAnsi="宋体" w:eastAsia="宋体" w:cs="宋体"/>
                <w:color w:val="auto"/>
                <w:sz w:val="24"/>
                <w:szCs w:val="24"/>
                <w:highlight w:val="none"/>
              </w:rPr>
              <w:t>区内的海域主要用于港口建设、运行和船舶航行及其它直接为海上交通运输服务的活动。</w:t>
            </w:r>
          </w:p>
          <w:p w14:paraId="353924E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《广西壮族自治区近岸海域环境功能区划调整方案》（桂环发〔2023〕9号）</w:t>
            </w:r>
            <w:r>
              <w:rPr>
                <w:rFonts w:hint="eastAsia" w:ascii="Times New Roman" w:hAnsi="Times New Roman" w:eastAsia="宋体" w:cs="Times New Roman"/>
                <w:color w:val="auto"/>
                <w:sz w:val="24"/>
                <w:highlight w:val="none"/>
                <w:lang w:val="en-US" w:eastAsia="zh-CN"/>
              </w:rPr>
              <w:t>，本项目位于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主导功能为港口、工业用海，</w:t>
            </w:r>
            <w:r>
              <w:rPr>
                <w:rFonts w:hint="eastAsia" w:ascii="宋体" w:hAnsi="宋体" w:eastAsia="宋体" w:cs="宋体"/>
                <w:color w:val="auto"/>
                <w:sz w:val="24"/>
                <w:szCs w:val="24"/>
                <w:highlight w:val="none"/>
                <w:lang w:val="en-US" w:eastAsia="zh-CN"/>
              </w:rPr>
              <w:t>属于四类环境功能区。</w:t>
            </w:r>
          </w:p>
          <w:p w14:paraId="6599079E">
            <w:pPr>
              <w:spacing w:line="360" w:lineRule="auto"/>
              <w:ind w:firstLine="480" w:firstLineChars="200"/>
              <w:rPr>
                <w:rFonts w:hint="eastAsia"/>
                <w:color w:val="auto"/>
                <w:highlight w:val="none"/>
              </w:rPr>
            </w:pPr>
            <w:r>
              <w:rPr>
                <w:rFonts w:hint="eastAsia" w:ascii="Times New Roman" w:hAnsi="Times New Roman" w:eastAsia="宋体" w:cs="Times New Roman"/>
                <w:color w:val="auto"/>
                <w:sz w:val="24"/>
                <w:highlight w:val="none"/>
                <w:lang w:val="en-US" w:eastAsia="zh-CN"/>
              </w:rPr>
              <w:t>本项目对码头泊位回旋水域与航道重叠部分进行清淤疏浚工程，用海类型为交通运输用海，用海性质与“A2-9鹰岭-果子山-金鼓江港口航运区”的功能类型及用海方式控制相符，与“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”环境功能区划相符，本次疏浚工作完成后，维护性疏浚产生的环境不属于本次环境影响评价的责任范围，营运期不产生污染物。</w:t>
            </w:r>
          </w:p>
          <w:p w14:paraId="432BD5F8">
            <w:pPr>
              <w:numPr>
                <w:ilvl w:val="0"/>
                <w:numId w:val="0"/>
              </w:numPr>
              <w:tabs>
                <w:tab w:val="left" w:pos="0"/>
              </w:tabs>
              <w:autoSpaceDE w:val="0"/>
              <w:autoSpaceDN w:val="0"/>
              <w:adjustRightInd w:val="0"/>
              <w:snapToGrid w:val="0"/>
              <w:spacing w:line="360" w:lineRule="auto"/>
              <w:ind w:leftChars="0"/>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1.2.4与《钦州市国土空间规划（2021-2035年）》相符性分析</w:t>
            </w:r>
          </w:p>
          <w:p w14:paraId="099087B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钦州市国土空间总体规划（2021-2035年）》已于2024年1月24日取得广西壮族自治区人民政府的批复（桂政函〔2024〕17号），本项目位于金鼓江交通运输用海区。其发展指引与管控要求为：海岸交通运输用海区主要用于近岸港口陆域、码头、港池等航运设施建设，重点保障平陆运河、金鼓江、大榄坪等发展需要；近海交通运输用海区主要用于港外航道、锚地等航运用海。在已经开发利用的港区、锚地、航道以及规定的航路及其保护范围内，禁止开展与航运无关、有碍航行安全的活动；原则上禁止其他海岸工程或海洋工程占用深水岸线资源；在未开发利用的港区内，对无碍交通运输功能发挥的海洋开发活动尤其是渔业开发活动可暂时予以保留；在不影响交通运输用海及安全的前提下，可兼容临海工业用海。</w:t>
            </w:r>
          </w:p>
          <w:p w14:paraId="52078C88">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本项目位于</w:t>
            </w:r>
            <w:r>
              <w:rPr>
                <w:rFonts w:hint="eastAsia"/>
                <w:color w:val="auto"/>
                <w:sz w:val="24"/>
                <w:highlight w:val="none"/>
              </w:rPr>
              <w:t>钦州港金谷港区金鼓江作业区16#17#泊位码头</w:t>
            </w:r>
            <w:r>
              <w:rPr>
                <w:rFonts w:hint="eastAsia"/>
                <w:color w:val="auto"/>
                <w:sz w:val="24"/>
                <w:highlight w:val="none"/>
                <w:lang w:val="en-US" w:eastAsia="zh-CN"/>
              </w:rPr>
              <w:t>回旋水域与金鼓江航道重叠处</w:t>
            </w:r>
            <w:r>
              <w:rPr>
                <w:rFonts w:hint="eastAsia"/>
                <w:color w:val="auto"/>
                <w:sz w:val="24"/>
                <w:highlight w:val="none"/>
                <w:lang w:eastAsia="zh-CN"/>
              </w:rPr>
              <w:t>，</w:t>
            </w:r>
            <w:r>
              <w:rPr>
                <w:rFonts w:hint="eastAsia"/>
                <w:color w:val="auto"/>
                <w:sz w:val="24"/>
                <w:highlight w:val="none"/>
                <w:lang w:val="en-US" w:eastAsia="zh-CN"/>
              </w:rPr>
              <w:t>维护性</w:t>
            </w:r>
            <w:r>
              <w:rPr>
                <w:rFonts w:hint="eastAsia" w:ascii="Times New Roman" w:hAnsi="Times New Roman" w:eastAsia="宋体" w:cs="Times New Roman"/>
                <w:color w:val="auto"/>
                <w:sz w:val="24"/>
                <w:highlight w:val="none"/>
                <w:lang w:val="en-US" w:eastAsia="zh-CN"/>
              </w:rPr>
              <w:t>疏浚范围涉及金鼓江航道，根据2025年11月10日自治区港航发展中心会同自治区交通运输综合行政执法局组织召开加强港口基础设施维护主体责任落实约谈会形成的《加强港口基础设施维护主体责任落实约谈会议纪要》（港航纪要〔2025〕30号）要求孚宝(钦州)码头有限公司等企业“应严格按照《港口基础设施维护管理规定》《港口基础设施维护技术规范(JTS310-2025)》等法律法规的要求，落实企业主体责任，负责各自码头回旋水域的疏浚。”本项目施工范围为</w:t>
            </w:r>
            <w:r>
              <w:rPr>
                <w:rFonts w:hint="eastAsia" w:ascii="Times New Roman" w:hAnsi="Times New Roman" w:eastAsia="宋体" w:cs="Times New Roman"/>
                <w:color w:val="auto"/>
                <w:sz w:val="24"/>
                <w:highlight w:val="none"/>
              </w:rPr>
              <w:t>钦州港金谷港区金鼓江作业区16#17#泊位码头</w:t>
            </w:r>
            <w:r>
              <w:rPr>
                <w:rFonts w:hint="eastAsia" w:ascii="Times New Roman" w:hAnsi="Times New Roman" w:eastAsia="宋体" w:cs="Times New Roman"/>
                <w:color w:val="auto"/>
                <w:sz w:val="24"/>
                <w:highlight w:val="none"/>
                <w:lang w:val="en-US" w:eastAsia="zh-CN"/>
              </w:rPr>
              <w:t>位于金鼓江航道内的回旋水域，项目不涉及锚地，不涉及深水岸线资源。项目施工时间较短，项目施工期根据相关要求做好警戒标识，做好通航安全保障工作，完工后改善区域水深条件提高进港船舶航行安全，有利于优化港口功能，提升港口供给能力，项目建设符合《钦州市国土空间规划（2021-2035年）》。</w:t>
            </w:r>
          </w:p>
        </w:tc>
      </w:tr>
    </w:tbl>
    <w:p w14:paraId="42C4DB2F">
      <w:pPr>
        <w:spacing w:line="360" w:lineRule="auto"/>
        <w:ind w:firstLine="420" w:firstLineChars="200"/>
        <w:rPr>
          <w:rFonts w:hint="eastAsia"/>
          <w:color w:val="auto"/>
          <w:highlight w:val="none"/>
        </w:rPr>
        <w:sectPr>
          <w:headerReference r:id="rId8" w:type="default"/>
          <w:pgSz w:w="11906" w:h="16838"/>
          <w:pgMar w:top="1701" w:right="1531" w:bottom="1701" w:left="1531" w:header="851" w:footer="851" w:gutter="0"/>
          <w:cols w:space="720" w:num="1"/>
          <w:docGrid w:linePitch="312" w:charSpace="0"/>
        </w:sectPr>
      </w:pPr>
      <w:bookmarkStart w:id="28" w:name="_Toc19013"/>
    </w:p>
    <w:p w14:paraId="30EC8B15">
      <w:pPr>
        <w:pStyle w:val="2"/>
        <w:snapToGrid/>
        <w:spacing w:before="0" w:after="0" w:line="360" w:lineRule="auto"/>
        <w:ind w:left="0" w:firstLine="0"/>
        <w:jc w:val="center"/>
        <w:rPr>
          <w:rFonts w:hint="eastAsia" w:ascii="黑体" w:hAnsi="黑体" w:cs="黑体"/>
          <w:color w:val="auto"/>
          <w:highlight w:val="none"/>
        </w:rPr>
      </w:pPr>
      <w:r>
        <w:rPr>
          <w:rFonts w:hint="eastAsia"/>
          <w:color w:val="auto"/>
          <w:highlight w:val="none"/>
        </w:rPr>
        <w:t>二、建设</w:t>
      </w:r>
      <w:bookmarkEnd w:id="25"/>
      <w:bookmarkEnd w:id="26"/>
      <w:bookmarkEnd w:id="27"/>
      <w:r>
        <w:rPr>
          <w:rFonts w:hint="eastAsia"/>
          <w:color w:val="auto"/>
          <w:highlight w:val="none"/>
        </w:rPr>
        <w:t>内容</w:t>
      </w:r>
      <w:bookmarkEnd w:id="28"/>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14:paraId="2AD60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455" w:type="dxa"/>
            <w:noWrap w:val="0"/>
            <w:vAlign w:val="center"/>
          </w:tcPr>
          <w:p w14:paraId="23C09468">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地理位置</w:t>
            </w:r>
          </w:p>
        </w:tc>
        <w:tc>
          <w:tcPr>
            <w:tcW w:w="8605" w:type="dxa"/>
            <w:noWrap w:val="0"/>
            <w:vAlign w:val="top"/>
          </w:tcPr>
          <w:p w14:paraId="4D37E5DB">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2.1项目地理位置</w:t>
            </w:r>
          </w:p>
          <w:p w14:paraId="7F594384">
            <w:pPr>
              <w:spacing w:line="360" w:lineRule="auto"/>
              <w:ind w:firstLine="480" w:firstLineChars="200"/>
              <w:rPr>
                <w:rFonts w:hint="eastAsia"/>
                <w:color w:val="auto"/>
                <w:sz w:val="24"/>
                <w:highlight w:val="none"/>
              </w:rPr>
            </w:pPr>
            <w:r>
              <w:rPr>
                <w:rFonts w:hint="eastAsia"/>
                <w:color w:val="auto"/>
                <w:sz w:val="24"/>
                <w:highlight w:val="none"/>
              </w:rPr>
              <w:t>本项目位于广西壮族自治区钦州市中国（广西）自由贸易试验区钦州港片区钦州港金谷港区金鼓江作业区16#17#泊位码头</w:t>
            </w:r>
            <w:r>
              <w:rPr>
                <w:rFonts w:hint="eastAsia"/>
                <w:color w:val="auto"/>
                <w:sz w:val="24"/>
                <w:highlight w:val="none"/>
                <w:lang w:val="en-US" w:eastAsia="zh-CN"/>
              </w:rPr>
              <w:t>回旋水域与金鼓江航道重叠处</w:t>
            </w:r>
            <w:r>
              <w:rPr>
                <w:rFonts w:hint="eastAsia"/>
                <w:color w:val="auto"/>
                <w:sz w:val="24"/>
                <w:highlight w:val="none"/>
              </w:rPr>
              <w:t>。地理位置为经度：108.637072°，纬度：21.708507°，项目地理位置示意图详见附图1。</w:t>
            </w:r>
          </w:p>
        </w:tc>
      </w:tr>
      <w:tr w14:paraId="1AF6F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455" w:type="dxa"/>
            <w:noWrap w:val="0"/>
            <w:vAlign w:val="center"/>
          </w:tcPr>
          <w:p w14:paraId="61DE2FFF">
            <w:pPr>
              <w:pStyle w:val="40"/>
              <w:adjustRightInd w:val="0"/>
              <w:snapToGrid w:val="0"/>
              <w:spacing w:before="0" w:beforeAutospacing="0" w:after="0" w:afterAutospacing="0"/>
              <w:jc w:val="center"/>
              <w:rPr>
                <w:rFonts w:ascii="黑体" w:hAnsi="黑体" w:eastAsia="黑体"/>
                <w:color w:val="auto"/>
                <w:sz w:val="21"/>
                <w:szCs w:val="21"/>
                <w:highlight w:val="none"/>
              </w:rPr>
            </w:pPr>
            <w:r>
              <w:rPr>
                <w:rFonts w:hint="eastAsia" w:cs="宋体"/>
                <w:color w:val="auto"/>
                <w:szCs w:val="21"/>
                <w:highlight w:val="none"/>
              </w:rPr>
              <w:t>项目组成及规模</w:t>
            </w:r>
          </w:p>
        </w:tc>
        <w:tc>
          <w:tcPr>
            <w:tcW w:w="8605" w:type="dxa"/>
            <w:noWrap w:val="0"/>
            <w:vAlign w:val="top"/>
          </w:tcPr>
          <w:p w14:paraId="758D928E">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2.2.1 项目由来</w:t>
            </w:r>
          </w:p>
          <w:p w14:paraId="4D62A83A">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钦州</w:t>
            </w:r>
            <w:r>
              <w:rPr>
                <w:rFonts w:hint="eastAsia" w:ascii="Times New Roman" w:hAnsi="Times New Roman" w:eastAsia="宋体" w:cs="Times New Roman"/>
                <w:color w:val="auto"/>
                <w:sz w:val="24"/>
                <w:highlight w:val="none"/>
                <w:lang w:val="en-US" w:eastAsia="zh-CN"/>
              </w:rPr>
              <w:t>港</w:t>
            </w:r>
            <w:r>
              <w:rPr>
                <w:rFonts w:hint="eastAsia" w:ascii="Times New Roman" w:hAnsi="Times New Roman" w:eastAsia="宋体" w:cs="Times New Roman"/>
                <w:color w:val="auto"/>
                <w:sz w:val="24"/>
                <w:highlight w:val="none"/>
              </w:rPr>
              <w:t>金谷港区金鼓江作业区</w:t>
            </w:r>
            <w:r>
              <w:rPr>
                <w:rFonts w:hint="eastAsia" w:ascii="Times New Roman" w:hAnsi="Times New Roman" w:eastAsia="宋体" w:cs="Times New Roman"/>
                <w:color w:val="auto"/>
                <w:sz w:val="24"/>
                <w:highlight w:val="none"/>
                <w:lang w:val="en-US" w:eastAsia="zh-CN"/>
              </w:rPr>
              <w:t>16</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17号泊位</w:t>
            </w:r>
            <w:r>
              <w:rPr>
                <w:rFonts w:hint="eastAsia" w:ascii="Times New Roman" w:hAnsi="Times New Roman" w:eastAsia="宋体" w:cs="Times New Roman"/>
                <w:color w:val="auto"/>
                <w:sz w:val="24"/>
                <w:highlight w:val="none"/>
                <w:lang w:val="en-US" w:eastAsia="zh-CN"/>
              </w:rPr>
              <w:t>工程位于钦州港金鼓江作业区，濒临金鼓江航道，码头东邻金鼓江，北向距离金鼓江大桥约3km，隔金鼓江对岸为规划中港区的大榄坪作业区。</w:t>
            </w:r>
            <w:r>
              <w:rPr>
                <w:rFonts w:hint="eastAsia" w:ascii="Times New Roman" w:hAnsi="Times New Roman" w:eastAsia="宋体" w:cs="Times New Roman"/>
                <w:color w:val="auto"/>
                <w:sz w:val="24"/>
                <w:highlight w:val="none"/>
              </w:rPr>
              <w:t>目前</w:t>
            </w:r>
            <w:r>
              <w:rPr>
                <w:rFonts w:hint="eastAsia" w:ascii="Times New Roman" w:hAnsi="Times New Roman" w:eastAsia="宋体" w:cs="Times New Roman"/>
                <w:color w:val="auto"/>
                <w:sz w:val="24"/>
                <w:highlight w:val="none"/>
                <w:lang w:val="en-US" w:eastAsia="zh-CN"/>
              </w:rPr>
              <w:t>16</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17号泊位工程已竣工验收合格并运营，</w:t>
            </w:r>
            <w:r>
              <w:rPr>
                <w:rFonts w:hint="default" w:ascii="Times New Roman" w:hAnsi="Times New Roman" w:eastAsia="宋体" w:cs="Times New Roman"/>
                <w:color w:val="auto"/>
                <w:sz w:val="24"/>
                <w:highlight w:val="none"/>
                <w:lang w:val="en-US" w:eastAsia="zh-CN"/>
              </w:rPr>
              <w:t>建设5万吨级液体化工泊位2个，</w:t>
            </w:r>
            <w:r>
              <w:rPr>
                <w:rFonts w:ascii="Times New Roman" w:hAnsi="Times New Roman" w:eastAsia="宋体" w:cs="Times New Roman"/>
                <w:color w:val="auto"/>
                <w:sz w:val="24"/>
                <w:highlight w:val="none"/>
              </w:rPr>
              <w:t>设计年通过能力5</w:t>
            </w:r>
            <w:r>
              <w:rPr>
                <w:rFonts w:hint="eastAsia" w:ascii="Times New Roman" w:hAnsi="Times New Roman" w:eastAsia="宋体" w:cs="Times New Roman"/>
                <w:color w:val="auto"/>
                <w:sz w:val="24"/>
                <w:highlight w:val="none"/>
                <w:lang w:val="en-US" w:eastAsia="zh-CN"/>
              </w:rPr>
              <w:t>2</w:t>
            </w:r>
            <w:r>
              <w:rPr>
                <w:rFonts w:ascii="Times New Roman" w:hAnsi="Times New Roman" w:eastAsia="宋体" w:cs="Times New Roman"/>
                <w:color w:val="auto"/>
                <w:sz w:val="24"/>
                <w:highlight w:val="none"/>
              </w:rPr>
              <w:t>2万吨/年</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码头总长491m，工作平台尺度为453m×25.0m，高程为6.3m。可满足2艘5万吨级化工品船舶停靠，船型组合兼顾3艘1万吨级液体化学品船停靠或3艘2千吨级液体化学品船和1艘5千吨级液体化学品船停靠。主要水工建筑物包括码头平台、引桥、综合用房平台和油气回收平台等。水工建筑物结构安全等级为II级。码头已有装卸货种为：</w:t>
            </w:r>
            <w:r>
              <w:rPr>
                <w:rFonts w:ascii="Times New Roman" w:hAnsi="Times New Roman" w:eastAsia="宋体" w:cs="Times New Roman"/>
                <w:color w:val="auto"/>
                <w:sz w:val="24"/>
                <w:highlight w:val="none"/>
              </w:rPr>
              <w:t>甲醇、醋酸、乙二醇、苯、丙酮、异丁醛、丙烯酸（酯化级丙烯酸）、丙烯酸丁酯、丁醇、50%液碱、1,2-二氯乙烷、31%盐酸、乙酸乙烯酯</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原</w:t>
            </w:r>
            <w:r>
              <w:rPr>
                <w:rFonts w:ascii="Times New Roman" w:hAnsi="Times New Roman" w:eastAsia="宋体" w:cs="Times New Roman"/>
                <w:color w:val="auto"/>
                <w:sz w:val="24"/>
                <w:highlight w:val="none"/>
              </w:rPr>
              <w:t>装卸货种40%硝酸、32%液碱</w:t>
            </w:r>
            <w:r>
              <w:rPr>
                <w:rFonts w:hint="eastAsia" w:ascii="Times New Roman" w:hAnsi="Times New Roman" w:eastAsia="宋体" w:cs="Times New Roman"/>
                <w:color w:val="auto"/>
                <w:sz w:val="24"/>
                <w:highlight w:val="none"/>
              </w:rPr>
              <w:t>不再装卸，附证中保留</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，满足华谊钦州一期项目和二期部分原料和产品的码头装卸。</w:t>
            </w:r>
            <w:r>
              <w:rPr>
                <w:rFonts w:ascii="Times New Roman" w:hAnsi="Times New Roman" w:eastAsia="宋体" w:cs="Times New Roman"/>
                <w:color w:val="auto"/>
                <w:sz w:val="24"/>
                <w:highlight w:val="none"/>
              </w:rPr>
              <w:t>劳动定员</w:t>
            </w:r>
            <w:r>
              <w:rPr>
                <w:rFonts w:hint="eastAsia" w:ascii="Times New Roman" w:hAnsi="Times New Roman" w:eastAsia="宋体" w:cs="Times New Roman"/>
                <w:color w:val="auto"/>
                <w:sz w:val="24"/>
                <w:highlight w:val="none"/>
                <w:lang w:val="en-US" w:eastAsia="zh-CN"/>
              </w:rPr>
              <w:t>27</w:t>
            </w:r>
            <w:r>
              <w:rPr>
                <w:rFonts w:ascii="Times New Roman" w:hAnsi="Times New Roman" w:eastAsia="宋体" w:cs="Times New Roman"/>
                <w:color w:val="auto"/>
                <w:sz w:val="24"/>
                <w:highlight w:val="none"/>
              </w:rPr>
              <w:t>人</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年运营天数330天。</w:t>
            </w:r>
          </w:p>
          <w:p w14:paraId="2DBB97D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钦州</w:t>
            </w:r>
            <w:r>
              <w:rPr>
                <w:rFonts w:hint="eastAsia" w:ascii="Times New Roman" w:hAnsi="Times New Roman" w:eastAsia="宋体" w:cs="Times New Roman"/>
                <w:color w:val="auto"/>
                <w:sz w:val="24"/>
                <w:highlight w:val="none"/>
                <w:lang w:val="en-US" w:eastAsia="zh-CN"/>
              </w:rPr>
              <w:t>港</w:t>
            </w:r>
            <w:r>
              <w:rPr>
                <w:rFonts w:hint="eastAsia" w:ascii="Times New Roman" w:hAnsi="Times New Roman" w:eastAsia="宋体" w:cs="Times New Roman"/>
                <w:color w:val="auto"/>
                <w:sz w:val="24"/>
                <w:highlight w:val="none"/>
              </w:rPr>
              <w:t>金谷港区金鼓江作业区</w:t>
            </w:r>
            <w:r>
              <w:rPr>
                <w:rFonts w:hint="eastAsia" w:ascii="Times New Roman" w:hAnsi="Times New Roman" w:eastAsia="宋体" w:cs="Times New Roman"/>
                <w:color w:val="auto"/>
                <w:sz w:val="24"/>
                <w:highlight w:val="none"/>
                <w:lang w:val="en-US" w:eastAsia="zh-CN"/>
              </w:rPr>
              <w:t>16</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17号泊位</w:t>
            </w:r>
            <w:r>
              <w:rPr>
                <w:rFonts w:hint="eastAsia" w:ascii="Times New Roman" w:hAnsi="Times New Roman" w:eastAsia="宋体" w:cs="Times New Roman"/>
                <w:color w:val="auto"/>
                <w:sz w:val="24"/>
                <w:highlight w:val="none"/>
                <w:lang w:val="en-US" w:eastAsia="zh-CN"/>
              </w:rPr>
              <w:t>工程已通过验收并运行多年，根据项目设计材料，码头停泊水域设计底标高-13.7 m，回旋水域设计标高-11.3m，因码头水域回淤导致水深不足，为确保船舶进港航行的正常和安全，码头港池水域需进行维护性疏浚以达到设计水深。根据2025年11月10日自治区港航发展中心会同自治区交通运输综合行政执法局组织召开加强港口基础设施维护主体责任落实约谈会形成的《加强港口基础设施维护主体责任落实约谈会议纪要》（港航纪要〔2025〕30号）要求孚宝(钦州)码头有限公司等企业“应严格按照《港口基础设施维护管理规定》《港口基础设施维护技术规范(JTS310-2025)》等法律法规的要求，落实企业主体责任，负责各自码头回旋水域的疏浚。”孚宝(钦州)码头有限公司已开展</w:t>
            </w:r>
            <w:r>
              <w:rPr>
                <w:rFonts w:hint="eastAsia"/>
                <w:color w:val="auto"/>
                <w:sz w:val="24"/>
                <w:highlight w:val="none"/>
                <w:lang w:eastAsia="zh-CN"/>
              </w:rPr>
              <w:t>钦州港金谷港区金鼓江作业区16#17#泊位码头停泊及回旋水域清淤疏浚项目（</w:t>
            </w:r>
            <w:r>
              <w:rPr>
                <w:rFonts w:hint="eastAsia"/>
                <w:color w:val="auto"/>
                <w:sz w:val="24"/>
                <w:highlight w:val="none"/>
                <w:lang w:val="en-US" w:eastAsia="zh-CN"/>
              </w:rPr>
              <w:t>不包含金鼓江航道内部分</w:t>
            </w:r>
            <w:r>
              <w:rPr>
                <w:rFonts w:hint="eastAsia"/>
                <w:color w:val="auto"/>
                <w:sz w:val="24"/>
                <w:highlight w:val="none"/>
                <w:lang w:eastAsia="zh-CN"/>
              </w:rPr>
              <w:t>）</w:t>
            </w:r>
            <w:r>
              <w:rPr>
                <w:rFonts w:hint="eastAsia"/>
                <w:color w:val="auto"/>
                <w:sz w:val="24"/>
                <w:highlight w:val="none"/>
                <w:lang w:val="en-US" w:eastAsia="zh-CN"/>
              </w:rPr>
              <w:t>环境影响评价工作并取得《中国一马来西亚钦州产业园区行政审批局关于钦州港金谷港区金鼓江作业区16#17#泊位码头停泊及回旋水域清淤疏浚项目环境影响报告表的批复》（中马园审批环</w:t>
            </w:r>
            <w:r>
              <w:rPr>
                <w:rFonts w:hint="eastAsia" w:ascii="Times New Roman" w:hAnsi="Times New Roman" w:eastAsia="宋体" w:cs="Times New Roman"/>
                <w:color w:val="auto"/>
                <w:sz w:val="24"/>
                <w:highlight w:val="none"/>
                <w:lang w:val="en-US" w:eastAsia="zh-CN"/>
              </w:rPr>
              <w:t>〔2026〕</w:t>
            </w:r>
            <w:r>
              <w:rPr>
                <w:rFonts w:hint="eastAsia"/>
                <w:color w:val="auto"/>
                <w:sz w:val="24"/>
                <w:highlight w:val="none"/>
                <w:lang w:val="en-US" w:eastAsia="zh-CN"/>
              </w:rPr>
              <w:t>4号），本项目拟对</w:t>
            </w:r>
            <w:r>
              <w:rPr>
                <w:rFonts w:hint="eastAsia"/>
                <w:color w:val="auto"/>
                <w:sz w:val="24"/>
                <w:highlight w:val="none"/>
                <w:lang w:eastAsia="zh-CN"/>
              </w:rPr>
              <w:t>钦州港金谷港区金鼓江作业区16#17#泊位码头</w:t>
            </w:r>
            <w:r>
              <w:rPr>
                <w:rFonts w:hint="eastAsia" w:ascii="Times New Roman" w:hAnsi="Times New Roman" w:eastAsia="宋体" w:cs="Times New Roman"/>
                <w:color w:val="auto"/>
                <w:sz w:val="24"/>
                <w:highlight w:val="none"/>
                <w:lang w:val="en-US" w:eastAsia="zh-CN"/>
              </w:rPr>
              <w:t>回旋水域与金鼓江航道重叠区域进行</w:t>
            </w:r>
            <w:r>
              <w:rPr>
                <w:rFonts w:hint="eastAsia"/>
                <w:color w:val="auto"/>
                <w:sz w:val="24"/>
                <w:highlight w:val="none"/>
                <w:lang w:val="en-US" w:eastAsia="zh-CN"/>
              </w:rPr>
              <w:t>维护性疏浚</w:t>
            </w:r>
            <w:r>
              <w:rPr>
                <w:rFonts w:hint="eastAsia" w:ascii="Times New Roman" w:hAnsi="Times New Roman" w:eastAsia="宋体" w:cs="Times New Roman"/>
                <w:color w:val="auto"/>
                <w:sz w:val="24"/>
                <w:highlight w:val="none"/>
                <w:lang w:val="en-US" w:eastAsia="zh-CN"/>
              </w:rPr>
              <w:t>，本次维护性疏浚面积约0.079km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vertAlign w:val="baseline"/>
                <w:lang w:val="en-US" w:eastAsia="zh-CN"/>
              </w:rPr>
              <w:t>，疏浚</w:t>
            </w:r>
            <w:r>
              <w:rPr>
                <w:rFonts w:hint="eastAsia" w:ascii="Times New Roman" w:hAnsi="Times New Roman" w:eastAsia="宋体" w:cs="Times New Roman"/>
                <w:color w:val="auto"/>
                <w:sz w:val="24"/>
                <w:highlight w:val="none"/>
                <w:lang w:val="en-US" w:eastAsia="zh-CN"/>
              </w:rPr>
              <w:t>开挖土方量约9.3万方。</w:t>
            </w:r>
          </w:p>
          <w:p w14:paraId="5963AEE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中华人民共和国海洋环境保护法》《中华人民共和国环境影响评价法》和《建设项目环境保护管理条例》等有关法律法规，本项目需进行环境影响评价。对比《建设项目环境影响评价分类管理名录》（2021年），判定项目类型为“五十四、海洋工程-160、其他海洋环境工程-其他”，应编制环境影响报告表。</w:t>
            </w:r>
          </w:p>
          <w:p w14:paraId="6A49F32B">
            <w:pPr>
              <w:adjustRightInd w:val="0"/>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2.2.2拟建项目基本情况</w:t>
            </w:r>
          </w:p>
          <w:p w14:paraId="481C1E3B">
            <w:pPr>
              <w:spacing w:line="360" w:lineRule="auto"/>
              <w:ind w:firstLine="480" w:firstLineChars="200"/>
              <w:rPr>
                <w:rFonts w:hint="eastAsia" w:eastAsia="宋体"/>
                <w:color w:val="auto"/>
                <w:sz w:val="24"/>
                <w:highlight w:val="none"/>
                <w:lang w:eastAsia="zh-CN"/>
              </w:rPr>
            </w:pPr>
            <w:r>
              <w:rPr>
                <w:color w:val="auto"/>
                <w:sz w:val="24"/>
                <w:highlight w:val="none"/>
              </w:rPr>
              <w:t>项目名称：</w:t>
            </w:r>
            <w:r>
              <w:rPr>
                <w:rFonts w:hint="eastAsia"/>
                <w:color w:val="auto"/>
                <w:sz w:val="24"/>
                <w:highlight w:val="none"/>
                <w:lang w:eastAsia="zh-CN"/>
              </w:rPr>
              <w:t>钦州港金谷港区金鼓江作业区16#17#泊位码头停泊及回旋水域清淤疏浚项目（</w:t>
            </w:r>
            <w:r>
              <w:rPr>
                <w:rFonts w:hint="eastAsia" w:ascii="Times New Roman" w:hAnsi="Times New Roman" w:eastAsia="宋体" w:cs="Times New Roman"/>
                <w:color w:val="auto"/>
                <w:sz w:val="24"/>
                <w:highlight w:val="none"/>
                <w:lang w:eastAsia="zh-CN"/>
              </w:rPr>
              <w:t>航道内部</w:t>
            </w:r>
            <w:r>
              <w:rPr>
                <w:rFonts w:hint="eastAsia" w:ascii="Times New Roman" w:hAnsi="Times New Roman" w:eastAsia="宋体" w:cs="Times New Roman"/>
                <w:color w:val="auto"/>
                <w:sz w:val="24"/>
                <w:highlight w:val="none"/>
                <w:lang w:val="en-US" w:eastAsia="zh-CN"/>
              </w:rPr>
              <w:t>分</w:t>
            </w:r>
            <w:r>
              <w:rPr>
                <w:rFonts w:hint="eastAsia"/>
                <w:color w:val="auto"/>
                <w:sz w:val="24"/>
                <w:highlight w:val="none"/>
                <w:lang w:eastAsia="zh-CN"/>
              </w:rPr>
              <w:t>）</w:t>
            </w:r>
          </w:p>
          <w:p w14:paraId="3A896E92">
            <w:pPr>
              <w:spacing w:line="360" w:lineRule="auto"/>
              <w:ind w:firstLine="480" w:firstLineChars="200"/>
              <w:rPr>
                <w:rFonts w:hint="eastAsia" w:eastAsia="宋体"/>
                <w:color w:val="auto"/>
                <w:sz w:val="24"/>
                <w:highlight w:val="none"/>
                <w:lang w:eastAsia="zh-CN"/>
              </w:rPr>
            </w:pPr>
            <w:r>
              <w:rPr>
                <w:color w:val="auto"/>
                <w:sz w:val="24"/>
                <w:highlight w:val="none"/>
              </w:rPr>
              <w:t>项目性质：</w:t>
            </w:r>
            <w:r>
              <w:rPr>
                <w:rFonts w:hint="eastAsia"/>
                <w:color w:val="auto"/>
                <w:sz w:val="24"/>
                <w:highlight w:val="none"/>
                <w:lang w:val="en-US" w:eastAsia="zh-CN"/>
              </w:rPr>
              <w:t>新建</w:t>
            </w:r>
          </w:p>
          <w:p w14:paraId="49DBCA79">
            <w:pPr>
              <w:spacing w:line="360" w:lineRule="auto"/>
              <w:ind w:firstLine="480" w:firstLineChars="200"/>
              <w:rPr>
                <w:rFonts w:hint="eastAsia" w:eastAsia="宋体"/>
                <w:color w:val="auto"/>
                <w:sz w:val="24"/>
                <w:highlight w:val="none"/>
                <w:lang w:eastAsia="zh-CN"/>
              </w:rPr>
            </w:pPr>
            <w:r>
              <w:rPr>
                <w:color w:val="auto"/>
                <w:sz w:val="24"/>
                <w:highlight w:val="none"/>
              </w:rPr>
              <w:t>建设单位：</w:t>
            </w:r>
            <w:r>
              <w:rPr>
                <w:rFonts w:hint="eastAsia"/>
                <w:color w:val="auto"/>
                <w:sz w:val="24"/>
                <w:highlight w:val="none"/>
                <w:lang w:eastAsia="zh-CN"/>
              </w:rPr>
              <w:t>孚宝（钦州）码头有限公司</w:t>
            </w:r>
          </w:p>
          <w:p w14:paraId="6054AB43">
            <w:pPr>
              <w:spacing w:line="360" w:lineRule="auto"/>
              <w:ind w:firstLine="480" w:firstLineChars="200"/>
              <w:rPr>
                <w:color w:val="auto"/>
                <w:sz w:val="24"/>
                <w:highlight w:val="none"/>
              </w:rPr>
            </w:pPr>
            <w:r>
              <w:rPr>
                <w:color w:val="auto"/>
                <w:sz w:val="24"/>
                <w:highlight w:val="none"/>
              </w:rPr>
              <w:t>建设地点：</w:t>
            </w:r>
            <w:r>
              <w:rPr>
                <w:rFonts w:hint="eastAsia"/>
                <w:color w:val="auto"/>
                <w:sz w:val="24"/>
                <w:highlight w:val="none"/>
                <w:lang w:eastAsia="zh-CN"/>
              </w:rPr>
              <w:t>广西壮族自治区钦州市中国（广西）自由贸易试验区钦州港片钦州港金谷港区金鼓江作业区16#17#泊位码</w:t>
            </w:r>
            <w:r>
              <w:rPr>
                <w:rFonts w:hint="eastAsia" w:ascii="Times New Roman" w:hAnsi="Times New Roman" w:eastAsia="宋体" w:cs="Times New Roman"/>
                <w:color w:val="auto"/>
                <w:sz w:val="24"/>
                <w:highlight w:val="none"/>
                <w:lang w:eastAsia="zh-CN"/>
              </w:rPr>
              <w:t>头回旋水域</w:t>
            </w:r>
            <w:r>
              <w:rPr>
                <w:rFonts w:hint="eastAsia" w:ascii="Times New Roman" w:hAnsi="Times New Roman" w:eastAsia="宋体" w:cs="Times New Roman"/>
                <w:color w:val="auto"/>
                <w:sz w:val="24"/>
                <w:highlight w:val="none"/>
                <w:lang w:val="en-US" w:eastAsia="zh-CN"/>
              </w:rPr>
              <w:t>与金鼓江航道重叠处</w:t>
            </w:r>
            <w:r>
              <w:rPr>
                <w:rFonts w:hint="eastAsia"/>
                <w:color w:val="auto"/>
                <w:sz w:val="24"/>
                <w:highlight w:val="none"/>
              </w:rPr>
              <w:t>。</w:t>
            </w:r>
          </w:p>
          <w:p w14:paraId="6C676C47">
            <w:pPr>
              <w:spacing w:line="360" w:lineRule="auto"/>
              <w:ind w:firstLine="480" w:firstLineChars="200"/>
              <w:rPr>
                <w:color w:val="auto"/>
                <w:sz w:val="24"/>
                <w:highlight w:val="none"/>
              </w:rPr>
            </w:pPr>
            <w:r>
              <w:rPr>
                <w:color w:val="auto"/>
                <w:sz w:val="24"/>
                <w:highlight w:val="none"/>
              </w:rPr>
              <w:t>项目总投资：</w:t>
            </w:r>
            <w:r>
              <w:rPr>
                <w:rFonts w:hint="eastAsia"/>
                <w:color w:val="auto"/>
                <w:sz w:val="24"/>
                <w:highlight w:val="none"/>
              </w:rPr>
              <w:t>项目总投资约</w:t>
            </w:r>
            <w:r>
              <w:rPr>
                <w:rFonts w:hint="eastAsia"/>
                <w:color w:val="auto"/>
                <w:sz w:val="24"/>
                <w:highlight w:val="none"/>
                <w:lang w:val="en-US" w:eastAsia="zh-CN"/>
              </w:rPr>
              <w:t>300</w:t>
            </w:r>
            <w:r>
              <w:rPr>
                <w:color w:val="auto"/>
                <w:sz w:val="24"/>
                <w:highlight w:val="none"/>
              </w:rPr>
              <w:t>万元</w:t>
            </w:r>
            <w:r>
              <w:rPr>
                <w:rFonts w:hint="eastAsia"/>
                <w:color w:val="auto"/>
                <w:sz w:val="24"/>
                <w:highlight w:val="none"/>
              </w:rPr>
              <w:t>。</w:t>
            </w:r>
          </w:p>
          <w:p w14:paraId="61BFE047">
            <w:pPr>
              <w:pStyle w:val="14"/>
              <w:snapToGrid/>
              <w:spacing w:before="0" w:after="0" w:line="360" w:lineRule="auto"/>
              <w:ind w:right="0" w:firstLine="480" w:firstLineChars="200"/>
              <w:rPr>
                <w:rFonts w:hint="eastAsia"/>
                <w:color w:val="auto"/>
                <w:highlight w:val="none"/>
                <w:lang w:eastAsia="zh-CN"/>
              </w:rPr>
            </w:pPr>
            <w:r>
              <w:rPr>
                <w:rFonts w:hint="eastAsia"/>
                <w:color w:val="auto"/>
                <w:sz w:val="24"/>
                <w:szCs w:val="24"/>
                <w:highlight w:val="none"/>
              </w:rPr>
              <w:t>建设内容及规模：</w:t>
            </w:r>
            <w:r>
              <w:rPr>
                <w:rFonts w:hint="eastAsia"/>
                <w:color w:val="auto"/>
                <w:sz w:val="24"/>
                <w:szCs w:val="24"/>
                <w:highlight w:val="none"/>
                <w:lang w:eastAsia="zh-CN"/>
              </w:rPr>
              <w:t>本项目主要对</w:t>
            </w:r>
            <w:r>
              <w:rPr>
                <w:rFonts w:hint="eastAsia"/>
                <w:color w:val="auto"/>
                <w:sz w:val="24"/>
                <w:highlight w:val="none"/>
                <w:lang w:eastAsia="zh-CN"/>
              </w:rPr>
              <w:t>钦州港金谷港区金鼓江作业区16#、17#泊位工程</w:t>
            </w:r>
            <w:r>
              <w:rPr>
                <w:rFonts w:hint="eastAsia"/>
                <w:color w:val="auto"/>
                <w:sz w:val="24"/>
                <w:highlight w:val="none"/>
                <w:lang w:val="en-US" w:eastAsia="zh-CN"/>
              </w:rPr>
              <w:t>回旋水域（航道内部分）进行疏浚工作</w:t>
            </w:r>
            <w:r>
              <w:rPr>
                <w:rFonts w:hint="eastAsia"/>
                <w:color w:val="auto"/>
                <w:sz w:val="24"/>
                <w:highlight w:val="none"/>
                <w:lang w:eastAsia="zh-CN"/>
              </w:rPr>
              <w:t>，疏浚区面积约</w:t>
            </w:r>
            <w:r>
              <w:rPr>
                <w:rFonts w:hint="eastAsia"/>
                <w:color w:val="auto"/>
                <w:sz w:val="24"/>
                <w:highlight w:val="none"/>
                <w:lang w:val="en-US" w:eastAsia="zh-CN"/>
              </w:rPr>
              <w:t>0.079</w:t>
            </w:r>
            <w:r>
              <w:rPr>
                <w:rFonts w:hint="eastAsia"/>
                <w:color w:val="auto"/>
                <w:sz w:val="24"/>
                <w:highlight w:val="none"/>
                <w:lang w:eastAsia="zh-CN"/>
              </w:rPr>
              <w:t>km²，施工范围内</w:t>
            </w:r>
            <w:r>
              <w:rPr>
                <w:rFonts w:hint="eastAsia"/>
                <w:color w:val="auto"/>
                <w:sz w:val="24"/>
                <w:highlight w:val="none"/>
                <w:lang w:val="en-US" w:eastAsia="zh-CN"/>
              </w:rPr>
              <w:t>回旋水域</w:t>
            </w:r>
            <w:r>
              <w:rPr>
                <w:rFonts w:hint="eastAsia"/>
                <w:color w:val="auto"/>
                <w:sz w:val="24"/>
                <w:highlight w:val="none"/>
                <w:lang w:eastAsia="zh-CN"/>
              </w:rPr>
              <w:t>清淤深度≥-</w:t>
            </w:r>
            <w:r>
              <w:rPr>
                <w:rFonts w:hint="eastAsia"/>
                <w:color w:val="auto"/>
                <w:sz w:val="24"/>
                <w:highlight w:val="none"/>
                <w:lang w:val="en-US" w:eastAsia="zh-CN"/>
              </w:rPr>
              <w:t>11.3</w:t>
            </w:r>
            <w:r>
              <w:rPr>
                <w:rFonts w:hint="eastAsia"/>
                <w:color w:val="auto"/>
                <w:sz w:val="24"/>
                <w:highlight w:val="none"/>
                <w:lang w:eastAsia="zh-CN"/>
              </w:rPr>
              <w:t>米，</w:t>
            </w:r>
            <w:r>
              <w:rPr>
                <w:rFonts w:hint="eastAsia"/>
                <w:color w:val="auto"/>
                <w:sz w:val="24"/>
                <w:highlight w:val="none"/>
                <w:lang w:val="en-US" w:eastAsia="zh-CN"/>
              </w:rPr>
              <w:t>疏浚方量约9.3万方</w:t>
            </w:r>
            <w:r>
              <w:rPr>
                <w:rFonts w:hint="eastAsia"/>
                <w:color w:val="auto"/>
                <w:sz w:val="24"/>
                <w:highlight w:val="none"/>
                <w:lang w:eastAsia="zh-CN"/>
              </w:rPr>
              <w:t>。本项目</w:t>
            </w:r>
            <w:r>
              <w:rPr>
                <w:rFonts w:hint="eastAsia"/>
                <w:color w:val="auto"/>
                <w:sz w:val="24"/>
                <w:highlight w:val="none"/>
                <w:lang w:val="en-US" w:eastAsia="zh-CN"/>
              </w:rPr>
              <w:t>施工范围不涉及停泊水域，</w:t>
            </w:r>
            <w:r>
              <w:rPr>
                <w:rFonts w:hint="eastAsia"/>
                <w:color w:val="auto"/>
                <w:sz w:val="24"/>
                <w:highlight w:val="none"/>
                <w:lang w:eastAsia="zh-CN"/>
              </w:rPr>
              <w:t>不涉及水下炸礁，本工程未改变码头水工建筑、泊位性质。</w:t>
            </w:r>
          </w:p>
          <w:p w14:paraId="2C3D46EE">
            <w:pPr>
              <w:pStyle w:val="14"/>
              <w:snapToGrid/>
              <w:spacing w:before="0" w:after="0" w:line="360" w:lineRule="auto"/>
              <w:ind w:right="0" w:firstLine="480" w:firstLineChars="200"/>
              <w:rPr>
                <w:rFonts w:hint="default" w:eastAsia="宋体"/>
                <w:color w:val="auto"/>
                <w:sz w:val="24"/>
                <w:szCs w:val="24"/>
                <w:highlight w:val="none"/>
                <w:u w:val="none"/>
                <w:lang w:val="en-US" w:eastAsia="zh-CN"/>
              </w:rPr>
            </w:pPr>
            <w:r>
              <w:rPr>
                <w:rFonts w:hint="eastAsia"/>
                <w:color w:val="auto"/>
                <w:sz w:val="24"/>
                <w:szCs w:val="24"/>
                <w:highlight w:val="none"/>
                <w:u w:val="none"/>
              </w:rPr>
              <w:t>建设期：</w:t>
            </w:r>
            <w:r>
              <w:rPr>
                <w:rFonts w:hint="eastAsia"/>
                <w:color w:val="auto"/>
                <w:sz w:val="24"/>
                <w:szCs w:val="24"/>
                <w:highlight w:val="none"/>
                <w:u w:val="none"/>
                <w:lang w:eastAsia="zh-CN"/>
              </w:rPr>
              <w:t>建设周期</w:t>
            </w:r>
            <w:r>
              <w:rPr>
                <w:rFonts w:hint="eastAsia"/>
                <w:color w:val="auto"/>
                <w:sz w:val="24"/>
                <w:szCs w:val="24"/>
                <w:highlight w:val="none"/>
                <w:u w:val="none"/>
                <w:lang w:val="en-US" w:eastAsia="zh-CN"/>
              </w:rPr>
              <w:t>3个月，计划2026</w:t>
            </w:r>
            <w:r>
              <w:rPr>
                <w:rFonts w:hint="eastAsia"/>
                <w:color w:val="auto"/>
                <w:sz w:val="24"/>
                <w:szCs w:val="24"/>
                <w:highlight w:val="none"/>
                <w:u w:val="none"/>
              </w:rPr>
              <w:t>年</w:t>
            </w:r>
            <w:r>
              <w:rPr>
                <w:rFonts w:hint="eastAsia"/>
                <w:color w:val="auto"/>
                <w:sz w:val="24"/>
                <w:szCs w:val="24"/>
                <w:highlight w:val="none"/>
                <w:u w:val="none"/>
                <w:lang w:val="en-US" w:eastAsia="zh-CN"/>
              </w:rPr>
              <w:t>5月</w:t>
            </w:r>
            <w:r>
              <w:rPr>
                <w:rFonts w:hint="eastAsia"/>
                <w:color w:val="auto"/>
                <w:sz w:val="24"/>
                <w:szCs w:val="24"/>
                <w:highlight w:val="none"/>
                <w:u w:val="none"/>
                <w:lang w:eastAsia="zh-CN"/>
              </w:rPr>
              <w:t>，</w:t>
            </w:r>
            <w:r>
              <w:rPr>
                <w:rFonts w:hint="eastAsia"/>
                <w:color w:val="auto"/>
                <w:sz w:val="24"/>
                <w:szCs w:val="24"/>
                <w:highlight w:val="none"/>
                <w:u w:val="none"/>
                <w:lang w:val="en-US" w:eastAsia="zh-CN"/>
              </w:rPr>
              <w:t>2026</w:t>
            </w:r>
            <w:r>
              <w:rPr>
                <w:rFonts w:hint="eastAsia"/>
                <w:color w:val="auto"/>
                <w:sz w:val="24"/>
                <w:szCs w:val="24"/>
                <w:highlight w:val="none"/>
                <w:u w:val="none"/>
              </w:rPr>
              <w:t>年</w:t>
            </w:r>
            <w:r>
              <w:rPr>
                <w:rFonts w:hint="eastAsia"/>
                <w:color w:val="auto"/>
                <w:sz w:val="24"/>
                <w:szCs w:val="24"/>
                <w:highlight w:val="none"/>
                <w:u w:val="none"/>
                <w:lang w:val="en-US" w:eastAsia="zh-CN"/>
              </w:rPr>
              <w:t>7</w:t>
            </w:r>
            <w:r>
              <w:rPr>
                <w:rFonts w:hint="eastAsia"/>
                <w:color w:val="auto"/>
                <w:sz w:val="24"/>
                <w:szCs w:val="24"/>
                <w:highlight w:val="none"/>
                <w:u w:val="none"/>
              </w:rPr>
              <w:t>月</w:t>
            </w:r>
            <w:r>
              <w:rPr>
                <w:rFonts w:hint="eastAsia"/>
                <w:color w:val="auto"/>
                <w:sz w:val="24"/>
                <w:szCs w:val="24"/>
                <w:highlight w:val="none"/>
                <w:u w:val="none"/>
                <w:lang w:eastAsia="zh-CN"/>
              </w:rPr>
              <w:t>竣工</w:t>
            </w:r>
            <w:r>
              <w:rPr>
                <w:rFonts w:hint="eastAsia"/>
                <w:color w:val="auto"/>
                <w:sz w:val="24"/>
                <w:szCs w:val="24"/>
                <w:highlight w:val="none"/>
                <w:u w:val="none"/>
              </w:rPr>
              <w:t>。</w:t>
            </w:r>
            <w:r>
              <w:rPr>
                <w:rFonts w:hint="eastAsia"/>
                <w:color w:val="auto"/>
                <w:sz w:val="24"/>
                <w:szCs w:val="24"/>
                <w:highlight w:val="none"/>
                <w:u w:val="none"/>
                <w:lang w:val="en-US" w:eastAsia="zh-CN"/>
              </w:rPr>
              <w:t>施工根据泊位进港船舶停靠情况进行协调施工，施工按“先无船区、后有船区”顺序施工，避免影</w:t>
            </w:r>
            <w:r>
              <w:rPr>
                <w:rFonts w:hint="eastAsia" w:ascii="Times New Roman" w:hAnsi="Times New Roman" w:eastAsia="宋体" w:cs="Times New Roman"/>
                <w:color w:val="auto"/>
                <w:sz w:val="24"/>
                <w:szCs w:val="24"/>
                <w:highlight w:val="none"/>
                <w:u w:val="none"/>
                <w:lang w:val="en-US" w:eastAsia="zh-CN"/>
              </w:rPr>
              <w:t>响码头和航道通</w:t>
            </w:r>
            <w:r>
              <w:rPr>
                <w:rFonts w:hint="eastAsia"/>
                <w:color w:val="auto"/>
                <w:sz w:val="24"/>
                <w:szCs w:val="24"/>
                <w:highlight w:val="none"/>
                <w:u w:val="none"/>
                <w:lang w:val="en-US" w:eastAsia="zh-CN"/>
              </w:rPr>
              <w:t>航。</w:t>
            </w:r>
          </w:p>
          <w:p w14:paraId="3DF5ED6D">
            <w:pPr>
              <w:spacing w:line="360" w:lineRule="auto"/>
              <w:ind w:firstLine="482" w:firstLineChars="200"/>
              <w:rPr>
                <w:rFonts w:hint="eastAsia"/>
                <w:b/>
                <w:bCs/>
                <w:color w:val="auto"/>
                <w:sz w:val="24"/>
                <w:highlight w:val="none"/>
                <w:shd w:val="clear" w:color="auto" w:fill="FFFFFF"/>
                <w:lang w:eastAsia="zh-CN"/>
              </w:rPr>
            </w:pPr>
            <w:r>
              <w:rPr>
                <w:rFonts w:hint="eastAsia"/>
                <w:b/>
                <w:bCs/>
                <w:color w:val="auto"/>
                <w:sz w:val="24"/>
                <w:highlight w:val="none"/>
                <w:shd w:val="clear" w:color="auto" w:fill="FFFFFF"/>
              </w:rPr>
              <w:t>2.2.</w:t>
            </w:r>
            <w:r>
              <w:rPr>
                <w:rFonts w:hint="eastAsia"/>
                <w:b/>
                <w:bCs/>
                <w:color w:val="auto"/>
                <w:sz w:val="24"/>
                <w:highlight w:val="none"/>
                <w:shd w:val="clear" w:color="auto" w:fill="FFFFFF"/>
                <w:lang w:val="en-US" w:eastAsia="zh-CN"/>
              </w:rPr>
              <w:t>3</w:t>
            </w:r>
            <w:r>
              <w:rPr>
                <w:rFonts w:hint="eastAsia"/>
                <w:b/>
                <w:bCs/>
                <w:color w:val="auto"/>
                <w:sz w:val="24"/>
                <w:highlight w:val="none"/>
                <w:shd w:val="clear" w:color="auto" w:fill="FFFFFF"/>
                <w:lang w:eastAsia="zh-CN"/>
              </w:rPr>
              <w:t>工程主要技术指标</w:t>
            </w:r>
          </w:p>
          <w:p w14:paraId="541AC74E">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b/>
                <w:bCs/>
                <w:color w:val="auto"/>
                <w:sz w:val="24"/>
                <w:highlight w:val="none"/>
                <w:shd w:val="clear" w:color="auto" w:fill="FFFFFF"/>
                <w:lang w:eastAsia="zh-CN"/>
              </w:rPr>
            </w:pPr>
            <w:r>
              <w:rPr>
                <w:rFonts w:hint="eastAsia"/>
                <w:b/>
                <w:bCs/>
                <w:color w:val="auto"/>
                <w:sz w:val="24"/>
                <w:highlight w:val="none"/>
                <w:shd w:val="clear" w:color="auto" w:fill="FFFFFF"/>
                <w:lang w:eastAsia="zh-CN"/>
              </w:rPr>
              <w:t>主要技术指标</w:t>
            </w:r>
          </w:p>
          <w:p w14:paraId="0ADBDD57">
            <w:pPr>
              <w:pStyle w:val="40"/>
              <w:spacing w:before="0" w:beforeAutospacing="0" w:after="0" w:afterAutospacing="0"/>
              <w:jc w:val="center"/>
              <w:rPr>
                <w:rFonts w:hint="eastAsia" w:ascii="Times New Roman" w:hAnsi="Times New Roman" w:eastAsia="宋体"/>
                <w:b/>
                <w:color w:val="auto"/>
                <w:sz w:val="21"/>
                <w:szCs w:val="21"/>
                <w:highlight w:val="none"/>
                <w:lang w:eastAsia="zh-CN"/>
              </w:rPr>
            </w:pPr>
            <w:r>
              <w:rPr>
                <w:rFonts w:ascii="Times New Roman" w:hAnsi="Times New Roman"/>
                <w:b/>
                <w:color w:val="auto"/>
                <w:sz w:val="21"/>
                <w:szCs w:val="21"/>
                <w:highlight w:val="none"/>
              </w:rPr>
              <w:t>表</w:t>
            </w:r>
            <w:r>
              <w:rPr>
                <w:rFonts w:hint="eastAsia" w:ascii="Times New Roman" w:hAnsi="Times New Roman"/>
                <w:b/>
                <w:color w:val="auto"/>
                <w:sz w:val="21"/>
                <w:szCs w:val="21"/>
                <w:highlight w:val="none"/>
                <w:lang w:val="en-US" w:eastAsia="zh-CN"/>
              </w:rPr>
              <w:t>2.2-1</w:t>
            </w:r>
            <w:r>
              <w:rPr>
                <w:rFonts w:hint="eastAsia" w:ascii="Times New Roman" w:hAnsi="Times New Roman"/>
                <w:b/>
                <w:color w:val="auto"/>
                <w:sz w:val="21"/>
                <w:szCs w:val="21"/>
                <w:highlight w:val="none"/>
                <w:lang w:eastAsia="zh-CN"/>
              </w:rPr>
              <w:t>项目主要技术指标一览表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530"/>
              <w:gridCol w:w="923"/>
              <w:gridCol w:w="2381"/>
              <w:gridCol w:w="1508"/>
            </w:tblGrid>
            <w:tr w14:paraId="2D05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0DBD7011">
                  <w:pPr>
                    <w:autoSpaceDE w:val="0"/>
                    <w:autoSpaceDN w:val="0"/>
                    <w:snapToGrid w:val="0"/>
                    <w:jc w:val="center"/>
                    <w:rPr>
                      <w:rFonts w:hint="eastAsia" w:eastAsia="宋体"/>
                      <w:b/>
                      <w:bCs w:val="0"/>
                      <w:color w:val="auto"/>
                      <w:highlight w:val="none"/>
                      <w:lang w:eastAsia="zh-CN"/>
                    </w:rPr>
                  </w:pPr>
                  <w:r>
                    <w:rPr>
                      <w:rFonts w:hint="eastAsia"/>
                      <w:b/>
                      <w:bCs w:val="0"/>
                      <w:color w:val="auto"/>
                      <w:highlight w:val="none"/>
                      <w:lang w:eastAsia="zh-CN"/>
                    </w:rPr>
                    <w:t>序号</w:t>
                  </w:r>
                </w:p>
              </w:tc>
              <w:tc>
                <w:tcPr>
                  <w:tcW w:w="1510" w:type="pct"/>
                  <w:noWrap w:val="0"/>
                  <w:vAlign w:val="center"/>
                </w:tcPr>
                <w:p w14:paraId="3FAC69DF">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指标名称</w:t>
                  </w:r>
                </w:p>
              </w:tc>
              <w:tc>
                <w:tcPr>
                  <w:tcW w:w="551" w:type="pct"/>
                  <w:noWrap w:val="0"/>
                  <w:vAlign w:val="center"/>
                </w:tcPr>
                <w:p w14:paraId="0EFCC6F8">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单位</w:t>
                  </w:r>
                </w:p>
              </w:tc>
              <w:tc>
                <w:tcPr>
                  <w:tcW w:w="1421" w:type="pct"/>
                  <w:noWrap w:val="0"/>
                  <w:vAlign w:val="center"/>
                </w:tcPr>
                <w:p w14:paraId="332B6B1B">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数量</w:t>
                  </w:r>
                </w:p>
              </w:tc>
              <w:tc>
                <w:tcPr>
                  <w:tcW w:w="899" w:type="pct"/>
                  <w:noWrap w:val="0"/>
                  <w:vAlign w:val="center"/>
                </w:tcPr>
                <w:p w14:paraId="664C7A8C">
                  <w:pPr>
                    <w:snapToGrid w:val="0"/>
                    <w:jc w:val="center"/>
                    <w:rPr>
                      <w:rFonts w:hint="eastAsia" w:eastAsia="宋体"/>
                      <w:b/>
                      <w:bCs w:val="0"/>
                      <w:color w:val="auto"/>
                      <w:szCs w:val="21"/>
                      <w:highlight w:val="none"/>
                      <w:lang w:eastAsia="zh-CN"/>
                    </w:rPr>
                  </w:pPr>
                  <w:r>
                    <w:rPr>
                      <w:rFonts w:hint="eastAsia"/>
                      <w:b/>
                      <w:bCs w:val="0"/>
                      <w:color w:val="auto"/>
                      <w:szCs w:val="21"/>
                      <w:highlight w:val="none"/>
                      <w:lang w:eastAsia="zh-CN"/>
                    </w:rPr>
                    <w:t>备注</w:t>
                  </w:r>
                </w:p>
              </w:tc>
            </w:tr>
            <w:tr w14:paraId="1A0C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1D6342EF">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1</w:t>
                  </w:r>
                </w:p>
              </w:tc>
              <w:tc>
                <w:tcPr>
                  <w:tcW w:w="1510" w:type="pct"/>
                  <w:noWrap w:val="0"/>
                  <w:vAlign w:val="center"/>
                </w:tcPr>
                <w:p w14:paraId="6486BA0E">
                  <w:pPr>
                    <w:snapToGrid w:val="0"/>
                    <w:jc w:val="center"/>
                    <w:rPr>
                      <w:rFonts w:hint="eastAsia"/>
                      <w:bCs/>
                      <w:color w:val="auto"/>
                      <w:szCs w:val="21"/>
                      <w:highlight w:val="none"/>
                      <w:lang w:eastAsia="zh-CN"/>
                    </w:rPr>
                  </w:pPr>
                  <w:r>
                    <w:rPr>
                      <w:rFonts w:hint="eastAsia"/>
                      <w:bCs/>
                      <w:color w:val="auto"/>
                      <w:szCs w:val="21"/>
                      <w:highlight w:val="none"/>
                      <w:lang w:eastAsia="zh-CN"/>
                    </w:rPr>
                    <w:t>疏浚面积</w:t>
                  </w:r>
                </w:p>
              </w:tc>
              <w:tc>
                <w:tcPr>
                  <w:tcW w:w="551" w:type="pct"/>
                  <w:noWrap w:val="0"/>
                  <w:vAlign w:val="center"/>
                </w:tcPr>
                <w:p w14:paraId="417FBAA5">
                  <w:pPr>
                    <w:snapToGrid w:val="0"/>
                    <w:jc w:val="center"/>
                    <w:rPr>
                      <w:rFonts w:hint="eastAsia"/>
                      <w:bCs/>
                      <w:color w:val="auto"/>
                      <w:szCs w:val="21"/>
                      <w:highlight w:val="none"/>
                    </w:rPr>
                  </w:pPr>
                  <w:r>
                    <w:rPr>
                      <w:rFonts w:hint="eastAsia"/>
                      <w:bCs/>
                      <w:color w:val="auto"/>
                      <w:szCs w:val="21"/>
                      <w:highlight w:val="none"/>
                    </w:rPr>
                    <w:t>hm</w:t>
                  </w:r>
                  <w:r>
                    <w:rPr>
                      <w:rFonts w:hint="eastAsia"/>
                      <w:bCs/>
                      <w:color w:val="auto"/>
                      <w:szCs w:val="21"/>
                      <w:highlight w:val="none"/>
                      <w:vertAlign w:val="superscript"/>
                    </w:rPr>
                    <w:t>2</w:t>
                  </w:r>
                </w:p>
              </w:tc>
              <w:tc>
                <w:tcPr>
                  <w:tcW w:w="1421" w:type="pct"/>
                  <w:noWrap w:val="0"/>
                  <w:vAlign w:val="center"/>
                </w:tcPr>
                <w:p w14:paraId="31D3962E">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7.93</w:t>
                  </w:r>
                </w:p>
              </w:tc>
              <w:tc>
                <w:tcPr>
                  <w:tcW w:w="899" w:type="pct"/>
                  <w:noWrap w:val="0"/>
                  <w:vAlign w:val="center"/>
                </w:tcPr>
                <w:p w14:paraId="3C140FDC">
                  <w:pPr>
                    <w:snapToGrid w:val="0"/>
                    <w:jc w:val="center"/>
                    <w:rPr>
                      <w:rFonts w:hint="eastAsia"/>
                      <w:bCs/>
                      <w:color w:val="auto"/>
                      <w:szCs w:val="21"/>
                      <w:highlight w:val="none"/>
                    </w:rPr>
                  </w:pPr>
                </w:p>
              </w:tc>
            </w:tr>
            <w:tr w14:paraId="2CD4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6CBBE924">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2</w:t>
                  </w:r>
                </w:p>
              </w:tc>
              <w:tc>
                <w:tcPr>
                  <w:tcW w:w="1510" w:type="pct"/>
                  <w:noWrap w:val="0"/>
                  <w:vAlign w:val="center"/>
                </w:tcPr>
                <w:p w14:paraId="2F5C532B">
                  <w:pPr>
                    <w:snapToGrid w:val="0"/>
                    <w:jc w:val="center"/>
                    <w:rPr>
                      <w:rFonts w:hint="eastAsia"/>
                      <w:bCs/>
                      <w:color w:val="auto"/>
                      <w:szCs w:val="21"/>
                      <w:highlight w:val="none"/>
                      <w:lang w:eastAsia="zh-CN"/>
                    </w:rPr>
                  </w:pPr>
                  <w:r>
                    <w:rPr>
                      <w:rFonts w:hint="eastAsia"/>
                      <w:bCs/>
                      <w:color w:val="auto"/>
                      <w:szCs w:val="21"/>
                      <w:highlight w:val="none"/>
                      <w:lang w:eastAsia="zh-CN"/>
                    </w:rPr>
                    <w:t>开挖底高程</w:t>
                  </w:r>
                </w:p>
              </w:tc>
              <w:tc>
                <w:tcPr>
                  <w:tcW w:w="551" w:type="pct"/>
                  <w:noWrap w:val="0"/>
                  <w:vAlign w:val="center"/>
                </w:tcPr>
                <w:p w14:paraId="5673DED9">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m</w:t>
                  </w:r>
                </w:p>
              </w:tc>
              <w:tc>
                <w:tcPr>
                  <w:tcW w:w="1421" w:type="pct"/>
                  <w:noWrap w:val="0"/>
                  <w:vAlign w:val="center"/>
                </w:tcPr>
                <w:p w14:paraId="174A609A">
                  <w:pPr>
                    <w:snapToGrid w:val="0"/>
                    <w:jc w:val="center"/>
                    <w:rPr>
                      <w:rFonts w:hint="default"/>
                      <w:bCs/>
                      <w:color w:val="auto"/>
                      <w:szCs w:val="21"/>
                      <w:highlight w:val="none"/>
                      <w:lang w:val="en-US" w:eastAsia="zh-CN"/>
                    </w:rPr>
                  </w:pPr>
                  <w:r>
                    <w:rPr>
                      <w:rFonts w:hint="eastAsia"/>
                      <w:bCs/>
                      <w:color w:val="auto"/>
                      <w:szCs w:val="21"/>
                      <w:highlight w:val="none"/>
                      <w:lang w:val="en-US" w:eastAsia="zh-CN"/>
                    </w:rPr>
                    <w:t>回旋水域≥-11.3</w:t>
                  </w:r>
                </w:p>
              </w:tc>
              <w:tc>
                <w:tcPr>
                  <w:tcW w:w="899" w:type="pct"/>
                  <w:noWrap w:val="0"/>
                  <w:vAlign w:val="center"/>
                </w:tcPr>
                <w:p w14:paraId="63E604A8">
                  <w:pPr>
                    <w:snapToGrid w:val="0"/>
                    <w:jc w:val="center"/>
                    <w:rPr>
                      <w:rFonts w:hint="eastAsia"/>
                      <w:bCs/>
                      <w:color w:val="auto"/>
                      <w:szCs w:val="21"/>
                      <w:highlight w:val="none"/>
                    </w:rPr>
                  </w:pPr>
                </w:p>
              </w:tc>
            </w:tr>
            <w:tr w14:paraId="421A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0312A670">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3</w:t>
                  </w:r>
                </w:p>
              </w:tc>
              <w:tc>
                <w:tcPr>
                  <w:tcW w:w="1510" w:type="pct"/>
                  <w:noWrap w:val="0"/>
                  <w:vAlign w:val="center"/>
                </w:tcPr>
                <w:p w14:paraId="24AC6981">
                  <w:pPr>
                    <w:snapToGrid w:val="0"/>
                    <w:jc w:val="center"/>
                    <w:rPr>
                      <w:rFonts w:hint="eastAsia"/>
                      <w:bCs/>
                      <w:color w:val="auto"/>
                      <w:szCs w:val="21"/>
                      <w:highlight w:val="none"/>
                      <w:lang w:eastAsia="zh-CN"/>
                    </w:rPr>
                  </w:pPr>
                  <w:r>
                    <w:rPr>
                      <w:rFonts w:hint="eastAsia"/>
                      <w:bCs/>
                      <w:color w:val="auto"/>
                      <w:szCs w:val="21"/>
                      <w:highlight w:val="none"/>
                      <w:lang w:eastAsia="zh-CN"/>
                    </w:rPr>
                    <w:t>设计高水位</w:t>
                  </w:r>
                </w:p>
                <w:p w14:paraId="0F82E2AA">
                  <w:pPr>
                    <w:snapToGrid w:val="0"/>
                    <w:jc w:val="center"/>
                    <w:rPr>
                      <w:rFonts w:hint="eastAsia"/>
                      <w:bCs/>
                      <w:color w:val="auto"/>
                      <w:szCs w:val="21"/>
                      <w:highlight w:val="none"/>
                      <w:lang w:eastAsia="zh-CN"/>
                    </w:rPr>
                  </w:pPr>
                  <w:r>
                    <w:rPr>
                      <w:rFonts w:hint="eastAsia"/>
                      <w:bCs/>
                      <w:color w:val="auto"/>
                      <w:szCs w:val="21"/>
                      <w:highlight w:val="none"/>
                      <w:lang w:eastAsia="zh-CN"/>
                    </w:rPr>
                    <w:t>（高潮累积频率10%）</w:t>
                  </w:r>
                </w:p>
              </w:tc>
              <w:tc>
                <w:tcPr>
                  <w:tcW w:w="551" w:type="pct"/>
                  <w:noWrap w:val="0"/>
                  <w:vAlign w:val="center"/>
                </w:tcPr>
                <w:p w14:paraId="0244AEDA">
                  <w:pPr>
                    <w:snapToGrid w:val="0"/>
                    <w:jc w:val="center"/>
                    <w:rPr>
                      <w:rFonts w:hint="eastAsia"/>
                      <w:bCs/>
                      <w:color w:val="auto"/>
                      <w:szCs w:val="21"/>
                      <w:highlight w:val="none"/>
                    </w:rPr>
                  </w:pPr>
                  <w:r>
                    <w:rPr>
                      <w:rFonts w:hint="eastAsia"/>
                      <w:bCs/>
                      <w:color w:val="auto"/>
                      <w:szCs w:val="21"/>
                      <w:highlight w:val="none"/>
                      <w:lang w:val="en-US" w:eastAsia="zh-CN"/>
                    </w:rPr>
                    <w:t>m</w:t>
                  </w:r>
                </w:p>
              </w:tc>
              <w:tc>
                <w:tcPr>
                  <w:tcW w:w="1421" w:type="pct"/>
                  <w:noWrap w:val="0"/>
                  <w:vAlign w:val="center"/>
                </w:tcPr>
                <w:p w14:paraId="061A681D">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5.33</w:t>
                  </w:r>
                </w:p>
              </w:tc>
              <w:tc>
                <w:tcPr>
                  <w:tcW w:w="899" w:type="pct"/>
                  <w:noWrap w:val="0"/>
                  <w:vAlign w:val="center"/>
                </w:tcPr>
                <w:p w14:paraId="3FAB53DB">
                  <w:pPr>
                    <w:snapToGrid w:val="0"/>
                    <w:jc w:val="center"/>
                    <w:rPr>
                      <w:rFonts w:hint="eastAsia"/>
                      <w:bCs/>
                      <w:color w:val="auto"/>
                      <w:szCs w:val="21"/>
                      <w:highlight w:val="none"/>
                    </w:rPr>
                  </w:pPr>
                </w:p>
              </w:tc>
            </w:tr>
            <w:tr w14:paraId="32BA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60CC183E">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4</w:t>
                  </w:r>
                </w:p>
              </w:tc>
              <w:tc>
                <w:tcPr>
                  <w:tcW w:w="1510" w:type="pct"/>
                  <w:noWrap w:val="0"/>
                  <w:vAlign w:val="center"/>
                </w:tcPr>
                <w:p w14:paraId="46285489">
                  <w:pPr>
                    <w:keepNext w:val="0"/>
                    <w:keepLines w:val="0"/>
                    <w:widowControl/>
                    <w:suppressLineNumbers w:val="0"/>
                    <w:jc w:val="center"/>
                    <w:rPr>
                      <w:rFonts w:hint="eastAsia"/>
                      <w:bCs/>
                      <w:color w:val="auto"/>
                      <w:szCs w:val="21"/>
                      <w:highlight w:val="none"/>
                      <w:lang w:eastAsia="zh-CN"/>
                    </w:rPr>
                  </w:pPr>
                  <w:r>
                    <w:rPr>
                      <w:rFonts w:hint="eastAsia"/>
                      <w:bCs/>
                      <w:color w:val="auto"/>
                      <w:szCs w:val="21"/>
                      <w:highlight w:val="none"/>
                      <w:lang w:eastAsia="zh-CN"/>
                    </w:rPr>
                    <w:t>设计低水位</w:t>
                  </w:r>
                </w:p>
                <w:p w14:paraId="4FA954A6">
                  <w:pPr>
                    <w:keepNext w:val="0"/>
                    <w:keepLines w:val="0"/>
                    <w:widowControl/>
                    <w:suppressLineNumbers w:val="0"/>
                    <w:jc w:val="center"/>
                    <w:rPr>
                      <w:rFonts w:hint="eastAsia"/>
                      <w:bCs/>
                      <w:color w:val="auto"/>
                      <w:szCs w:val="21"/>
                      <w:highlight w:val="none"/>
                      <w:lang w:eastAsia="zh-CN"/>
                    </w:rPr>
                  </w:pPr>
                  <w:r>
                    <w:rPr>
                      <w:rFonts w:hint="eastAsia"/>
                      <w:bCs/>
                      <w:color w:val="auto"/>
                      <w:szCs w:val="21"/>
                      <w:highlight w:val="none"/>
                      <w:lang w:eastAsia="zh-CN"/>
                    </w:rPr>
                    <w:t>（</w:t>
                  </w:r>
                  <w:r>
                    <w:rPr>
                      <w:rFonts w:hint="eastAsia" w:ascii="宋体" w:hAnsi="宋体" w:eastAsia="宋体" w:cs="宋体"/>
                      <w:color w:val="auto"/>
                      <w:kern w:val="0"/>
                      <w:sz w:val="20"/>
                      <w:szCs w:val="20"/>
                      <w:highlight w:val="none"/>
                      <w:lang w:val="en-US" w:eastAsia="zh-CN" w:bidi="ar"/>
                    </w:rPr>
                    <w:t>低潮累积频率</w:t>
                  </w:r>
                  <w:r>
                    <w:rPr>
                      <w:rFonts w:hint="default" w:ascii="Times New Roman" w:hAnsi="Times New Roman" w:eastAsia="宋体" w:cs="Times New Roman"/>
                      <w:color w:val="auto"/>
                      <w:kern w:val="0"/>
                      <w:sz w:val="20"/>
                      <w:szCs w:val="20"/>
                      <w:highlight w:val="none"/>
                      <w:lang w:val="en-US" w:eastAsia="zh-CN" w:bidi="ar"/>
                    </w:rPr>
                    <w:t>90%</w:t>
                  </w:r>
                  <w:r>
                    <w:rPr>
                      <w:rFonts w:hint="eastAsia"/>
                      <w:bCs/>
                      <w:color w:val="auto"/>
                      <w:szCs w:val="21"/>
                      <w:highlight w:val="none"/>
                      <w:lang w:eastAsia="zh-CN"/>
                    </w:rPr>
                    <w:t>）</w:t>
                  </w:r>
                </w:p>
              </w:tc>
              <w:tc>
                <w:tcPr>
                  <w:tcW w:w="551" w:type="pct"/>
                  <w:noWrap w:val="0"/>
                  <w:vAlign w:val="center"/>
                </w:tcPr>
                <w:p w14:paraId="3073FE59">
                  <w:pPr>
                    <w:snapToGrid w:val="0"/>
                    <w:jc w:val="center"/>
                    <w:rPr>
                      <w:rFonts w:hint="eastAsia"/>
                      <w:bCs/>
                      <w:color w:val="auto"/>
                      <w:szCs w:val="21"/>
                      <w:highlight w:val="none"/>
                    </w:rPr>
                  </w:pPr>
                  <w:r>
                    <w:rPr>
                      <w:rFonts w:hint="eastAsia"/>
                      <w:bCs/>
                      <w:color w:val="auto"/>
                      <w:szCs w:val="21"/>
                      <w:highlight w:val="none"/>
                      <w:lang w:val="en-US" w:eastAsia="zh-CN"/>
                    </w:rPr>
                    <w:t>m</w:t>
                  </w:r>
                </w:p>
              </w:tc>
              <w:tc>
                <w:tcPr>
                  <w:tcW w:w="1421" w:type="pct"/>
                  <w:noWrap w:val="0"/>
                  <w:vAlign w:val="center"/>
                </w:tcPr>
                <w:p w14:paraId="57B94B28">
                  <w:pPr>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-0.39</w:t>
                  </w:r>
                </w:p>
              </w:tc>
              <w:tc>
                <w:tcPr>
                  <w:tcW w:w="899" w:type="pct"/>
                  <w:noWrap w:val="0"/>
                  <w:vAlign w:val="center"/>
                </w:tcPr>
                <w:p w14:paraId="4FF9D9B0">
                  <w:pPr>
                    <w:snapToGrid w:val="0"/>
                    <w:jc w:val="center"/>
                    <w:rPr>
                      <w:rFonts w:hint="eastAsia"/>
                      <w:bCs/>
                      <w:color w:val="auto"/>
                      <w:szCs w:val="21"/>
                      <w:highlight w:val="none"/>
                    </w:rPr>
                  </w:pPr>
                </w:p>
              </w:tc>
            </w:tr>
            <w:tr w14:paraId="48CB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7E62D4F4">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5</w:t>
                  </w:r>
                </w:p>
              </w:tc>
              <w:tc>
                <w:tcPr>
                  <w:tcW w:w="1510" w:type="pct"/>
                  <w:noWrap w:val="0"/>
                  <w:vAlign w:val="center"/>
                </w:tcPr>
                <w:p w14:paraId="4590923E">
                  <w:pPr>
                    <w:keepNext w:val="0"/>
                    <w:keepLines w:val="0"/>
                    <w:widowControl/>
                    <w:suppressLineNumbers w:val="0"/>
                    <w:jc w:val="center"/>
                    <w:rPr>
                      <w:rFonts w:hint="default"/>
                      <w:bCs/>
                      <w:color w:val="auto"/>
                      <w:szCs w:val="21"/>
                      <w:highlight w:val="none"/>
                      <w:lang w:val="en-US" w:eastAsia="zh-CN"/>
                    </w:rPr>
                  </w:pPr>
                  <w:r>
                    <w:rPr>
                      <w:rFonts w:hint="eastAsia"/>
                      <w:bCs/>
                      <w:color w:val="auto"/>
                      <w:szCs w:val="21"/>
                      <w:highlight w:val="none"/>
                      <w:lang w:val="en-US" w:eastAsia="zh-CN"/>
                    </w:rPr>
                    <w:t>开挖量</w:t>
                  </w:r>
                </w:p>
              </w:tc>
              <w:tc>
                <w:tcPr>
                  <w:tcW w:w="551" w:type="pct"/>
                  <w:noWrap w:val="0"/>
                  <w:vAlign w:val="center"/>
                </w:tcPr>
                <w:p w14:paraId="7A88F047">
                  <w:pPr>
                    <w:snapToGrid w:val="0"/>
                    <w:jc w:val="center"/>
                    <w:rPr>
                      <w:rFonts w:hint="default"/>
                      <w:bCs/>
                      <w:color w:val="auto"/>
                      <w:szCs w:val="21"/>
                      <w:highlight w:val="none"/>
                      <w:lang w:val="en-US" w:eastAsia="zh-CN"/>
                    </w:rPr>
                  </w:pPr>
                  <w:r>
                    <w:rPr>
                      <w:rFonts w:hint="eastAsia"/>
                      <w:bCs/>
                      <w:color w:val="auto"/>
                      <w:szCs w:val="21"/>
                      <w:highlight w:val="none"/>
                      <w:lang w:val="en-US" w:eastAsia="zh-CN"/>
                    </w:rPr>
                    <w:t>m</w:t>
                  </w:r>
                  <w:r>
                    <w:rPr>
                      <w:rFonts w:hint="eastAsia"/>
                      <w:bCs/>
                      <w:color w:val="auto"/>
                      <w:szCs w:val="21"/>
                      <w:highlight w:val="none"/>
                      <w:vertAlign w:val="superscript"/>
                      <w:lang w:val="en-US" w:eastAsia="zh-CN"/>
                    </w:rPr>
                    <w:t>3</w:t>
                  </w:r>
                </w:p>
              </w:tc>
              <w:tc>
                <w:tcPr>
                  <w:tcW w:w="1421" w:type="pct"/>
                  <w:noWrap w:val="0"/>
                  <w:vAlign w:val="center"/>
                </w:tcPr>
                <w:p w14:paraId="0807C3B6">
                  <w:pPr>
                    <w:snapToGrid w:val="0"/>
                    <w:jc w:val="center"/>
                    <w:rPr>
                      <w:rFonts w:hint="default"/>
                      <w:bCs/>
                      <w:color w:val="auto"/>
                      <w:szCs w:val="21"/>
                      <w:highlight w:val="none"/>
                      <w:lang w:val="en-US" w:eastAsia="zh-CN"/>
                    </w:rPr>
                  </w:pPr>
                  <w:r>
                    <w:rPr>
                      <w:rFonts w:hint="eastAsia"/>
                      <w:bCs/>
                      <w:color w:val="auto"/>
                      <w:szCs w:val="21"/>
                      <w:highlight w:val="none"/>
                      <w:lang w:val="en-US" w:eastAsia="zh-CN"/>
                    </w:rPr>
                    <w:t>92761.77</w:t>
                  </w:r>
                </w:p>
              </w:tc>
              <w:tc>
                <w:tcPr>
                  <w:tcW w:w="899" w:type="pct"/>
                  <w:noWrap w:val="0"/>
                  <w:vAlign w:val="center"/>
                </w:tcPr>
                <w:p w14:paraId="649578F7">
                  <w:pPr>
                    <w:snapToGrid w:val="0"/>
                    <w:jc w:val="center"/>
                    <w:rPr>
                      <w:rFonts w:hint="eastAsia"/>
                      <w:bCs/>
                      <w:color w:val="auto"/>
                      <w:szCs w:val="21"/>
                      <w:highlight w:val="none"/>
                    </w:rPr>
                  </w:pPr>
                  <w:r>
                    <w:rPr>
                      <w:rFonts w:hint="eastAsia"/>
                      <w:bCs/>
                      <w:color w:val="auto"/>
                      <w:szCs w:val="21"/>
                      <w:highlight w:val="none"/>
                      <w:lang w:val="en-US" w:eastAsia="zh-CN"/>
                    </w:rPr>
                    <w:t>含超挖</w:t>
                  </w:r>
                </w:p>
              </w:tc>
            </w:tr>
            <w:tr w14:paraId="4A6E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17" w:type="pct"/>
                  <w:noWrap w:val="0"/>
                  <w:vAlign w:val="center"/>
                </w:tcPr>
                <w:p w14:paraId="3441111E">
                  <w:pPr>
                    <w:autoSpaceDE w:val="0"/>
                    <w:autoSpaceDN w:val="0"/>
                    <w:snapToGrid w:val="0"/>
                    <w:jc w:val="center"/>
                    <w:rPr>
                      <w:rFonts w:hint="default"/>
                      <w:bCs/>
                      <w:color w:val="auto"/>
                      <w:highlight w:val="none"/>
                      <w:lang w:val="en-US" w:eastAsia="zh-CN"/>
                    </w:rPr>
                  </w:pPr>
                  <w:r>
                    <w:rPr>
                      <w:rFonts w:hint="eastAsia"/>
                      <w:bCs/>
                      <w:color w:val="auto"/>
                      <w:highlight w:val="none"/>
                      <w:lang w:val="en-US" w:eastAsia="zh-CN"/>
                    </w:rPr>
                    <w:t>6</w:t>
                  </w:r>
                </w:p>
              </w:tc>
              <w:tc>
                <w:tcPr>
                  <w:tcW w:w="1510" w:type="pct"/>
                  <w:noWrap w:val="0"/>
                  <w:vAlign w:val="center"/>
                </w:tcPr>
                <w:p w14:paraId="73C0B21D">
                  <w:pPr>
                    <w:snapToGrid w:val="0"/>
                    <w:jc w:val="center"/>
                    <w:rPr>
                      <w:rFonts w:hint="eastAsia"/>
                      <w:bCs/>
                      <w:color w:val="auto"/>
                      <w:szCs w:val="21"/>
                      <w:highlight w:val="none"/>
                      <w:lang w:eastAsia="zh-CN"/>
                    </w:rPr>
                  </w:pPr>
                  <w:r>
                    <w:rPr>
                      <w:rFonts w:hint="eastAsia"/>
                      <w:bCs/>
                      <w:color w:val="auto"/>
                      <w:szCs w:val="21"/>
                      <w:highlight w:val="none"/>
                      <w:lang w:eastAsia="zh-CN"/>
                    </w:rPr>
                    <w:t>建设工期</w:t>
                  </w:r>
                </w:p>
              </w:tc>
              <w:tc>
                <w:tcPr>
                  <w:tcW w:w="551" w:type="pct"/>
                  <w:noWrap w:val="0"/>
                  <w:vAlign w:val="center"/>
                </w:tcPr>
                <w:p w14:paraId="74F43543">
                  <w:pPr>
                    <w:snapToGrid w:val="0"/>
                    <w:jc w:val="center"/>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月</w:t>
                  </w:r>
                </w:p>
              </w:tc>
              <w:tc>
                <w:tcPr>
                  <w:tcW w:w="1421" w:type="pct"/>
                  <w:noWrap w:val="0"/>
                  <w:vAlign w:val="center"/>
                </w:tcPr>
                <w:p w14:paraId="18920FA4">
                  <w:pPr>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3</w:t>
                  </w:r>
                </w:p>
              </w:tc>
              <w:tc>
                <w:tcPr>
                  <w:tcW w:w="899" w:type="pct"/>
                  <w:noWrap w:val="0"/>
                  <w:vAlign w:val="center"/>
                </w:tcPr>
                <w:p w14:paraId="79C0677A">
                  <w:pPr>
                    <w:snapToGrid w:val="0"/>
                    <w:jc w:val="center"/>
                    <w:rPr>
                      <w:rFonts w:hint="default" w:eastAsia="宋体"/>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2026年5月开工，2026年7月完工</w:t>
                  </w:r>
                </w:p>
              </w:tc>
            </w:tr>
          </w:tbl>
          <w:p w14:paraId="3DA04B27">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ascii="Times New Roman" w:hAnsi="Times New Roman" w:eastAsia="宋体" w:cs="Times New Roman"/>
                <w:b/>
                <w:bCs/>
                <w:color w:val="auto"/>
                <w:sz w:val="24"/>
                <w:highlight w:val="none"/>
                <w:u w:val="none"/>
                <w:shd w:val="clear" w:color="auto" w:fill="FFFFFF"/>
                <w:lang w:val="en-US" w:eastAsia="zh-CN"/>
              </w:rPr>
            </w:pPr>
            <w:r>
              <w:rPr>
                <w:rFonts w:hint="eastAsia" w:ascii="Times New Roman" w:hAnsi="Times New Roman" w:eastAsia="宋体" w:cs="Times New Roman"/>
                <w:b/>
                <w:bCs/>
                <w:color w:val="auto"/>
                <w:sz w:val="24"/>
                <w:highlight w:val="none"/>
                <w:u w:val="none"/>
                <w:shd w:val="clear" w:color="auto" w:fill="FFFFFF"/>
                <w:lang w:val="en-US" w:eastAsia="zh-CN"/>
              </w:rPr>
              <w:t>设计代表船型</w:t>
            </w:r>
          </w:p>
          <w:p w14:paraId="78CC862F">
            <w:pPr>
              <w:autoSpaceDE w:val="0"/>
              <w:autoSpaceDN w:val="0"/>
              <w:adjustRightInd w:val="0"/>
              <w:snapToGrid w:val="0"/>
              <w:spacing w:line="360" w:lineRule="auto"/>
              <w:ind w:firstLine="480" w:firstLineChars="200"/>
              <w:rPr>
                <w:rFonts w:hint="eastAsia"/>
                <w:color w:val="auto"/>
                <w:sz w:val="24"/>
                <w:highlight w:val="none"/>
                <w:u w:val="none"/>
                <w:lang w:val="en-US" w:eastAsia="zh-CN"/>
              </w:rPr>
            </w:pPr>
            <w:r>
              <w:rPr>
                <w:rFonts w:hint="eastAsia"/>
                <w:color w:val="auto"/>
                <w:sz w:val="24"/>
                <w:highlight w:val="none"/>
                <w:u w:val="none"/>
                <w:lang w:eastAsia="zh-CN"/>
              </w:rPr>
              <w:t>钦州港金谷港区金鼓江作业区16#、17#泊位</w:t>
            </w:r>
            <w:r>
              <w:rPr>
                <w:rFonts w:hint="eastAsia"/>
                <w:color w:val="auto"/>
                <w:sz w:val="24"/>
                <w:highlight w:val="none"/>
                <w:u w:val="none"/>
                <w:lang w:val="en-US" w:eastAsia="zh-CN"/>
              </w:rPr>
              <w:t>设计代表船型及水位见下表。</w:t>
            </w:r>
          </w:p>
          <w:p w14:paraId="422616E0">
            <w:pPr>
              <w:pStyle w:val="40"/>
              <w:spacing w:before="0" w:beforeAutospacing="0" w:after="0" w:afterAutospacing="0"/>
              <w:jc w:val="center"/>
              <w:rPr>
                <w:rFonts w:hint="eastAsia" w:ascii="Times New Roman" w:hAnsi="Times New Roman" w:eastAsia="宋体" w:cs="Times New Roman"/>
                <w:b/>
                <w:color w:val="auto"/>
                <w:sz w:val="21"/>
                <w:szCs w:val="21"/>
                <w:highlight w:val="none"/>
                <w:u w:val="none"/>
                <w:lang w:val="en-US" w:eastAsia="zh-CN"/>
              </w:rPr>
            </w:pPr>
            <w:r>
              <w:rPr>
                <w:rFonts w:hint="eastAsia" w:ascii="Times New Roman" w:hAnsi="Times New Roman" w:eastAsia="宋体" w:cs="Times New Roman"/>
                <w:b/>
                <w:color w:val="auto"/>
                <w:sz w:val="21"/>
                <w:szCs w:val="21"/>
                <w:highlight w:val="none"/>
                <w:u w:val="none"/>
                <w:lang w:val="en-US" w:eastAsia="zh-CN"/>
              </w:rPr>
              <w:t>表2.2-2设计代表船型表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2335"/>
              <w:gridCol w:w="902"/>
              <w:gridCol w:w="1046"/>
              <w:gridCol w:w="1240"/>
              <w:gridCol w:w="1240"/>
              <w:gridCol w:w="1241"/>
            </w:tblGrid>
            <w:tr w14:paraId="0492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15" w:type="pct"/>
                  <w:gridSpan w:val="2"/>
                  <w:noWrap w:val="0"/>
                  <w:vAlign w:val="center"/>
                </w:tcPr>
                <w:p w14:paraId="0893063C">
                  <w:pPr>
                    <w:snapToGrid w:val="0"/>
                    <w:jc w:val="center"/>
                    <w:rPr>
                      <w:rFonts w:hint="default" w:ascii="Times New Roman" w:hAnsi="Times New Roman"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船型</w:t>
                  </w:r>
                </w:p>
              </w:tc>
              <w:tc>
                <w:tcPr>
                  <w:tcW w:w="538" w:type="pct"/>
                  <w:noWrap w:val="0"/>
                  <w:vAlign w:val="center"/>
                </w:tcPr>
                <w:p w14:paraId="2E7B19D2">
                  <w:pPr>
                    <w:snapToGrid w:val="0"/>
                    <w:jc w:val="center"/>
                    <w:rPr>
                      <w:rFonts w:hint="eastAsia"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总长</w:t>
                  </w:r>
                </w:p>
              </w:tc>
              <w:tc>
                <w:tcPr>
                  <w:tcW w:w="624" w:type="pct"/>
                  <w:noWrap w:val="0"/>
                  <w:vAlign w:val="center"/>
                </w:tcPr>
                <w:p w14:paraId="4F6C79DF">
                  <w:pPr>
                    <w:snapToGrid w:val="0"/>
                    <w:jc w:val="center"/>
                    <w:rPr>
                      <w:rFonts w:hint="default"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超宽</w:t>
                  </w:r>
                </w:p>
              </w:tc>
              <w:tc>
                <w:tcPr>
                  <w:tcW w:w="740" w:type="pct"/>
                  <w:noWrap w:val="0"/>
                  <w:vAlign w:val="center"/>
                </w:tcPr>
                <w:p w14:paraId="4285E392">
                  <w:pPr>
                    <w:snapToGrid w:val="0"/>
                    <w:jc w:val="center"/>
                    <w:rPr>
                      <w:rFonts w:hint="default"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型深</w:t>
                  </w:r>
                </w:p>
              </w:tc>
              <w:tc>
                <w:tcPr>
                  <w:tcW w:w="740" w:type="pct"/>
                  <w:noWrap w:val="0"/>
                  <w:vAlign w:val="center"/>
                </w:tcPr>
                <w:p w14:paraId="7AE128E9">
                  <w:pPr>
                    <w:snapToGrid w:val="0"/>
                    <w:jc w:val="center"/>
                    <w:rPr>
                      <w:rFonts w:hint="eastAsia"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满载吃水</w:t>
                  </w:r>
                </w:p>
              </w:tc>
              <w:tc>
                <w:tcPr>
                  <w:tcW w:w="740" w:type="pct"/>
                  <w:noWrap w:val="0"/>
                  <w:vAlign w:val="center"/>
                </w:tcPr>
                <w:p w14:paraId="5F61C77D">
                  <w:pPr>
                    <w:snapToGrid w:val="0"/>
                    <w:jc w:val="center"/>
                    <w:rPr>
                      <w:rFonts w:hint="eastAsia"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备注</w:t>
                  </w:r>
                </w:p>
              </w:tc>
            </w:tr>
            <w:tr w14:paraId="354D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restart"/>
                  <w:noWrap w:val="0"/>
                  <w:vAlign w:val="center"/>
                </w:tcPr>
                <w:p w14:paraId="4D2EEECD">
                  <w:pPr>
                    <w:snapToGrid w:val="0"/>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化学品船</w:t>
                  </w:r>
                </w:p>
              </w:tc>
              <w:tc>
                <w:tcPr>
                  <w:tcW w:w="1393" w:type="pct"/>
                  <w:noWrap w:val="0"/>
                  <w:vAlign w:val="center"/>
                </w:tcPr>
                <w:p w14:paraId="7265A7A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5万吨级化学品船</w:t>
                  </w:r>
                </w:p>
              </w:tc>
              <w:tc>
                <w:tcPr>
                  <w:tcW w:w="538" w:type="pct"/>
                  <w:noWrap w:val="0"/>
                  <w:vAlign w:val="center"/>
                </w:tcPr>
                <w:p w14:paraId="153E5573">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183</w:t>
                  </w:r>
                </w:p>
              </w:tc>
              <w:tc>
                <w:tcPr>
                  <w:tcW w:w="624" w:type="pct"/>
                  <w:noWrap w:val="0"/>
                  <w:vAlign w:val="center"/>
                </w:tcPr>
                <w:p w14:paraId="19F27957">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32.2</w:t>
                  </w:r>
                </w:p>
              </w:tc>
              <w:tc>
                <w:tcPr>
                  <w:tcW w:w="740" w:type="pct"/>
                  <w:noWrap w:val="0"/>
                  <w:vAlign w:val="center"/>
                </w:tcPr>
                <w:p w14:paraId="6DD996DF">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19.1</w:t>
                  </w:r>
                </w:p>
              </w:tc>
              <w:tc>
                <w:tcPr>
                  <w:tcW w:w="740" w:type="pct"/>
                  <w:noWrap w:val="0"/>
                  <w:vAlign w:val="center"/>
                </w:tcPr>
                <w:p w14:paraId="1B78FD90">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12.9</w:t>
                  </w:r>
                </w:p>
              </w:tc>
              <w:tc>
                <w:tcPr>
                  <w:tcW w:w="740" w:type="pct"/>
                  <w:noWrap w:val="0"/>
                  <w:vAlign w:val="center"/>
                </w:tcPr>
                <w:p w14:paraId="78928FA8">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设计船型</w:t>
                  </w:r>
                </w:p>
              </w:tc>
            </w:tr>
            <w:tr w14:paraId="3D01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1E299E42">
                  <w:pPr>
                    <w:snapToGrid w:val="0"/>
                    <w:jc w:val="center"/>
                    <w:rPr>
                      <w:rFonts w:hint="default" w:ascii="Times New Roman" w:hAnsi="Times New Roman" w:cs="Times New Roman"/>
                      <w:color w:val="auto"/>
                      <w:sz w:val="21"/>
                      <w:szCs w:val="21"/>
                      <w:highlight w:val="none"/>
                      <w:u w:val="none"/>
                      <w:lang w:val="en-US" w:eastAsia="zh-CN"/>
                    </w:rPr>
                  </w:pPr>
                </w:p>
              </w:tc>
              <w:tc>
                <w:tcPr>
                  <w:tcW w:w="1393" w:type="pct"/>
                  <w:noWrap w:val="0"/>
                  <w:vAlign w:val="center"/>
                </w:tcPr>
                <w:p w14:paraId="5ED42262">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38328322">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183</w:t>
                  </w:r>
                </w:p>
              </w:tc>
              <w:tc>
                <w:tcPr>
                  <w:tcW w:w="624" w:type="pct"/>
                  <w:noWrap w:val="0"/>
                  <w:vAlign w:val="center"/>
                </w:tcPr>
                <w:p w14:paraId="51DF6AAC">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32.2</w:t>
                  </w:r>
                </w:p>
              </w:tc>
              <w:tc>
                <w:tcPr>
                  <w:tcW w:w="740" w:type="pct"/>
                  <w:noWrap w:val="0"/>
                  <w:vAlign w:val="center"/>
                </w:tcPr>
                <w:p w14:paraId="319DF30A">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17.6</w:t>
                  </w:r>
                </w:p>
              </w:tc>
              <w:tc>
                <w:tcPr>
                  <w:tcW w:w="740" w:type="pct"/>
                  <w:noWrap w:val="0"/>
                  <w:vAlign w:val="center"/>
                </w:tcPr>
                <w:p w14:paraId="5F1C690A">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11.9</w:t>
                  </w:r>
                </w:p>
              </w:tc>
              <w:tc>
                <w:tcPr>
                  <w:tcW w:w="740" w:type="pct"/>
                  <w:noWrap w:val="0"/>
                  <w:vAlign w:val="center"/>
                </w:tcPr>
                <w:p w14:paraId="1977FAB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6477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50B19A66">
                  <w:pPr>
                    <w:snapToGrid w:val="0"/>
                    <w:jc w:val="center"/>
                    <w:rPr>
                      <w:rFonts w:hint="default" w:ascii="Times New Roman" w:hAnsi="Times New Roman" w:eastAsia="宋体" w:cs="Times New Roman"/>
                      <w:color w:val="auto"/>
                      <w:sz w:val="21"/>
                      <w:szCs w:val="21"/>
                      <w:highlight w:val="none"/>
                      <w:u w:val="none"/>
                      <w:lang w:val="en-US" w:eastAsia="zh-CN"/>
                    </w:rPr>
                  </w:pPr>
                </w:p>
              </w:tc>
              <w:tc>
                <w:tcPr>
                  <w:tcW w:w="1393" w:type="pct"/>
                  <w:noWrap w:val="0"/>
                  <w:vAlign w:val="center"/>
                </w:tcPr>
                <w:p w14:paraId="1B293B83">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4F6D18FF">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160</w:t>
                  </w:r>
                </w:p>
              </w:tc>
              <w:tc>
                <w:tcPr>
                  <w:tcW w:w="624" w:type="pct"/>
                  <w:noWrap w:val="0"/>
                  <w:vAlign w:val="center"/>
                </w:tcPr>
                <w:p w14:paraId="6A0F2451">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24.2</w:t>
                  </w:r>
                </w:p>
              </w:tc>
              <w:tc>
                <w:tcPr>
                  <w:tcW w:w="740" w:type="pct"/>
                  <w:noWrap w:val="0"/>
                  <w:vAlign w:val="center"/>
                </w:tcPr>
                <w:p w14:paraId="27E028F9">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13.4</w:t>
                  </w:r>
                </w:p>
              </w:tc>
              <w:tc>
                <w:tcPr>
                  <w:tcW w:w="740" w:type="pct"/>
                  <w:noWrap w:val="0"/>
                  <w:vAlign w:val="center"/>
                </w:tcPr>
                <w:p w14:paraId="3CD4D56E">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9.8</w:t>
                  </w:r>
                </w:p>
              </w:tc>
              <w:tc>
                <w:tcPr>
                  <w:tcW w:w="740" w:type="pct"/>
                  <w:noWrap w:val="0"/>
                  <w:vAlign w:val="center"/>
                </w:tcPr>
                <w:p w14:paraId="4E079CFF">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27DF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06BB9858">
                  <w:pPr>
                    <w:snapToGrid w:val="0"/>
                    <w:jc w:val="center"/>
                    <w:rPr>
                      <w:rFonts w:hint="default" w:ascii="Times New Roman" w:hAnsi="Times New Roman" w:eastAsia="宋体" w:cs="Times New Roman"/>
                      <w:color w:val="auto"/>
                      <w:sz w:val="21"/>
                      <w:szCs w:val="21"/>
                      <w:highlight w:val="none"/>
                      <w:u w:val="none"/>
                      <w:lang w:val="en-US" w:eastAsia="zh-CN"/>
                    </w:rPr>
                  </w:pPr>
                </w:p>
              </w:tc>
              <w:tc>
                <w:tcPr>
                  <w:tcW w:w="1393" w:type="pct"/>
                  <w:noWrap w:val="0"/>
                  <w:vAlign w:val="center"/>
                </w:tcPr>
                <w:p w14:paraId="09F2BFF5">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4CA30316">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127</w:t>
                  </w:r>
                </w:p>
              </w:tc>
              <w:tc>
                <w:tcPr>
                  <w:tcW w:w="624" w:type="pct"/>
                  <w:noWrap w:val="0"/>
                  <w:vAlign w:val="center"/>
                </w:tcPr>
                <w:p w14:paraId="348DCAF1">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20</w:t>
                  </w:r>
                </w:p>
              </w:tc>
              <w:tc>
                <w:tcPr>
                  <w:tcW w:w="740" w:type="pct"/>
                  <w:noWrap w:val="0"/>
                  <w:vAlign w:val="center"/>
                </w:tcPr>
                <w:p w14:paraId="5D5C2A97">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w:t>
                  </w:r>
                </w:p>
              </w:tc>
              <w:tc>
                <w:tcPr>
                  <w:tcW w:w="740" w:type="pct"/>
                  <w:noWrap w:val="0"/>
                  <w:vAlign w:val="center"/>
                </w:tcPr>
                <w:p w14:paraId="7867C0E8">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8.4</w:t>
                  </w:r>
                </w:p>
              </w:tc>
              <w:tc>
                <w:tcPr>
                  <w:tcW w:w="740" w:type="pct"/>
                  <w:noWrap w:val="0"/>
                  <w:vAlign w:val="center"/>
                </w:tcPr>
                <w:p w14:paraId="2ED4C4EC">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74E6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03074E5C">
                  <w:pPr>
                    <w:snapToGrid w:val="0"/>
                    <w:jc w:val="center"/>
                    <w:rPr>
                      <w:rFonts w:hint="default" w:ascii="Times New Roman" w:hAnsi="Times New Roman" w:cs="Times New Roman"/>
                      <w:color w:val="auto"/>
                      <w:sz w:val="21"/>
                      <w:szCs w:val="21"/>
                      <w:highlight w:val="none"/>
                      <w:u w:val="none"/>
                      <w:lang w:val="en-US" w:eastAsia="zh-CN"/>
                    </w:rPr>
                  </w:pPr>
                </w:p>
              </w:tc>
              <w:tc>
                <w:tcPr>
                  <w:tcW w:w="1393" w:type="pct"/>
                  <w:noWrap w:val="0"/>
                  <w:vAlign w:val="center"/>
                </w:tcPr>
                <w:p w14:paraId="3D045ADF">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5000</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04BE272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114</w:t>
                  </w:r>
                </w:p>
              </w:tc>
              <w:tc>
                <w:tcPr>
                  <w:tcW w:w="624" w:type="pct"/>
                  <w:noWrap w:val="0"/>
                  <w:vAlign w:val="center"/>
                </w:tcPr>
                <w:p w14:paraId="738FB644">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17.6</w:t>
                  </w:r>
                </w:p>
              </w:tc>
              <w:tc>
                <w:tcPr>
                  <w:tcW w:w="740" w:type="pct"/>
                  <w:noWrap w:val="0"/>
                  <w:vAlign w:val="center"/>
                </w:tcPr>
                <w:p w14:paraId="2F378267">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8.8</w:t>
                  </w:r>
                </w:p>
              </w:tc>
              <w:tc>
                <w:tcPr>
                  <w:tcW w:w="740" w:type="pct"/>
                  <w:noWrap w:val="0"/>
                  <w:vAlign w:val="center"/>
                </w:tcPr>
                <w:p w14:paraId="4A6CB76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7.0</w:t>
                  </w:r>
                </w:p>
              </w:tc>
              <w:tc>
                <w:tcPr>
                  <w:tcW w:w="740" w:type="pct"/>
                  <w:noWrap w:val="0"/>
                  <w:vAlign w:val="center"/>
                </w:tcPr>
                <w:p w14:paraId="2BF08DD0">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6B4D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150BF7ED">
                  <w:pPr>
                    <w:snapToGrid w:val="0"/>
                    <w:jc w:val="center"/>
                    <w:rPr>
                      <w:rFonts w:hint="default" w:ascii="Times New Roman" w:hAnsi="Times New Roman" w:cs="Times New Roman"/>
                      <w:color w:val="auto"/>
                      <w:sz w:val="21"/>
                      <w:szCs w:val="21"/>
                      <w:highlight w:val="none"/>
                      <w:u w:val="none"/>
                      <w:lang w:val="en-US" w:eastAsia="zh-CN"/>
                    </w:rPr>
                  </w:pPr>
                </w:p>
              </w:tc>
              <w:tc>
                <w:tcPr>
                  <w:tcW w:w="1393" w:type="pct"/>
                  <w:noWrap w:val="0"/>
                  <w:vAlign w:val="center"/>
                </w:tcPr>
                <w:p w14:paraId="66EC55C1">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3000</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14BDA3A8">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99</w:t>
                  </w:r>
                </w:p>
              </w:tc>
              <w:tc>
                <w:tcPr>
                  <w:tcW w:w="624" w:type="pct"/>
                  <w:noWrap w:val="0"/>
                  <w:vAlign w:val="center"/>
                </w:tcPr>
                <w:p w14:paraId="09725F5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14.6</w:t>
                  </w:r>
                </w:p>
              </w:tc>
              <w:tc>
                <w:tcPr>
                  <w:tcW w:w="740" w:type="pct"/>
                  <w:noWrap w:val="0"/>
                  <w:vAlign w:val="center"/>
                </w:tcPr>
                <w:p w14:paraId="5095FEF8">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7.6</w:t>
                  </w:r>
                </w:p>
              </w:tc>
              <w:tc>
                <w:tcPr>
                  <w:tcW w:w="740" w:type="pct"/>
                  <w:noWrap w:val="0"/>
                  <w:vAlign w:val="center"/>
                </w:tcPr>
                <w:p w14:paraId="0805B7F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6.0</w:t>
                  </w:r>
                </w:p>
              </w:tc>
              <w:tc>
                <w:tcPr>
                  <w:tcW w:w="740" w:type="pct"/>
                  <w:noWrap w:val="0"/>
                  <w:vAlign w:val="center"/>
                </w:tcPr>
                <w:p w14:paraId="6CBB60F2">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21D0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526D3A95">
                  <w:pPr>
                    <w:snapToGrid w:val="0"/>
                    <w:jc w:val="center"/>
                    <w:rPr>
                      <w:rFonts w:hint="default" w:ascii="Times New Roman" w:hAnsi="Times New Roman" w:cs="Times New Roman"/>
                      <w:color w:val="auto"/>
                      <w:sz w:val="21"/>
                      <w:szCs w:val="21"/>
                      <w:highlight w:val="none"/>
                      <w:u w:val="none"/>
                      <w:lang w:val="en-US" w:eastAsia="zh-CN"/>
                    </w:rPr>
                  </w:pPr>
                </w:p>
              </w:tc>
              <w:tc>
                <w:tcPr>
                  <w:tcW w:w="1393" w:type="pct"/>
                  <w:noWrap w:val="0"/>
                  <w:vAlign w:val="center"/>
                </w:tcPr>
                <w:p w14:paraId="18EB26BF">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2000</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0E2C136D">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87</w:t>
                  </w:r>
                </w:p>
              </w:tc>
              <w:tc>
                <w:tcPr>
                  <w:tcW w:w="624" w:type="pct"/>
                  <w:noWrap w:val="0"/>
                  <w:vAlign w:val="center"/>
                </w:tcPr>
                <w:p w14:paraId="25D801B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12.5</w:t>
                  </w:r>
                </w:p>
              </w:tc>
              <w:tc>
                <w:tcPr>
                  <w:tcW w:w="740" w:type="pct"/>
                  <w:noWrap w:val="0"/>
                  <w:vAlign w:val="center"/>
                </w:tcPr>
                <w:p w14:paraId="026C711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5.9</w:t>
                  </w:r>
                </w:p>
              </w:tc>
              <w:tc>
                <w:tcPr>
                  <w:tcW w:w="740" w:type="pct"/>
                  <w:noWrap w:val="0"/>
                  <w:vAlign w:val="center"/>
                </w:tcPr>
                <w:p w14:paraId="28C20A1C">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5</w:t>
                  </w:r>
                </w:p>
              </w:tc>
              <w:tc>
                <w:tcPr>
                  <w:tcW w:w="740" w:type="pct"/>
                  <w:noWrap w:val="0"/>
                  <w:vAlign w:val="center"/>
                </w:tcPr>
                <w:p w14:paraId="795DF7B8">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r w14:paraId="17AC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2" w:type="pct"/>
                  <w:vMerge w:val="continue"/>
                  <w:noWrap w:val="0"/>
                  <w:vAlign w:val="center"/>
                </w:tcPr>
                <w:p w14:paraId="02159E14">
                  <w:pPr>
                    <w:snapToGrid w:val="0"/>
                    <w:jc w:val="center"/>
                    <w:rPr>
                      <w:rFonts w:hint="default" w:ascii="Times New Roman" w:hAnsi="Times New Roman" w:cs="Times New Roman"/>
                      <w:color w:val="auto"/>
                      <w:sz w:val="21"/>
                      <w:szCs w:val="21"/>
                      <w:highlight w:val="none"/>
                      <w:u w:val="none"/>
                      <w:lang w:val="en-US" w:eastAsia="zh-CN"/>
                    </w:rPr>
                  </w:pPr>
                </w:p>
              </w:tc>
              <w:tc>
                <w:tcPr>
                  <w:tcW w:w="1393" w:type="pct"/>
                  <w:noWrap w:val="0"/>
                  <w:vAlign w:val="center"/>
                </w:tcPr>
                <w:p w14:paraId="375F1751">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1000</w:t>
                  </w:r>
                  <w:r>
                    <w:rPr>
                      <w:rFonts w:hint="default" w:ascii="Times New Roman" w:hAnsi="Times New Roman" w:eastAsia="宋体" w:cs="Times New Roman"/>
                      <w:color w:val="auto"/>
                      <w:kern w:val="2"/>
                      <w:sz w:val="21"/>
                      <w:szCs w:val="21"/>
                      <w:highlight w:val="none"/>
                      <w:u w:val="none"/>
                      <w:lang w:val="en-US" w:eastAsia="zh-CN" w:bidi="ar-SA"/>
                    </w:rPr>
                    <w:t>万吨级化学品船</w:t>
                  </w:r>
                </w:p>
              </w:tc>
              <w:tc>
                <w:tcPr>
                  <w:tcW w:w="538" w:type="pct"/>
                  <w:noWrap w:val="0"/>
                  <w:vAlign w:val="center"/>
                </w:tcPr>
                <w:p w14:paraId="4562432B">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86</w:t>
                  </w:r>
                </w:p>
              </w:tc>
              <w:tc>
                <w:tcPr>
                  <w:tcW w:w="624" w:type="pct"/>
                  <w:noWrap w:val="0"/>
                  <w:vAlign w:val="center"/>
                </w:tcPr>
                <w:p w14:paraId="4A5A035A">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11.3</w:t>
                  </w:r>
                </w:p>
              </w:tc>
              <w:tc>
                <w:tcPr>
                  <w:tcW w:w="740" w:type="pct"/>
                  <w:noWrap w:val="0"/>
                  <w:vAlign w:val="center"/>
                </w:tcPr>
                <w:p w14:paraId="4E7A3C59">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5.3</w:t>
                  </w:r>
                </w:p>
              </w:tc>
              <w:tc>
                <w:tcPr>
                  <w:tcW w:w="740" w:type="pct"/>
                  <w:noWrap w:val="0"/>
                  <w:vAlign w:val="center"/>
                </w:tcPr>
                <w:p w14:paraId="215BA0FE">
                  <w:pPr>
                    <w:snapToGrid w:val="0"/>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4.3</w:t>
                  </w:r>
                </w:p>
              </w:tc>
              <w:tc>
                <w:tcPr>
                  <w:tcW w:w="740" w:type="pct"/>
                  <w:noWrap w:val="0"/>
                  <w:vAlign w:val="center"/>
                </w:tcPr>
                <w:p w14:paraId="782DF059">
                  <w:pPr>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兼顾船型</w:t>
                  </w:r>
                </w:p>
              </w:tc>
            </w:tr>
          </w:tbl>
          <w:p w14:paraId="7268F4FB">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b/>
                <w:bCs/>
                <w:color w:val="auto"/>
                <w:sz w:val="24"/>
                <w:highlight w:val="none"/>
                <w:u w:val="none"/>
                <w:shd w:val="clear" w:color="auto" w:fill="FFFFFF"/>
                <w:lang w:val="en-US" w:eastAsia="zh-CN"/>
              </w:rPr>
            </w:pPr>
            <w:r>
              <w:rPr>
                <w:rFonts w:hint="eastAsia" w:ascii="Times New Roman" w:hAnsi="Times New Roman" w:eastAsia="宋体" w:cs="Times New Roman"/>
                <w:b/>
                <w:bCs/>
                <w:color w:val="auto"/>
                <w:sz w:val="24"/>
                <w:highlight w:val="none"/>
                <w:u w:val="none"/>
                <w:shd w:val="clear" w:color="auto" w:fill="FFFFFF"/>
                <w:lang w:val="en-US" w:eastAsia="zh-CN"/>
              </w:rPr>
              <w:t>设计主尺寸</w:t>
            </w:r>
          </w:p>
          <w:p w14:paraId="548E3C93">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none"/>
                <w:shd w:val="clear" w:color="auto" w:fill="auto"/>
                <w:lang w:eastAsia="zh-CN"/>
              </w:rPr>
            </w:pPr>
            <w:r>
              <w:rPr>
                <w:rFonts w:hint="eastAsia" w:ascii="Times New Roman" w:hAnsi="Times New Roman" w:eastAsia="宋体" w:cs="Times New Roman"/>
                <w:b w:val="0"/>
                <w:bCs w:val="0"/>
                <w:color w:val="auto"/>
                <w:sz w:val="24"/>
                <w:highlight w:val="none"/>
                <w:u w:val="none"/>
                <w:shd w:val="clear" w:color="auto" w:fill="auto"/>
                <w:lang w:eastAsia="zh-CN"/>
              </w:rPr>
              <w:t>泊位总长度</w:t>
            </w:r>
            <w:r>
              <w:rPr>
                <w:rFonts w:hint="eastAsia" w:ascii="Times New Roman" w:hAnsi="Times New Roman" w:eastAsia="宋体" w:cs="Times New Roman"/>
                <w:b w:val="0"/>
                <w:bCs w:val="0"/>
                <w:color w:val="auto"/>
                <w:sz w:val="24"/>
                <w:highlight w:val="none"/>
                <w:u w:val="none"/>
                <w:shd w:val="clear" w:color="auto" w:fill="auto"/>
                <w:lang w:val="en-US" w:eastAsia="zh-CN"/>
              </w:rPr>
              <w:t>491m</w:t>
            </w:r>
          </w:p>
          <w:p w14:paraId="23C84C5F">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码头前沿高程6.3m</w:t>
            </w:r>
          </w:p>
          <w:p w14:paraId="00619A60">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码头前沿设计底高程</w:t>
            </w:r>
            <w:r>
              <w:rPr>
                <w:rFonts w:hint="default" w:ascii="Times New Roman" w:hAnsi="Times New Roman" w:eastAsia="宋体" w:cs="Times New Roman"/>
                <w:b w:val="0"/>
                <w:bCs w:val="0"/>
                <w:color w:val="auto"/>
                <w:sz w:val="24"/>
                <w:highlight w:val="none"/>
                <w:u w:val="none"/>
                <w:shd w:val="clear" w:color="auto" w:fill="auto"/>
                <w:lang w:val="en-US" w:eastAsia="zh-CN"/>
              </w:rPr>
              <w:t>-13.7m</w:t>
            </w:r>
            <w:r>
              <w:rPr>
                <w:rFonts w:hint="eastAsia" w:ascii="Times New Roman" w:hAnsi="Times New Roman" w:eastAsia="宋体" w:cs="Times New Roman"/>
                <w:b w:val="0"/>
                <w:bCs w:val="0"/>
                <w:color w:val="auto"/>
                <w:sz w:val="24"/>
                <w:highlight w:val="none"/>
                <w:u w:val="none"/>
                <w:shd w:val="clear" w:color="auto" w:fill="auto"/>
                <w:lang w:val="en-US" w:eastAsia="zh-CN"/>
              </w:rPr>
              <w:t>；</w:t>
            </w:r>
          </w:p>
          <w:p w14:paraId="56F25770">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码头前沿停泊水域宽度</w:t>
            </w:r>
            <w:r>
              <w:rPr>
                <w:rFonts w:hint="default" w:ascii="Times New Roman" w:hAnsi="Times New Roman" w:eastAsia="宋体" w:cs="Times New Roman"/>
                <w:b w:val="0"/>
                <w:bCs w:val="0"/>
                <w:color w:val="auto"/>
                <w:sz w:val="24"/>
                <w:highlight w:val="none"/>
                <w:u w:val="none"/>
                <w:shd w:val="clear" w:color="auto" w:fill="auto"/>
                <w:lang w:val="en-US" w:eastAsia="zh-CN"/>
              </w:rPr>
              <w:t>65m</w:t>
            </w:r>
            <w:r>
              <w:rPr>
                <w:rFonts w:hint="eastAsia" w:ascii="Times New Roman" w:hAnsi="Times New Roman" w:eastAsia="宋体" w:cs="Times New Roman"/>
                <w:b w:val="0"/>
                <w:bCs w:val="0"/>
                <w:color w:val="auto"/>
                <w:sz w:val="24"/>
                <w:highlight w:val="none"/>
                <w:u w:val="none"/>
                <w:shd w:val="clear" w:color="auto" w:fill="auto"/>
                <w:lang w:val="en-US" w:eastAsia="zh-CN"/>
              </w:rPr>
              <w:t>；</w:t>
            </w:r>
          </w:p>
          <w:p w14:paraId="032FF09E">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码头回旋水域设计底高程</w:t>
            </w:r>
            <w:r>
              <w:rPr>
                <w:rFonts w:hint="default" w:ascii="Times New Roman" w:hAnsi="Times New Roman" w:eastAsia="宋体" w:cs="Times New Roman"/>
                <w:b w:val="0"/>
                <w:bCs w:val="0"/>
                <w:color w:val="auto"/>
                <w:sz w:val="24"/>
                <w:highlight w:val="none"/>
                <w:u w:val="none"/>
                <w:shd w:val="clear" w:color="auto" w:fill="auto"/>
                <w:lang w:val="en-US" w:eastAsia="zh-CN"/>
              </w:rPr>
              <w:t>-</w:t>
            </w:r>
            <w:r>
              <w:rPr>
                <w:rFonts w:hint="eastAsia" w:ascii="Times New Roman" w:hAnsi="Times New Roman" w:eastAsia="宋体" w:cs="Times New Roman"/>
                <w:b w:val="0"/>
                <w:bCs w:val="0"/>
                <w:color w:val="auto"/>
                <w:sz w:val="24"/>
                <w:highlight w:val="none"/>
                <w:u w:val="none"/>
                <w:shd w:val="clear" w:color="auto" w:fill="auto"/>
                <w:lang w:val="en-US" w:eastAsia="zh-CN"/>
              </w:rPr>
              <w:t>11.3</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eastAsia" w:ascii="Times New Roman" w:hAnsi="Times New Roman" w:eastAsia="宋体" w:cs="Times New Roman"/>
                <w:b w:val="0"/>
                <w:bCs w:val="0"/>
                <w:color w:val="auto"/>
                <w:sz w:val="24"/>
                <w:highlight w:val="none"/>
                <w:u w:val="none"/>
                <w:shd w:val="clear" w:color="auto" w:fill="auto"/>
                <w:lang w:val="en-US" w:eastAsia="zh-CN"/>
              </w:rPr>
              <w:t>；</w:t>
            </w:r>
          </w:p>
          <w:p w14:paraId="22F85614">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ascii="Times New Roman" w:hAnsi="Times New Roman" w:eastAsia="宋体" w:cs="Times New Roman"/>
                <w:b/>
                <w:bCs/>
                <w:color w:val="auto"/>
                <w:sz w:val="24"/>
                <w:highlight w:val="none"/>
                <w:u w:val="single"/>
                <w:shd w:val="clear" w:color="auto" w:fill="FFFFFF"/>
                <w:lang w:val="en-US" w:eastAsia="zh-CN"/>
              </w:rPr>
            </w:pPr>
            <w:r>
              <w:rPr>
                <w:rFonts w:hint="eastAsia" w:ascii="Times New Roman" w:hAnsi="Times New Roman" w:eastAsia="宋体" w:cs="Times New Roman"/>
                <w:b/>
                <w:bCs/>
                <w:color w:val="auto"/>
                <w:sz w:val="24"/>
                <w:highlight w:val="none"/>
                <w:u w:val="single"/>
                <w:shd w:val="clear" w:color="auto" w:fill="FFFFFF"/>
                <w:lang w:val="en-US" w:eastAsia="zh-CN"/>
              </w:rPr>
              <w:t>潮位数据</w:t>
            </w:r>
          </w:p>
          <w:p w14:paraId="408D73D5">
            <w:pPr>
              <w:numPr>
                <w:ilvl w:val="0"/>
                <w:numId w:val="0"/>
              </w:numPr>
              <w:spacing w:line="360" w:lineRule="auto"/>
              <w:ind w:left="420" w:leftChars="0"/>
              <w:rPr>
                <w:rFonts w:hint="default"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平均海面2.40m；</w:t>
            </w:r>
          </w:p>
          <w:p w14:paraId="294C61A7">
            <w:pPr>
              <w:numPr>
                <w:ilvl w:val="0"/>
                <w:numId w:val="0"/>
              </w:numPr>
              <w:spacing w:line="360" w:lineRule="auto"/>
              <w:ind w:left="420" w:leftChars="0"/>
              <w:rPr>
                <w:rFonts w:hint="default"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最高高潮位5.</w:t>
            </w:r>
            <w:r>
              <w:rPr>
                <w:rFonts w:hint="eastAsia" w:cs="Times New Roman"/>
                <w:b w:val="0"/>
                <w:bCs w:val="0"/>
                <w:color w:val="auto"/>
                <w:sz w:val="24"/>
                <w:highlight w:val="none"/>
                <w:u w:val="single"/>
                <w:shd w:val="clear" w:color="auto" w:fill="auto"/>
                <w:lang w:val="en-US" w:eastAsia="zh-CN"/>
              </w:rPr>
              <w:t>77</w:t>
            </w:r>
            <w:r>
              <w:rPr>
                <w:rFonts w:hint="eastAsia" w:ascii="Times New Roman" w:hAnsi="Times New Roman" w:eastAsia="宋体" w:cs="Times New Roman"/>
                <w:b w:val="0"/>
                <w:bCs w:val="0"/>
                <w:color w:val="auto"/>
                <w:sz w:val="24"/>
                <w:highlight w:val="none"/>
                <w:u w:val="single"/>
                <w:shd w:val="clear" w:color="auto" w:fill="auto"/>
                <w:lang w:val="en-US" w:eastAsia="zh-CN"/>
              </w:rPr>
              <w:t>m；</w:t>
            </w:r>
          </w:p>
          <w:p w14:paraId="7CE9DFD9">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最低低潮位-0.39m；</w:t>
            </w:r>
          </w:p>
          <w:p w14:paraId="68332855">
            <w:pPr>
              <w:numPr>
                <w:ilvl w:val="0"/>
                <w:numId w:val="0"/>
              </w:numPr>
              <w:spacing w:line="360" w:lineRule="auto"/>
              <w:ind w:left="420" w:leftChars="0"/>
              <w:rPr>
                <w:rFonts w:hint="eastAsia"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平均高潮位3.61m；</w:t>
            </w:r>
          </w:p>
          <w:p w14:paraId="6751F815">
            <w:pPr>
              <w:numPr>
                <w:ilvl w:val="0"/>
                <w:numId w:val="0"/>
              </w:numPr>
              <w:spacing w:line="360" w:lineRule="auto"/>
              <w:ind w:left="420" w:leftChars="0"/>
              <w:rPr>
                <w:rFonts w:hint="default"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平均低潮位1.20m。</w:t>
            </w:r>
          </w:p>
          <w:p w14:paraId="5BA65FED">
            <w:pPr>
              <w:keepNext w:val="0"/>
              <w:keepLines w:val="0"/>
              <w:pageBreakBefore w:val="0"/>
              <w:widowControl w:val="0"/>
              <w:numPr>
                <w:ilvl w:val="0"/>
                <w:numId w:val="7"/>
              </w:numPr>
              <w:tabs>
                <w:tab w:val="clear" w:pos="0"/>
              </w:tabs>
              <w:kinsoku/>
              <w:wordWrap/>
              <w:overflowPunct/>
              <w:topLinePunct w:val="0"/>
              <w:autoSpaceDE/>
              <w:autoSpaceDN/>
              <w:bidi w:val="0"/>
              <w:adjustRightInd/>
              <w:snapToGrid/>
              <w:spacing w:line="360" w:lineRule="auto"/>
              <w:ind w:left="0" w:leftChars="0" w:firstLine="420" w:firstLineChars="0"/>
              <w:textAlignment w:val="auto"/>
              <w:rPr>
                <w:rFonts w:hint="eastAsia" w:ascii="Times New Roman" w:hAnsi="Times New Roman" w:eastAsia="宋体" w:cs="Times New Roman"/>
                <w:b/>
                <w:bCs/>
                <w:color w:val="auto"/>
                <w:sz w:val="24"/>
                <w:highlight w:val="none"/>
                <w:u w:val="single"/>
                <w:shd w:val="clear" w:color="auto" w:fill="FFFFFF"/>
                <w:lang w:val="en-US" w:eastAsia="zh-CN"/>
              </w:rPr>
            </w:pPr>
            <w:r>
              <w:rPr>
                <w:rFonts w:hint="eastAsia" w:ascii="Times New Roman" w:hAnsi="Times New Roman" w:eastAsia="宋体" w:cs="Times New Roman"/>
                <w:b/>
                <w:bCs/>
                <w:color w:val="auto"/>
                <w:sz w:val="24"/>
                <w:highlight w:val="none"/>
                <w:u w:val="single"/>
                <w:shd w:val="clear" w:color="auto" w:fill="FFFFFF"/>
                <w:lang w:val="en-US" w:eastAsia="zh-CN"/>
              </w:rPr>
              <w:t>船舶靠泊方案</w:t>
            </w:r>
          </w:p>
          <w:p w14:paraId="0C548A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根据《钦州港总体规划（2035年）》金鼓江航道规划为0.5~7万吨级单向航道，通航宽度75.8m~183m，设计底高程为-5.2~-15.2m。金鼓江航道（钦州港金谷港区）按5万吨级标准建设，全段水深分段设置，核心主航道设计底标高-11.3m，可满足万吨级船舶（吃水约12.9m）乘潮通航。</w:t>
            </w:r>
          </w:p>
          <w:p w14:paraId="77907E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Times New Roman" w:hAnsi="Times New Roman" w:eastAsia="宋体" w:cs="Times New Roman"/>
                <w:b w:val="0"/>
                <w:bCs w:val="0"/>
                <w:color w:val="auto"/>
                <w:sz w:val="24"/>
                <w:highlight w:val="none"/>
                <w:u w:val="single"/>
                <w:shd w:val="clear" w:color="auto" w:fill="auto"/>
                <w:lang w:val="en-US" w:eastAsia="zh-CN"/>
              </w:rPr>
              <w:t>根据钦州港金谷港区金鼓江作业区16#、17#泊位设计方案，设计船型5万吨级化学品船满载吃水为12.9m，根据建设单位提供资料，</w:t>
            </w:r>
            <w:r>
              <w:rPr>
                <w:rFonts w:hint="eastAsia" w:ascii="Times New Roman" w:hAnsi="Times New Roman" w:eastAsia="宋体" w:cs="Times New Roman"/>
                <w:b w:val="0"/>
                <w:bCs w:val="0"/>
                <w:color w:val="auto"/>
                <w:sz w:val="24"/>
                <w:highlight w:val="none"/>
                <w:u w:val="single"/>
                <w:shd w:val="clear" w:color="auto" w:fill="auto"/>
                <w:lang w:eastAsia="zh-CN"/>
              </w:rPr>
              <w:t>钦州港金谷港区金鼓江作业区16#、17#泊位</w:t>
            </w:r>
            <w:r>
              <w:rPr>
                <w:rFonts w:hint="eastAsia" w:ascii="Times New Roman" w:hAnsi="Times New Roman" w:eastAsia="宋体" w:cs="Times New Roman"/>
                <w:b w:val="0"/>
                <w:bCs w:val="0"/>
                <w:color w:val="auto"/>
                <w:sz w:val="24"/>
                <w:highlight w:val="none"/>
                <w:u w:val="single"/>
                <w:shd w:val="clear" w:color="auto" w:fill="auto"/>
                <w:lang w:val="en-US" w:eastAsia="zh-CN"/>
              </w:rPr>
              <w:t>船舶乘潮靠泊流程为：靠泊前准备→减速进入港池→</w:t>
            </w:r>
            <w:r>
              <w:rPr>
                <w:rFonts w:ascii="宋体" w:hAnsi="宋体" w:eastAsia="宋体" w:cs="宋体"/>
                <w:color w:val="auto"/>
                <w:sz w:val="24"/>
                <w:szCs w:val="24"/>
                <w:highlight w:val="none"/>
                <w:u w:val="single"/>
              </w:rPr>
              <w:t>拖轮就位带拖</w:t>
            </w:r>
            <w:r>
              <w:rPr>
                <w:rFonts w:hint="eastAsia" w:ascii="Times New Roman" w:hAnsi="Times New Roman" w:eastAsia="宋体" w:cs="Times New Roman"/>
                <w:b w:val="0"/>
                <w:bCs w:val="0"/>
                <w:color w:val="auto"/>
                <w:sz w:val="24"/>
                <w:highlight w:val="none"/>
                <w:u w:val="single"/>
                <w:shd w:val="clear" w:color="auto" w:fill="auto"/>
                <w:lang w:val="en-US" w:eastAsia="zh-CN"/>
              </w:rPr>
              <w:t>→</w:t>
            </w:r>
            <w:r>
              <w:rPr>
                <w:rFonts w:ascii="宋体" w:hAnsi="宋体" w:eastAsia="宋体" w:cs="宋体"/>
                <w:color w:val="auto"/>
                <w:sz w:val="24"/>
                <w:szCs w:val="24"/>
                <w:highlight w:val="none"/>
                <w:u w:val="single"/>
              </w:rPr>
              <w:t>贴靠码头</w:t>
            </w:r>
            <w:r>
              <w:rPr>
                <w:rFonts w:hint="eastAsia" w:ascii="Times New Roman" w:hAnsi="Times New Roman" w:eastAsia="宋体" w:cs="Times New Roman"/>
                <w:b w:val="0"/>
                <w:bCs w:val="0"/>
                <w:color w:val="auto"/>
                <w:sz w:val="24"/>
                <w:highlight w:val="none"/>
                <w:u w:val="single"/>
                <w:shd w:val="clear" w:color="auto" w:fill="auto"/>
                <w:lang w:val="en-US" w:eastAsia="zh-CN"/>
              </w:rPr>
              <w:t>→</w:t>
            </w:r>
            <w:r>
              <w:rPr>
                <w:rFonts w:ascii="宋体" w:hAnsi="宋体" w:eastAsia="宋体" w:cs="宋体"/>
                <w:color w:val="auto"/>
                <w:sz w:val="24"/>
                <w:szCs w:val="24"/>
                <w:highlight w:val="none"/>
                <w:u w:val="single"/>
              </w:rPr>
              <w:t>带缆固定</w:t>
            </w:r>
            <w:r>
              <w:rPr>
                <w:rFonts w:hint="eastAsia" w:ascii="Times New Roman" w:hAnsi="Times New Roman" w:eastAsia="宋体" w:cs="Times New Roman"/>
                <w:b w:val="0"/>
                <w:bCs w:val="0"/>
                <w:color w:val="auto"/>
                <w:sz w:val="24"/>
                <w:highlight w:val="none"/>
                <w:u w:val="single"/>
                <w:shd w:val="clear" w:color="auto" w:fill="auto"/>
                <w:lang w:val="en-US" w:eastAsia="zh-CN"/>
              </w:rPr>
              <w:t>→</w:t>
            </w:r>
            <w:r>
              <w:rPr>
                <w:rFonts w:ascii="宋体" w:hAnsi="宋体" w:eastAsia="宋体" w:cs="宋体"/>
                <w:color w:val="auto"/>
                <w:sz w:val="24"/>
                <w:szCs w:val="24"/>
                <w:highlight w:val="none"/>
                <w:u w:val="single"/>
              </w:rPr>
              <w:t>刹停、微调、完成靠泊</w:t>
            </w:r>
            <w:r>
              <w:rPr>
                <w:rFonts w:hint="eastAsia" w:ascii="宋体" w:hAnsi="宋体" w:eastAsia="宋体" w:cs="宋体"/>
                <w:color w:val="auto"/>
                <w:sz w:val="24"/>
                <w:szCs w:val="24"/>
                <w:highlight w:val="none"/>
                <w:u w:val="single"/>
                <w:lang w:eastAsia="zh-CN"/>
              </w:rPr>
              <w:t>。</w:t>
            </w:r>
          </w:p>
          <w:p w14:paraId="587154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船舶进港前进行高潮时、潮高、可乘潮窗口等乘潮条件的确认，进港后由引水员进行引航，引航指令拖轮靠上船舷，带好拖缆，调整好角度后由拖轮配合顶、拖、压，让船身平行于码头完成靠泊。本次维护性疏浚设计深度</w:t>
            </w:r>
            <w:r>
              <w:rPr>
                <w:rFonts w:hint="eastAsia"/>
                <w:bCs/>
                <w:color w:val="auto"/>
                <w:szCs w:val="21"/>
                <w:highlight w:val="none"/>
                <w:u w:val="single"/>
                <w:lang w:val="en-US" w:eastAsia="zh-CN"/>
              </w:rPr>
              <w:t>≥-11.3m，</w:t>
            </w:r>
            <w:r>
              <w:rPr>
                <w:rFonts w:hint="eastAsia" w:ascii="宋体" w:hAnsi="宋体" w:eastAsia="宋体" w:cs="宋体"/>
                <w:color w:val="auto"/>
                <w:sz w:val="24"/>
                <w:szCs w:val="24"/>
                <w:highlight w:val="none"/>
                <w:u w:val="single"/>
                <w:lang w:val="en-US" w:eastAsia="zh-CN"/>
              </w:rPr>
              <w:t>与现状金鼓江航道底标高一致，与钦州港金谷港区金鼓江作业区16#、17#泊位回旋水域设计底标高一致，也可满足设计船型5万吨级化学品船乘潮通航和靠泊。</w:t>
            </w:r>
          </w:p>
          <w:p w14:paraId="47BF8CC5">
            <w:pPr>
              <w:spacing w:line="360" w:lineRule="auto"/>
              <w:ind w:firstLine="482" w:firstLineChars="200"/>
              <w:rPr>
                <w:rFonts w:hint="eastAsia" w:ascii="Times New Roman" w:hAnsi="Times New Roman" w:eastAsia="宋体" w:cs="Times New Roman"/>
                <w:b/>
                <w:bCs/>
                <w:color w:val="auto"/>
                <w:sz w:val="24"/>
                <w:highlight w:val="none"/>
                <w:shd w:val="clear" w:color="auto" w:fill="FFFFFF"/>
                <w:lang w:eastAsia="zh-CN"/>
              </w:rPr>
            </w:pPr>
            <w:r>
              <w:rPr>
                <w:rFonts w:hint="eastAsia" w:ascii="Times New Roman" w:hAnsi="Times New Roman" w:eastAsia="宋体" w:cs="Times New Roman"/>
                <w:b/>
                <w:bCs/>
                <w:color w:val="auto"/>
                <w:sz w:val="24"/>
                <w:highlight w:val="none"/>
                <w:shd w:val="clear" w:color="auto" w:fill="FFFFFF"/>
                <w:lang w:val="en-US" w:eastAsia="zh-CN"/>
              </w:rPr>
              <w:t>2.2.4码头</w:t>
            </w:r>
            <w:r>
              <w:rPr>
                <w:rFonts w:hint="eastAsia" w:ascii="Times New Roman" w:hAnsi="Times New Roman" w:eastAsia="宋体" w:cs="Times New Roman"/>
                <w:b/>
                <w:bCs/>
                <w:color w:val="auto"/>
                <w:sz w:val="24"/>
                <w:highlight w:val="none"/>
                <w:shd w:val="clear" w:color="auto" w:fill="FFFFFF"/>
                <w:lang w:eastAsia="zh-CN"/>
              </w:rPr>
              <w:t>回旋水域疏浚方案</w:t>
            </w:r>
          </w:p>
          <w:p w14:paraId="07071F4A">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疏浚范围</w:t>
            </w:r>
          </w:p>
          <w:p w14:paraId="1A1DA433">
            <w:pPr>
              <w:autoSpaceDE w:val="0"/>
              <w:autoSpaceDN w:val="0"/>
              <w:adjustRightInd w:val="0"/>
              <w:snapToGrid w:val="0"/>
              <w:spacing w:line="360" w:lineRule="auto"/>
              <w:ind w:firstLine="480" w:firstLineChars="200"/>
              <w:rPr>
                <w:rFonts w:hint="default"/>
                <w:b w:val="0"/>
                <w:bCs w:val="0"/>
                <w:color w:val="auto"/>
                <w:sz w:val="24"/>
                <w:highlight w:val="none"/>
                <w:u w:val="none"/>
                <w:shd w:val="clear" w:color="auto" w:fill="auto"/>
                <w:lang w:val="en-US" w:eastAsia="zh-CN"/>
              </w:rPr>
            </w:pPr>
            <w:r>
              <w:rPr>
                <w:rFonts w:hint="eastAsia"/>
                <w:b w:val="0"/>
                <w:bCs w:val="0"/>
                <w:color w:val="auto"/>
                <w:sz w:val="24"/>
                <w:highlight w:val="none"/>
                <w:u w:val="none"/>
                <w:shd w:val="clear" w:color="auto" w:fill="auto"/>
                <w:lang w:eastAsia="zh-CN"/>
              </w:rPr>
              <w:t>本次港池疏浚工程位于钦州港金谷港区金鼓江作业区16#、17#泊位回旋水域</w:t>
            </w:r>
            <w:r>
              <w:rPr>
                <w:rFonts w:hint="eastAsia"/>
                <w:b w:val="0"/>
                <w:bCs w:val="0"/>
                <w:color w:val="auto"/>
                <w:sz w:val="24"/>
                <w:highlight w:val="none"/>
                <w:u w:val="none"/>
                <w:shd w:val="clear" w:color="auto" w:fill="auto"/>
                <w:lang w:val="en-US" w:eastAsia="zh-CN"/>
              </w:rPr>
              <w:t>与金鼓江航道重叠区域</w:t>
            </w:r>
            <w:r>
              <w:rPr>
                <w:rFonts w:hint="eastAsia"/>
                <w:b w:val="0"/>
                <w:bCs w:val="0"/>
                <w:color w:val="auto"/>
                <w:sz w:val="24"/>
                <w:highlight w:val="none"/>
                <w:u w:val="none"/>
                <w:shd w:val="clear" w:color="auto" w:fill="auto"/>
                <w:lang w:eastAsia="zh-CN"/>
              </w:rPr>
              <w:t>，疏浚区</w:t>
            </w:r>
            <w:r>
              <w:rPr>
                <w:rFonts w:hint="eastAsia"/>
                <w:b w:val="0"/>
                <w:bCs w:val="0"/>
                <w:color w:val="auto"/>
                <w:sz w:val="24"/>
                <w:highlight w:val="none"/>
                <w:u w:val="none"/>
                <w:shd w:val="clear" w:color="auto" w:fill="auto"/>
                <w:lang w:val="en-US" w:eastAsia="zh-CN"/>
              </w:rPr>
              <w:t>面积约0.079km</w:t>
            </w:r>
            <w:r>
              <w:rPr>
                <w:rFonts w:hint="eastAsia"/>
                <w:b w:val="0"/>
                <w:bCs w:val="0"/>
                <w:color w:val="auto"/>
                <w:sz w:val="24"/>
                <w:highlight w:val="none"/>
                <w:u w:val="none"/>
                <w:shd w:val="clear" w:color="auto" w:fill="auto"/>
                <w:vertAlign w:val="superscript"/>
                <w:lang w:val="en-US" w:eastAsia="zh-CN"/>
              </w:rPr>
              <w:t>2</w:t>
            </w:r>
            <w:r>
              <w:rPr>
                <w:rFonts w:hint="eastAsia"/>
                <w:b w:val="0"/>
                <w:bCs w:val="0"/>
                <w:color w:val="auto"/>
                <w:sz w:val="24"/>
                <w:highlight w:val="none"/>
                <w:u w:val="none"/>
                <w:shd w:val="clear" w:color="auto" w:fill="auto"/>
                <w:lang w:val="en-US" w:eastAsia="zh-CN"/>
              </w:rPr>
              <w:t>，16#17#码头港池回旋水域（航道</w:t>
            </w:r>
            <w:r>
              <w:rPr>
                <w:rFonts w:hint="eastAsia" w:ascii="Times New Roman" w:hAnsi="Times New Roman" w:eastAsia="宋体" w:cs="Times New Roman"/>
                <w:b w:val="0"/>
                <w:bCs w:val="0"/>
                <w:color w:val="auto"/>
                <w:sz w:val="24"/>
                <w:highlight w:val="none"/>
                <w:u w:val="none"/>
                <w:shd w:val="clear" w:color="auto" w:fill="auto"/>
                <w:lang w:val="en-US" w:eastAsia="zh-CN"/>
              </w:rPr>
              <w:t>内部分</w:t>
            </w:r>
            <w:r>
              <w:rPr>
                <w:rFonts w:hint="eastAsia"/>
                <w:b w:val="0"/>
                <w:bCs w:val="0"/>
                <w:color w:val="auto"/>
                <w:sz w:val="24"/>
                <w:highlight w:val="none"/>
                <w:u w:val="none"/>
                <w:shd w:val="clear" w:color="auto" w:fill="auto"/>
                <w:lang w:val="en-US" w:eastAsia="zh-CN"/>
              </w:rPr>
              <w:t>）清淤深度≥-11.3米，疏浚方量约9.3万方。</w:t>
            </w:r>
          </w:p>
          <w:p w14:paraId="61D43968">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港池疏浚控制坐标点见下表。</w:t>
            </w:r>
          </w:p>
          <w:p w14:paraId="166CCDF5">
            <w:pPr>
              <w:snapToGrid w:val="0"/>
              <w:ind w:firstLine="422" w:firstLineChars="200"/>
              <w:jc w:val="center"/>
              <w:rPr>
                <w:rFonts w:hint="eastAsia" w:eastAsia="宋体"/>
                <w:b/>
                <w:bCs/>
                <w:color w:val="auto"/>
                <w:szCs w:val="21"/>
                <w:highlight w:val="none"/>
                <w:lang w:eastAsia="zh-CN"/>
              </w:rPr>
            </w:pPr>
            <w:r>
              <w:rPr>
                <w:rFonts w:hint="eastAsia"/>
                <w:b/>
                <w:bCs/>
                <w:color w:val="auto"/>
                <w:szCs w:val="21"/>
                <w:highlight w:val="none"/>
              </w:rPr>
              <w:t>表</w:t>
            </w:r>
            <w:r>
              <w:rPr>
                <w:rFonts w:hint="eastAsia"/>
                <w:b/>
                <w:bCs/>
                <w:color w:val="auto"/>
                <w:szCs w:val="21"/>
                <w:highlight w:val="none"/>
                <w:lang w:val="en-US" w:eastAsia="zh-CN"/>
              </w:rPr>
              <w:t>2.2-3</w:t>
            </w:r>
            <w:r>
              <w:rPr>
                <w:rFonts w:hint="eastAsia"/>
                <w:b/>
                <w:bCs/>
                <w:color w:val="auto"/>
                <w:szCs w:val="21"/>
                <w:highlight w:val="none"/>
                <w:lang w:eastAsia="zh-CN"/>
              </w:rPr>
              <w:t>项目疏浚范围界址表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709"/>
              <w:gridCol w:w="2406"/>
              <w:gridCol w:w="2317"/>
              <w:gridCol w:w="1206"/>
              <w:gridCol w:w="1184"/>
            </w:tblGrid>
            <w:tr w14:paraId="16DC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restart"/>
                  <w:noWrap w:val="0"/>
                  <w:vAlign w:val="center"/>
                </w:tcPr>
                <w:p w14:paraId="5B12152A">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范围</w:t>
                  </w:r>
                </w:p>
              </w:tc>
              <w:tc>
                <w:tcPr>
                  <w:tcW w:w="423" w:type="pct"/>
                  <w:vMerge w:val="restart"/>
                  <w:noWrap w:val="0"/>
                  <w:vAlign w:val="center"/>
                </w:tcPr>
                <w:p w14:paraId="4870F6B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界址点</w:t>
                  </w:r>
                </w:p>
              </w:tc>
              <w:tc>
                <w:tcPr>
                  <w:tcW w:w="2819" w:type="pct"/>
                  <w:gridSpan w:val="2"/>
                  <w:noWrap w:val="0"/>
                  <w:vAlign w:val="center"/>
                </w:tcPr>
                <w:p w14:paraId="2A0AA4C7">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国家大地2000坐标系</w:t>
                  </w:r>
                  <w:r>
                    <w:rPr>
                      <w:rFonts w:hint="default" w:ascii="Times New Roman" w:hAnsi="Times New Roman" w:cs="Times New Roman"/>
                      <w:color w:val="auto"/>
                      <w:sz w:val="21"/>
                      <w:szCs w:val="21"/>
                      <w:highlight w:val="none"/>
                      <w:lang w:val="en-US" w:eastAsia="zh-CN"/>
                    </w:rPr>
                    <w:t>，中央子午线108°E</w:t>
                  </w:r>
                </w:p>
              </w:tc>
              <w:tc>
                <w:tcPr>
                  <w:tcW w:w="719" w:type="pct"/>
                  <w:vMerge w:val="restart"/>
                  <w:noWrap w:val="0"/>
                  <w:vAlign w:val="center"/>
                </w:tcPr>
                <w:p w14:paraId="54E0838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清淤深度</w:t>
                  </w:r>
                  <w:r>
                    <w:rPr>
                      <w:rFonts w:hint="default" w:ascii="Times New Roman" w:hAnsi="Times New Roman" w:cs="Times New Roman"/>
                      <w:color w:val="auto"/>
                      <w:sz w:val="21"/>
                      <w:szCs w:val="21"/>
                      <w:highlight w:val="none"/>
                      <w:lang w:val="en-US" w:eastAsia="zh-CN"/>
                    </w:rPr>
                    <w:t>(m)</w:t>
                  </w:r>
                </w:p>
              </w:tc>
              <w:tc>
                <w:tcPr>
                  <w:tcW w:w="706" w:type="pct"/>
                  <w:vMerge w:val="restart"/>
                  <w:noWrap w:val="0"/>
                  <w:vAlign w:val="center"/>
                </w:tcPr>
                <w:p w14:paraId="532B1790">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土方量</w:t>
                  </w:r>
                </w:p>
                <w:p w14:paraId="683A9BE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r>
            <w:tr w14:paraId="682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54FB613F">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vMerge w:val="continue"/>
                  <w:noWrap w:val="0"/>
                  <w:vAlign w:val="center"/>
                </w:tcPr>
                <w:p w14:paraId="7595AC6A">
                  <w:pPr>
                    <w:snapToGrid w:val="0"/>
                    <w:jc w:val="center"/>
                    <w:rPr>
                      <w:rFonts w:hint="default" w:ascii="Times New Roman" w:hAnsi="Times New Roman" w:cs="Times New Roman"/>
                      <w:color w:val="auto"/>
                      <w:sz w:val="21"/>
                      <w:szCs w:val="21"/>
                      <w:highlight w:val="none"/>
                    </w:rPr>
                  </w:pPr>
                </w:p>
              </w:tc>
              <w:tc>
                <w:tcPr>
                  <w:tcW w:w="1436" w:type="pct"/>
                  <w:noWrap w:val="0"/>
                  <w:vAlign w:val="center"/>
                </w:tcPr>
                <w:p w14:paraId="6A25838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东经</w:t>
                  </w:r>
                </w:p>
              </w:tc>
              <w:tc>
                <w:tcPr>
                  <w:tcW w:w="1383" w:type="pct"/>
                  <w:noWrap w:val="0"/>
                  <w:vAlign w:val="center"/>
                </w:tcPr>
                <w:p w14:paraId="3865893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北纬</w:t>
                  </w:r>
                </w:p>
              </w:tc>
              <w:tc>
                <w:tcPr>
                  <w:tcW w:w="719" w:type="pct"/>
                  <w:vMerge w:val="continue"/>
                  <w:noWrap w:val="0"/>
                  <w:vAlign w:val="center"/>
                </w:tcPr>
                <w:p w14:paraId="7A709D41">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3F2B3F7D">
                  <w:pPr>
                    <w:snapToGrid w:val="0"/>
                    <w:jc w:val="center"/>
                    <w:rPr>
                      <w:rFonts w:hint="default" w:ascii="Times New Roman" w:hAnsi="Times New Roman" w:eastAsia="宋体" w:cs="Times New Roman"/>
                      <w:color w:val="auto"/>
                      <w:sz w:val="21"/>
                      <w:szCs w:val="21"/>
                      <w:highlight w:val="none"/>
                      <w:lang w:val="en-US" w:eastAsia="zh-CN"/>
                    </w:rPr>
                  </w:pPr>
                </w:p>
              </w:tc>
            </w:tr>
            <w:tr w14:paraId="39D9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restart"/>
                  <w:noWrap w:val="0"/>
                  <w:vAlign w:val="center"/>
                </w:tcPr>
                <w:p w14:paraId="712A33D7">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u w:val="none"/>
                      <w:shd w:val="clear" w:color="auto" w:fill="auto"/>
                      <w:lang w:val="en-US" w:eastAsia="zh-CN"/>
                    </w:rPr>
                    <w:t>区域3</w:t>
                  </w:r>
                </w:p>
              </w:tc>
              <w:tc>
                <w:tcPr>
                  <w:tcW w:w="423" w:type="pct"/>
                  <w:noWrap w:val="0"/>
                  <w:vAlign w:val="center"/>
                </w:tcPr>
                <w:p w14:paraId="48F179C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P1</w:t>
                  </w:r>
                </w:p>
              </w:tc>
              <w:tc>
                <w:tcPr>
                  <w:tcW w:w="1436" w:type="pct"/>
                  <w:noWrap w:val="0"/>
                  <w:vAlign w:val="center"/>
                </w:tcPr>
                <w:p w14:paraId="0BBFAF8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021°42'52.305388"N</w:t>
                  </w:r>
                </w:p>
              </w:tc>
              <w:tc>
                <w:tcPr>
                  <w:tcW w:w="1383" w:type="pct"/>
                  <w:noWrap w:val="0"/>
                  <w:vAlign w:val="center"/>
                </w:tcPr>
                <w:p w14:paraId="6E5E0A0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108°38'00.895989"E</w:t>
                  </w:r>
                </w:p>
              </w:tc>
              <w:tc>
                <w:tcPr>
                  <w:tcW w:w="719" w:type="pct"/>
                  <w:vMerge w:val="restart"/>
                  <w:noWrap w:val="0"/>
                  <w:vAlign w:val="center"/>
                </w:tcPr>
                <w:p w14:paraId="7EBB671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u w:val="none"/>
                      <w:shd w:val="clear" w:color="auto" w:fill="auto"/>
                      <w:lang w:val="en-US" w:eastAsia="zh-CN"/>
                    </w:rPr>
                    <w:t>≥-</w:t>
                  </w:r>
                  <w:r>
                    <w:rPr>
                      <w:rFonts w:hint="eastAsia" w:ascii="Times New Roman" w:hAnsi="Times New Roman" w:cs="Times New Roman"/>
                      <w:b w:val="0"/>
                      <w:bCs w:val="0"/>
                      <w:color w:val="auto"/>
                      <w:sz w:val="21"/>
                      <w:szCs w:val="21"/>
                      <w:highlight w:val="none"/>
                      <w:u w:val="none"/>
                      <w:shd w:val="clear" w:color="auto" w:fill="auto"/>
                      <w:lang w:val="en-US" w:eastAsia="zh-CN"/>
                    </w:rPr>
                    <w:t>11.3</w:t>
                  </w:r>
                </w:p>
              </w:tc>
              <w:tc>
                <w:tcPr>
                  <w:tcW w:w="706" w:type="pct"/>
                  <w:vMerge w:val="restart"/>
                  <w:noWrap w:val="0"/>
                  <w:vAlign w:val="center"/>
                </w:tcPr>
                <w:p w14:paraId="79845C11">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u w:val="none"/>
                      <w:shd w:val="clear" w:color="auto" w:fill="auto"/>
                      <w:lang w:val="en-US" w:eastAsia="zh-CN"/>
                    </w:rPr>
                    <w:t>92761.77</w:t>
                  </w:r>
                </w:p>
              </w:tc>
            </w:tr>
            <w:tr w14:paraId="2099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0B4E744B">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193AAAB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highlight w:val="none"/>
                    </w:rPr>
                    <w:t>P2</w:t>
                  </w:r>
                </w:p>
              </w:tc>
              <w:tc>
                <w:tcPr>
                  <w:tcW w:w="1436" w:type="pct"/>
                  <w:noWrap w:val="0"/>
                  <w:vAlign w:val="center"/>
                </w:tcPr>
                <w:p w14:paraId="0277F17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021°42'51.035806"N</w:t>
                  </w:r>
                </w:p>
              </w:tc>
              <w:tc>
                <w:tcPr>
                  <w:tcW w:w="1383" w:type="pct"/>
                  <w:noWrap w:val="0"/>
                  <w:vAlign w:val="center"/>
                </w:tcPr>
                <w:p w14:paraId="4DDFE1C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108°38'02.950666"E</w:t>
                  </w:r>
                </w:p>
              </w:tc>
              <w:tc>
                <w:tcPr>
                  <w:tcW w:w="719" w:type="pct"/>
                  <w:vMerge w:val="continue"/>
                  <w:noWrap w:val="0"/>
                  <w:vAlign w:val="center"/>
                </w:tcPr>
                <w:p w14:paraId="5686A21C">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6A1BC6D9">
                  <w:pPr>
                    <w:snapToGrid w:val="0"/>
                    <w:jc w:val="center"/>
                    <w:rPr>
                      <w:rFonts w:hint="default" w:ascii="Times New Roman" w:hAnsi="Times New Roman" w:cs="Times New Roman"/>
                      <w:color w:val="auto"/>
                      <w:sz w:val="21"/>
                      <w:szCs w:val="21"/>
                      <w:highlight w:val="none"/>
                    </w:rPr>
                  </w:pPr>
                </w:p>
              </w:tc>
            </w:tr>
            <w:tr w14:paraId="4448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30" w:type="pct"/>
                  <w:vMerge w:val="continue"/>
                  <w:noWrap w:val="0"/>
                  <w:vAlign w:val="center"/>
                </w:tcPr>
                <w:p w14:paraId="51B3FB1B">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3315553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highlight w:val="none"/>
                    </w:rPr>
                    <w:t>P3</w:t>
                  </w:r>
                </w:p>
              </w:tc>
              <w:tc>
                <w:tcPr>
                  <w:tcW w:w="1436" w:type="pct"/>
                  <w:noWrap w:val="0"/>
                  <w:vAlign w:val="center"/>
                </w:tcPr>
                <w:p w14:paraId="703D20B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021°42'49.071605"N</w:t>
                  </w:r>
                </w:p>
              </w:tc>
              <w:tc>
                <w:tcPr>
                  <w:tcW w:w="1383" w:type="pct"/>
                  <w:noWrap w:val="0"/>
                  <w:vAlign w:val="center"/>
                </w:tcPr>
                <w:p w14:paraId="5999B28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108°38'04.261222"E</w:t>
                  </w:r>
                </w:p>
              </w:tc>
              <w:tc>
                <w:tcPr>
                  <w:tcW w:w="719" w:type="pct"/>
                  <w:vMerge w:val="continue"/>
                  <w:noWrap w:val="0"/>
                  <w:vAlign w:val="center"/>
                </w:tcPr>
                <w:p w14:paraId="7E702844">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6F22DF91">
                  <w:pPr>
                    <w:snapToGrid w:val="0"/>
                    <w:jc w:val="center"/>
                    <w:rPr>
                      <w:rFonts w:hint="default" w:ascii="Times New Roman" w:hAnsi="Times New Roman" w:cs="Times New Roman"/>
                      <w:color w:val="auto"/>
                      <w:sz w:val="21"/>
                      <w:szCs w:val="21"/>
                      <w:highlight w:val="none"/>
                    </w:rPr>
                  </w:pPr>
                </w:p>
              </w:tc>
            </w:tr>
            <w:tr w14:paraId="7530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2C339FCD">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3B920DD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P4</w:t>
                  </w:r>
                </w:p>
              </w:tc>
              <w:tc>
                <w:tcPr>
                  <w:tcW w:w="1436" w:type="pct"/>
                  <w:noWrap w:val="0"/>
                  <w:vAlign w:val="center"/>
                </w:tcPr>
                <w:p w14:paraId="4D92CBF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021°42'46.824479"N</w:t>
                  </w:r>
                </w:p>
              </w:tc>
              <w:tc>
                <w:tcPr>
                  <w:tcW w:w="1383" w:type="pct"/>
                  <w:noWrap w:val="0"/>
                  <w:vAlign w:val="center"/>
                </w:tcPr>
                <w:p w14:paraId="74E0828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108°38'04.878731"E</w:t>
                  </w:r>
                </w:p>
              </w:tc>
              <w:tc>
                <w:tcPr>
                  <w:tcW w:w="719" w:type="pct"/>
                  <w:vMerge w:val="continue"/>
                  <w:noWrap w:val="0"/>
                  <w:vAlign w:val="center"/>
                </w:tcPr>
                <w:p w14:paraId="57B8C4DF">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5107FAB0">
                  <w:pPr>
                    <w:snapToGrid w:val="0"/>
                    <w:jc w:val="center"/>
                    <w:rPr>
                      <w:rFonts w:hint="default" w:ascii="Times New Roman" w:hAnsi="Times New Roman" w:cs="Times New Roman"/>
                      <w:color w:val="auto"/>
                      <w:sz w:val="21"/>
                      <w:szCs w:val="21"/>
                      <w:highlight w:val="none"/>
                    </w:rPr>
                  </w:pPr>
                </w:p>
              </w:tc>
            </w:tr>
            <w:tr w14:paraId="0771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35D329EF">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61FAAEE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P5</w:t>
                  </w:r>
                </w:p>
              </w:tc>
              <w:tc>
                <w:tcPr>
                  <w:tcW w:w="1436" w:type="pct"/>
                  <w:noWrap w:val="0"/>
                  <w:vAlign w:val="center"/>
                </w:tcPr>
                <w:p w14:paraId="6862D2A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021°42'44.502774"N</w:t>
                  </w:r>
                </w:p>
              </w:tc>
              <w:tc>
                <w:tcPr>
                  <w:tcW w:w="1383" w:type="pct"/>
                  <w:noWrap w:val="0"/>
                  <w:vAlign w:val="center"/>
                </w:tcPr>
                <w:p w14:paraId="6844992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108°38'04.892903"E</w:t>
                  </w:r>
                </w:p>
              </w:tc>
              <w:tc>
                <w:tcPr>
                  <w:tcW w:w="719" w:type="pct"/>
                  <w:vMerge w:val="continue"/>
                  <w:noWrap w:val="0"/>
                  <w:vAlign w:val="center"/>
                </w:tcPr>
                <w:p w14:paraId="7E87D56F">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1ECC1987">
                  <w:pPr>
                    <w:snapToGrid w:val="0"/>
                    <w:jc w:val="center"/>
                    <w:rPr>
                      <w:rFonts w:hint="default" w:ascii="Times New Roman" w:hAnsi="Times New Roman" w:cs="Times New Roman"/>
                      <w:color w:val="auto"/>
                      <w:sz w:val="21"/>
                      <w:szCs w:val="21"/>
                      <w:highlight w:val="none"/>
                    </w:rPr>
                  </w:pPr>
                </w:p>
              </w:tc>
            </w:tr>
            <w:tr w14:paraId="46D7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13B0E890">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56FC3C9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P6</w:t>
                  </w:r>
                </w:p>
              </w:tc>
              <w:tc>
                <w:tcPr>
                  <w:tcW w:w="1436" w:type="pct"/>
                  <w:noWrap w:val="0"/>
                  <w:vAlign w:val="center"/>
                </w:tcPr>
                <w:p w14:paraId="0C960AD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021°42'36.964177"N</w:t>
                  </w:r>
                </w:p>
              </w:tc>
              <w:tc>
                <w:tcPr>
                  <w:tcW w:w="1383" w:type="pct"/>
                  <w:noWrap w:val="0"/>
                  <w:vAlign w:val="center"/>
                </w:tcPr>
                <w:p w14:paraId="3F9ABB3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108°38'04.014180"E</w:t>
                  </w:r>
                </w:p>
              </w:tc>
              <w:tc>
                <w:tcPr>
                  <w:tcW w:w="719" w:type="pct"/>
                  <w:vMerge w:val="continue"/>
                  <w:noWrap w:val="0"/>
                  <w:vAlign w:val="center"/>
                </w:tcPr>
                <w:p w14:paraId="10BAADEC">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19D93F4D">
                  <w:pPr>
                    <w:snapToGrid w:val="0"/>
                    <w:jc w:val="center"/>
                    <w:rPr>
                      <w:rFonts w:hint="default" w:ascii="Times New Roman" w:hAnsi="Times New Roman" w:cs="Times New Roman"/>
                      <w:color w:val="auto"/>
                      <w:sz w:val="21"/>
                      <w:szCs w:val="21"/>
                      <w:highlight w:val="none"/>
                    </w:rPr>
                  </w:pPr>
                </w:p>
              </w:tc>
            </w:tr>
            <w:tr w14:paraId="30B8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6FF7E02C">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276910A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P7</w:t>
                  </w:r>
                </w:p>
              </w:tc>
              <w:tc>
                <w:tcPr>
                  <w:tcW w:w="1436" w:type="pct"/>
                  <w:noWrap w:val="0"/>
                  <w:vAlign w:val="center"/>
                </w:tcPr>
                <w:p w14:paraId="60752D3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021°42'34.707824"N</w:t>
                  </w:r>
                </w:p>
              </w:tc>
              <w:tc>
                <w:tcPr>
                  <w:tcW w:w="1383" w:type="pct"/>
                  <w:noWrap w:val="0"/>
                  <w:vAlign w:val="center"/>
                </w:tcPr>
                <w:p w14:paraId="6557461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108°38'03.466424"E</w:t>
                  </w:r>
                </w:p>
              </w:tc>
              <w:tc>
                <w:tcPr>
                  <w:tcW w:w="719" w:type="pct"/>
                  <w:vMerge w:val="continue"/>
                  <w:noWrap w:val="0"/>
                  <w:vAlign w:val="center"/>
                </w:tcPr>
                <w:p w14:paraId="57EABEDD">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3463880D">
                  <w:pPr>
                    <w:snapToGrid w:val="0"/>
                    <w:jc w:val="center"/>
                    <w:rPr>
                      <w:rFonts w:hint="default" w:ascii="Times New Roman" w:hAnsi="Times New Roman" w:cs="Times New Roman"/>
                      <w:color w:val="auto"/>
                      <w:sz w:val="21"/>
                      <w:szCs w:val="21"/>
                      <w:highlight w:val="none"/>
                    </w:rPr>
                  </w:pPr>
                </w:p>
              </w:tc>
            </w:tr>
            <w:tr w14:paraId="25DC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07D88474">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169D63F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P8</w:t>
                  </w:r>
                </w:p>
              </w:tc>
              <w:tc>
                <w:tcPr>
                  <w:tcW w:w="1436" w:type="pct"/>
                  <w:noWrap w:val="0"/>
                  <w:vAlign w:val="center"/>
                </w:tcPr>
                <w:p w14:paraId="7BC2F06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021°42'32.637577"N</w:t>
                  </w:r>
                </w:p>
              </w:tc>
              <w:tc>
                <w:tcPr>
                  <w:tcW w:w="1383" w:type="pct"/>
                  <w:noWrap w:val="0"/>
                  <w:vAlign w:val="center"/>
                </w:tcPr>
                <w:p w14:paraId="1B4AE8A1">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108°38'02.345651"E</w:t>
                  </w:r>
                </w:p>
              </w:tc>
              <w:tc>
                <w:tcPr>
                  <w:tcW w:w="719" w:type="pct"/>
                  <w:vMerge w:val="continue"/>
                  <w:noWrap w:val="0"/>
                  <w:vAlign w:val="center"/>
                </w:tcPr>
                <w:p w14:paraId="6BCD18A1">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4B900BDA">
                  <w:pPr>
                    <w:snapToGrid w:val="0"/>
                    <w:jc w:val="center"/>
                    <w:rPr>
                      <w:rFonts w:hint="default" w:ascii="Times New Roman" w:hAnsi="Times New Roman" w:cs="Times New Roman"/>
                      <w:color w:val="auto"/>
                      <w:sz w:val="21"/>
                      <w:szCs w:val="21"/>
                      <w:highlight w:val="none"/>
                    </w:rPr>
                  </w:pPr>
                </w:p>
              </w:tc>
            </w:tr>
            <w:tr w14:paraId="0B1E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78B47BA4">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16212FD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P9</w:t>
                  </w:r>
                </w:p>
              </w:tc>
              <w:tc>
                <w:tcPr>
                  <w:tcW w:w="1436" w:type="pct"/>
                  <w:noWrap w:val="0"/>
                  <w:vAlign w:val="center"/>
                </w:tcPr>
                <w:p w14:paraId="14B6034E">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021°42'30.983142"N</w:t>
                  </w:r>
                </w:p>
              </w:tc>
              <w:tc>
                <w:tcPr>
                  <w:tcW w:w="1383" w:type="pct"/>
                  <w:noWrap w:val="0"/>
                  <w:vAlign w:val="center"/>
                </w:tcPr>
                <w:p w14:paraId="041A94A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108°38'00.613420"E</w:t>
                  </w:r>
                </w:p>
              </w:tc>
              <w:tc>
                <w:tcPr>
                  <w:tcW w:w="719" w:type="pct"/>
                  <w:vMerge w:val="continue"/>
                  <w:noWrap w:val="0"/>
                  <w:vAlign w:val="center"/>
                </w:tcPr>
                <w:p w14:paraId="6824B2AE">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2B439933">
                  <w:pPr>
                    <w:snapToGrid w:val="0"/>
                    <w:jc w:val="center"/>
                    <w:rPr>
                      <w:rFonts w:hint="default" w:ascii="Times New Roman" w:hAnsi="Times New Roman" w:cs="Times New Roman"/>
                      <w:color w:val="auto"/>
                      <w:sz w:val="21"/>
                      <w:szCs w:val="21"/>
                      <w:highlight w:val="none"/>
                    </w:rPr>
                  </w:pPr>
                </w:p>
              </w:tc>
            </w:tr>
            <w:tr w14:paraId="00BC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0" w:type="pct"/>
                  <w:vMerge w:val="continue"/>
                  <w:noWrap w:val="0"/>
                  <w:vAlign w:val="center"/>
                </w:tcPr>
                <w:p w14:paraId="5BAFBBBF">
                  <w:pPr>
                    <w:snapToGrid w:val="0"/>
                    <w:jc w:val="center"/>
                    <w:rPr>
                      <w:rFonts w:hint="default" w:ascii="Times New Roman" w:hAnsi="Times New Roman" w:cs="Times New Roman"/>
                      <w:color w:val="auto"/>
                      <w:kern w:val="2"/>
                      <w:sz w:val="21"/>
                      <w:szCs w:val="21"/>
                      <w:highlight w:val="none"/>
                      <w:lang w:val="en-US" w:eastAsia="zh-CN" w:bidi="ar-SA"/>
                    </w:rPr>
                  </w:pPr>
                </w:p>
              </w:tc>
              <w:tc>
                <w:tcPr>
                  <w:tcW w:w="423" w:type="pct"/>
                  <w:noWrap w:val="0"/>
                  <w:vAlign w:val="center"/>
                </w:tcPr>
                <w:p w14:paraId="5B7B9A6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highlight w:val="none"/>
                    </w:rPr>
                    <w:t>P10</w:t>
                  </w:r>
                </w:p>
              </w:tc>
              <w:tc>
                <w:tcPr>
                  <w:tcW w:w="1436" w:type="pct"/>
                  <w:noWrap w:val="0"/>
                  <w:vAlign w:val="center"/>
                </w:tcPr>
                <w:p w14:paraId="162E33F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021°</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230.156648"N</w:t>
                  </w:r>
                </w:p>
              </w:tc>
              <w:tc>
                <w:tcPr>
                  <w:tcW w:w="1383" w:type="pct"/>
                  <w:noWrap w:val="0"/>
                  <w:vAlign w:val="center"/>
                </w:tcPr>
                <w:p w14:paraId="71A15A08">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108°37'58.314431"E</w:t>
                  </w:r>
                </w:p>
              </w:tc>
              <w:tc>
                <w:tcPr>
                  <w:tcW w:w="719" w:type="pct"/>
                  <w:vMerge w:val="continue"/>
                  <w:noWrap w:val="0"/>
                  <w:vAlign w:val="center"/>
                </w:tcPr>
                <w:p w14:paraId="2F916A5C">
                  <w:pPr>
                    <w:snapToGrid w:val="0"/>
                    <w:jc w:val="center"/>
                    <w:rPr>
                      <w:rFonts w:hint="default" w:ascii="Times New Roman" w:hAnsi="Times New Roman" w:cs="Times New Roman"/>
                      <w:color w:val="auto"/>
                      <w:sz w:val="21"/>
                      <w:szCs w:val="21"/>
                      <w:highlight w:val="none"/>
                    </w:rPr>
                  </w:pPr>
                </w:p>
              </w:tc>
              <w:tc>
                <w:tcPr>
                  <w:tcW w:w="706" w:type="pct"/>
                  <w:vMerge w:val="continue"/>
                  <w:noWrap w:val="0"/>
                  <w:vAlign w:val="center"/>
                </w:tcPr>
                <w:p w14:paraId="7C89AC71">
                  <w:pPr>
                    <w:snapToGrid w:val="0"/>
                    <w:jc w:val="center"/>
                    <w:rPr>
                      <w:rFonts w:hint="default" w:ascii="Times New Roman" w:hAnsi="Times New Roman" w:cs="Times New Roman"/>
                      <w:color w:val="auto"/>
                      <w:sz w:val="21"/>
                      <w:szCs w:val="21"/>
                      <w:highlight w:val="none"/>
                    </w:rPr>
                  </w:pPr>
                </w:p>
              </w:tc>
            </w:tr>
          </w:tbl>
          <w:p w14:paraId="05909FF7">
            <w:pPr>
              <w:numPr>
                <w:ilvl w:val="0"/>
                <w:numId w:val="8"/>
              </w:numPr>
              <w:tabs>
                <w:tab w:val="clear" w:pos="0"/>
              </w:tabs>
              <w:spacing w:line="360" w:lineRule="auto"/>
              <w:ind w:left="0" w:leftChars="0" w:firstLine="420" w:firstLineChars="0"/>
              <w:rPr>
                <w:b/>
                <w:bCs/>
                <w:color w:val="auto"/>
                <w:highlight w:val="none"/>
              </w:rPr>
            </w:pPr>
            <w:r>
              <w:rPr>
                <w:rFonts w:hint="eastAsia"/>
                <w:b/>
                <w:bCs/>
                <w:color w:val="auto"/>
                <w:sz w:val="24"/>
                <w:highlight w:val="none"/>
                <w:shd w:val="clear" w:color="auto" w:fill="FFFFFF"/>
                <w:lang w:val="en-US" w:eastAsia="zh-CN"/>
              </w:rPr>
              <w:t>扫</w:t>
            </w:r>
            <w:r>
              <w:rPr>
                <w:rFonts w:hint="eastAsia"/>
                <w:b/>
                <w:bCs/>
                <w:color w:val="auto"/>
                <w:sz w:val="24"/>
                <w:highlight w:val="none"/>
                <w:shd w:val="clear" w:color="auto" w:fill="FFFFFF"/>
                <w:lang w:eastAsia="zh-CN"/>
              </w:rPr>
              <w:t>床工程量</w:t>
            </w:r>
          </w:p>
          <w:p w14:paraId="6C1DCF77">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回旋水域疏浚</w:t>
            </w:r>
            <w:r>
              <w:rPr>
                <w:rFonts w:hint="eastAsia" w:ascii="Times New Roman" w:hAnsi="Times New Roman" w:eastAsia="宋体" w:cs="Times New Roman"/>
                <w:color w:val="auto"/>
                <w:sz w:val="24"/>
                <w:highlight w:val="none"/>
                <w:lang w:eastAsia="zh-CN"/>
              </w:rPr>
              <w:t>后需进行全覆盖扫床测深验收，</w:t>
            </w:r>
            <w:r>
              <w:rPr>
                <w:rFonts w:hint="eastAsia" w:ascii="Times New Roman" w:hAnsi="Times New Roman" w:eastAsia="宋体" w:cs="Times New Roman"/>
                <w:color w:val="auto"/>
                <w:sz w:val="24"/>
                <w:highlight w:val="none"/>
                <w:lang w:val="en-US" w:eastAsia="zh-CN"/>
              </w:rPr>
              <w:t>回旋</w:t>
            </w:r>
            <w:r>
              <w:rPr>
                <w:rFonts w:hint="eastAsia" w:ascii="Times New Roman" w:hAnsi="Times New Roman" w:eastAsia="宋体" w:cs="Times New Roman"/>
                <w:color w:val="auto"/>
                <w:sz w:val="24"/>
                <w:highlight w:val="none"/>
                <w:lang w:eastAsia="zh-CN"/>
              </w:rPr>
              <w:t>水域范围内不得存在浅点，确保码头前沿水深条件满足现阶段设计水深要求，本项目扫床范围为钦州港金谷港区金鼓江作业区16#、17#泊位</w:t>
            </w:r>
            <w:r>
              <w:rPr>
                <w:rFonts w:hint="eastAsia" w:ascii="Times New Roman" w:hAnsi="Times New Roman" w:eastAsia="宋体" w:cs="Times New Roman"/>
                <w:color w:val="auto"/>
                <w:sz w:val="24"/>
                <w:highlight w:val="none"/>
                <w:lang w:val="en-US" w:eastAsia="zh-CN"/>
              </w:rPr>
              <w:t>码头回旋水域与金鼓江航道重叠区域</w:t>
            </w:r>
            <w:r>
              <w:rPr>
                <w:rFonts w:hint="eastAsia" w:ascii="Times New Roman" w:hAnsi="Times New Roman" w:eastAsia="宋体" w:cs="Times New Roman"/>
                <w:color w:val="auto"/>
                <w:sz w:val="24"/>
                <w:highlight w:val="none"/>
                <w:lang w:eastAsia="zh-CN"/>
              </w:rPr>
              <w:t>，扫床范围面积约</w:t>
            </w:r>
            <w:r>
              <w:rPr>
                <w:rFonts w:hint="eastAsia" w:ascii="Times New Roman" w:hAnsi="Times New Roman" w:eastAsia="宋体" w:cs="Times New Roman"/>
                <w:color w:val="auto"/>
                <w:sz w:val="24"/>
                <w:highlight w:val="none"/>
                <w:lang w:val="en-US" w:eastAsia="zh-CN"/>
              </w:rPr>
              <w:t>7.93hm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p>
          <w:p w14:paraId="0EA924B8">
            <w:pPr>
              <w:numPr>
                <w:ilvl w:val="0"/>
                <w:numId w:val="8"/>
              </w:numPr>
              <w:tabs>
                <w:tab w:val="clear" w:pos="0"/>
              </w:tabs>
              <w:spacing w:line="360" w:lineRule="auto"/>
              <w:ind w:left="0" w:leftChars="0" w:firstLine="420" w:firstLineChars="0"/>
              <w:rPr>
                <w:rFonts w:hint="eastAsia"/>
                <w:b/>
                <w:bCs/>
                <w:color w:val="auto"/>
                <w:sz w:val="24"/>
                <w:highlight w:val="none"/>
                <w:u w:val="none"/>
                <w:shd w:val="clear" w:color="auto" w:fill="auto"/>
                <w:lang w:eastAsia="zh-CN"/>
              </w:rPr>
            </w:pPr>
            <w:r>
              <w:rPr>
                <w:rFonts w:hint="eastAsia"/>
                <w:b/>
                <w:bCs/>
                <w:color w:val="auto"/>
                <w:sz w:val="24"/>
                <w:highlight w:val="none"/>
                <w:u w:val="none"/>
                <w:shd w:val="clear" w:color="auto" w:fill="auto"/>
                <w:lang w:eastAsia="zh-CN"/>
              </w:rPr>
              <w:t>开挖工程量</w:t>
            </w:r>
          </w:p>
          <w:p w14:paraId="2DD43376">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根据项目扫海测量水深图，本次维护性疏浚产生的疏浚废弃物为92761.77</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w:t>
            </w:r>
          </w:p>
          <w:p w14:paraId="21A3095E">
            <w:pPr>
              <w:autoSpaceDE w:val="0"/>
              <w:autoSpaceDN w:val="0"/>
              <w:adjustRightInd w:val="0"/>
              <w:snapToGrid w:val="0"/>
              <w:spacing w:line="360" w:lineRule="auto"/>
              <w:jc w:val="center"/>
              <w:rPr>
                <w:rFonts w:hint="default" w:eastAsia="宋体"/>
                <w:b/>
                <w:bCs/>
                <w:color w:val="auto"/>
                <w:sz w:val="24"/>
                <w:highlight w:val="none"/>
                <w:lang w:val="en-US" w:eastAsia="zh-CN"/>
              </w:rPr>
            </w:pPr>
            <w:r>
              <w:rPr>
                <w:rFonts w:hint="eastAsia"/>
                <w:b/>
                <w:bCs/>
                <w:color w:val="auto"/>
                <w:szCs w:val="21"/>
                <w:highlight w:val="none"/>
              </w:rPr>
              <w:t>表</w:t>
            </w:r>
            <w:r>
              <w:rPr>
                <w:rFonts w:hint="eastAsia"/>
                <w:b/>
                <w:bCs/>
                <w:color w:val="auto"/>
                <w:szCs w:val="21"/>
                <w:highlight w:val="none"/>
                <w:lang w:val="en-US" w:eastAsia="zh-CN"/>
              </w:rPr>
              <w:t>2.2-4疏浚工程量表</w:t>
            </w:r>
            <w:r>
              <w:rPr>
                <w:rFonts w:hint="eastAsia"/>
                <w:color w:val="auto"/>
                <w:highlight w:val="none"/>
                <w:lang w:val="en-US" w:eastAsia="zh-CN"/>
              </w:rPr>
              <w:t xml:space="preserve"> </w:t>
            </w:r>
            <w:r>
              <w:rPr>
                <w:rFonts w:hint="eastAsia"/>
                <w:b/>
                <w:bCs/>
                <w:color w:val="auto"/>
                <w:highlight w:val="none"/>
                <w:lang w:val="en-US" w:eastAsia="zh-CN"/>
              </w:rPr>
              <w:t>（单位：m</w:t>
            </w:r>
            <w:r>
              <w:rPr>
                <w:rFonts w:hint="eastAsia"/>
                <w:b/>
                <w:bCs/>
                <w:color w:val="auto"/>
                <w:highlight w:val="none"/>
                <w:vertAlign w:val="superscript"/>
                <w:lang w:val="en-US" w:eastAsia="zh-CN"/>
              </w:rPr>
              <w:t>3</w:t>
            </w:r>
            <w:r>
              <w:rPr>
                <w:rFonts w:hint="eastAsia"/>
                <w:b/>
                <w:bCs/>
                <w:color w:val="auto"/>
                <w:highlight w:val="none"/>
                <w:lang w:val="en-US" w:eastAsia="zh-CN"/>
              </w:rPr>
              <w:t>）</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674"/>
              <w:gridCol w:w="1280"/>
              <w:gridCol w:w="1623"/>
              <w:gridCol w:w="2128"/>
            </w:tblGrid>
            <w:tr w14:paraId="640A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noWrap w:val="0"/>
                  <w:vAlign w:val="center"/>
                </w:tcPr>
                <w:p w14:paraId="362FB1EC">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区域</w:t>
                  </w:r>
                </w:p>
              </w:tc>
              <w:tc>
                <w:tcPr>
                  <w:tcW w:w="999" w:type="pct"/>
                  <w:noWrap w:val="0"/>
                  <w:vAlign w:val="center"/>
                </w:tcPr>
                <w:p w14:paraId="43E65BE8">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开挖</w:t>
                  </w:r>
                </w:p>
              </w:tc>
              <w:tc>
                <w:tcPr>
                  <w:tcW w:w="764" w:type="pct"/>
                  <w:noWrap w:val="0"/>
                  <w:vAlign w:val="center"/>
                </w:tcPr>
                <w:p w14:paraId="1BF67231">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超挖</w:t>
                  </w:r>
                </w:p>
              </w:tc>
              <w:tc>
                <w:tcPr>
                  <w:tcW w:w="969" w:type="pct"/>
                  <w:noWrap w:val="0"/>
                  <w:vAlign w:val="center"/>
                </w:tcPr>
                <w:p w14:paraId="48556339">
                  <w:pPr>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合计</w:t>
                  </w:r>
                </w:p>
              </w:tc>
              <w:tc>
                <w:tcPr>
                  <w:tcW w:w="1270" w:type="pct"/>
                  <w:noWrap w:val="0"/>
                  <w:vAlign w:val="center"/>
                </w:tcPr>
                <w:p w14:paraId="40AF09FE">
                  <w:pPr>
                    <w:snapToGrid w:val="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备注</w:t>
                  </w:r>
                </w:p>
              </w:tc>
            </w:tr>
            <w:tr w14:paraId="3FBB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pct"/>
                  <w:noWrap w:val="0"/>
                  <w:vAlign w:val="center"/>
                </w:tcPr>
                <w:p w14:paraId="2659388F">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区域3</w:t>
                  </w:r>
                </w:p>
              </w:tc>
              <w:tc>
                <w:tcPr>
                  <w:tcW w:w="999" w:type="pct"/>
                  <w:noWrap w:val="0"/>
                  <w:vAlign w:val="center"/>
                </w:tcPr>
                <w:p w14:paraId="02FB1F75">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69030.66</w:t>
                  </w:r>
                </w:p>
              </w:tc>
              <w:tc>
                <w:tcPr>
                  <w:tcW w:w="764" w:type="pct"/>
                  <w:noWrap w:val="0"/>
                  <w:vAlign w:val="center"/>
                </w:tcPr>
                <w:p w14:paraId="3C2E6A07">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27371.11</w:t>
                  </w:r>
                </w:p>
              </w:tc>
              <w:tc>
                <w:tcPr>
                  <w:tcW w:w="969" w:type="pct"/>
                  <w:noWrap w:val="0"/>
                  <w:vAlign w:val="center"/>
                </w:tcPr>
                <w:p w14:paraId="141C9083">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92761.77</w:t>
                  </w:r>
                </w:p>
              </w:tc>
              <w:tc>
                <w:tcPr>
                  <w:tcW w:w="1270" w:type="pct"/>
                  <w:noWrap w:val="0"/>
                  <w:vAlign w:val="center"/>
                </w:tcPr>
                <w:p w14:paraId="50B86510">
                  <w:pPr>
                    <w:snapToGrid w:val="0"/>
                    <w:jc w:val="center"/>
                    <w:rPr>
                      <w:rFonts w:hint="default" w:ascii="Times New Roman" w:hAnsi="Times New Roman" w:eastAsia="宋体" w:cs="Times New Roman"/>
                      <w:b w:val="0"/>
                      <w:bCs w:val="0"/>
                      <w:color w:val="auto"/>
                      <w:sz w:val="21"/>
                      <w:szCs w:val="21"/>
                      <w:highlight w:val="none"/>
                      <w:u w:val="none"/>
                      <w:shd w:val="clear" w:color="auto" w:fill="auto"/>
                      <w:lang w:val="en-US" w:eastAsia="zh-CN"/>
                    </w:rPr>
                  </w:pPr>
                  <w:r>
                    <w:rPr>
                      <w:rFonts w:hint="default" w:ascii="Times New Roman" w:hAnsi="Times New Roman" w:eastAsia="宋体" w:cs="Times New Roman"/>
                      <w:b w:val="0"/>
                      <w:bCs w:val="0"/>
                      <w:color w:val="auto"/>
                      <w:sz w:val="21"/>
                      <w:szCs w:val="21"/>
                      <w:highlight w:val="none"/>
                      <w:u w:val="none"/>
                      <w:shd w:val="clear" w:color="auto" w:fill="auto"/>
                      <w:lang w:val="en-US" w:eastAsia="zh-CN"/>
                    </w:rPr>
                    <w:t>整体采用耙吸船进行疏浚，局部采用抓斗挖泥船清淤</w:t>
                  </w:r>
                  <w:r>
                    <w:rPr>
                      <w:rFonts w:hint="eastAsia" w:cs="Times New Roman"/>
                      <w:b w:val="0"/>
                      <w:bCs w:val="0"/>
                      <w:color w:val="auto"/>
                      <w:sz w:val="21"/>
                      <w:szCs w:val="21"/>
                      <w:highlight w:val="none"/>
                      <w:u w:val="none"/>
                      <w:shd w:val="clear" w:color="auto" w:fill="auto"/>
                      <w:lang w:val="en-US" w:eastAsia="zh-CN"/>
                    </w:rPr>
                    <w:t>，</w:t>
                  </w:r>
                  <w:r>
                    <w:rPr>
                      <w:rFonts w:hint="eastAsia" w:cs="Times New Roman"/>
                      <w:b w:val="0"/>
                      <w:bCs w:val="0"/>
                      <w:color w:val="auto"/>
                      <w:sz w:val="21"/>
                      <w:szCs w:val="21"/>
                      <w:highlight w:val="none"/>
                      <w:u w:val="single"/>
                      <w:shd w:val="clear" w:color="auto" w:fill="auto"/>
                      <w:lang w:val="en-US" w:eastAsia="zh-CN"/>
                    </w:rPr>
                    <w:t>两种施工工艺存在同时施工</w:t>
                  </w:r>
                </w:p>
              </w:tc>
            </w:tr>
          </w:tbl>
          <w:p w14:paraId="5CB07819">
            <w:pPr>
              <w:numPr>
                <w:ilvl w:val="0"/>
                <w:numId w:val="8"/>
              </w:numPr>
              <w:tabs>
                <w:tab w:val="clear" w:pos="0"/>
              </w:tabs>
              <w:spacing w:line="360" w:lineRule="auto"/>
              <w:ind w:left="0" w:leftChars="0" w:firstLine="420" w:firstLineChars="0"/>
              <w:rPr>
                <w:rFonts w:hint="eastAsia" w:ascii="Times New Roman" w:hAnsi="Times New Roman" w:eastAsia="宋体" w:cs="Times New Roman"/>
                <w:b/>
                <w:bCs/>
                <w:color w:val="auto"/>
                <w:sz w:val="24"/>
                <w:highlight w:val="none"/>
                <w:u w:val="none"/>
                <w:shd w:val="clear" w:color="auto" w:fill="auto"/>
                <w:lang w:eastAsia="zh-CN"/>
              </w:rPr>
            </w:pPr>
            <w:r>
              <w:rPr>
                <w:rFonts w:hint="eastAsia" w:ascii="Times New Roman" w:hAnsi="Times New Roman" w:eastAsia="宋体" w:cs="Times New Roman"/>
                <w:b/>
                <w:bCs/>
                <w:color w:val="auto"/>
                <w:sz w:val="24"/>
                <w:highlight w:val="none"/>
                <w:u w:val="none"/>
                <w:shd w:val="clear" w:color="auto" w:fill="auto"/>
                <w:lang w:eastAsia="zh-CN"/>
              </w:rPr>
              <w:t>设计高程</w:t>
            </w:r>
          </w:p>
          <w:p w14:paraId="039B6674">
            <w:pPr>
              <w:pStyle w:val="40"/>
              <w:spacing w:before="0" w:beforeAutospacing="0" w:after="0" w:afterAutospacing="0" w:line="360" w:lineRule="auto"/>
              <w:ind w:firstLine="480" w:firstLineChars="20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eastAsia="zh-CN"/>
              </w:rPr>
              <w:t>钦州港金谷港区金鼓江作业区16#、17#泊位工程于</w:t>
            </w:r>
            <w:r>
              <w:rPr>
                <w:rFonts w:hint="default" w:ascii="Times New Roman" w:hAnsi="Times New Roman" w:eastAsia="宋体" w:cs="Times New Roman"/>
                <w:color w:val="auto"/>
                <w:szCs w:val="24"/>
                <w:highlight w:val="none"/>
                <w:lang w:val="en-US" w:eastAsia="zh-CN"/>
              </w:rPr>
              <w:t>2015年年底开工建设，2017年完成填海工作，2021年3月竣工，2022年5月完成环保竣工验收。</w:t>
            </w:r>
          </w:p>
          <w:p w14:paraId="5F541F20">
            <w:pPr>
              <w:autoSpaceDE w:val="0"/>
              <w:autoSpaceDN w:val="0"/>
              <w:adjustRightInd w:val="0"/>
              <w:snapToGrid w:val="0"/>
              <w:spacing w:line="360" w:lineRule="auto"/>
              <w:ind w:firstLine="480" w:firstLineChars="200"/>
              <w:rPr>
                <w:rFonts w:hint="eastAsia"/>
                <w:b w:val="0"/>
                <w:bCs w:val="0"/>
                <w:color w:val="auto"/>
                <w:sz w:val="24"/>
                <w:highlight w:val="none"/>
                <w:u w:val="none"/>
                <w:shd w:val="clear" w:color="auto" w:fill="auto"/>
                <w:lang w:val="en-US" w:eastAsia="zh-CN"/>
              </w:rPr>
            </w:pPr>
            <w:r>
              <w:rPr>
                <w:rFonts w:hint="default" w:ascii="Times New Roman" w:hAnsi="Times New Roman" w:eastAsia="宋体" w:cs="Times New Roman"/>
                <w:b w:val="0"/>
                <w:bCs w:val="0"/>
                <w:color w:val="auto"/>
                <w:sz w:val="24"/>
                <w:highlight w:val="none"/>
                <w:u w:val="none"/>
                <w:shd w:val="clear" w:color="auto" w:fill="auto"/>
                <w:lang w:eastAsia="zh-CN"/>
              </w:rPr>
              <w:t>为满足运营需要，本次对钦州港金谷</w:t>
            </w:r>
            <w:r>
              <w:rPr>
                <w:rFonts w:hint="eastAsia" w:ascii="Times New Roman" w:hAnsi="Times New Roman" w:eastAsia="宋体" w:cs="Times New Roman"/>
                <w:b w:val="0"/>
                <w:bCs w:val="0"/>
                <w:color w:val="auto"/>
                <w:sz w:val="24"/>
                <w:highlight w:val="none"/>
                <w:u w:val="none"/>
                <w:shd w:val="clear" w:color="auto" w:fill="auto"/>
                <w:lang w:eastAsia="zh-CN"/>
              </w:rPr>
              <w:t>港区金鼓江作业区16#、17#泊位回旋水域（</w:t>
            </w:r>
            <w:r>
              <w:rPr>
                <w:rFonts w:hint="eastAsia" w:ascii="Times New Roman" w:hAnsi="Times New Roman" w:eastAsia="宋体" w:cs="Times New Roman"/>
                <w:b w:val="0"/>
                <w:bCs w:val="0"/>
                <w:color w:val="auto"/>
                <w:sz w:val="24"/>
                <w:highlight w:val="none"/>
                <w:u w:val="none"/>
                <w:shd w:val="clear" w:color="auto" w:fill="auto"/>
                <w:lang w:val="en-US" w:eastAsia="zh-CN"/>
              </w:rPr>
              <w:t>航道内部分</w:t>
            </w:r>
            <w:r>
              <w:rPr>
                <w:rFonts w:hint="eastAsia" w:ascii="Times New Roman" w:hAnsi="Times New Roman" w:eastAsia="宋体" w:cs="Times New Roman"/>
                <w:b w:val="0"/>
                <w:bCs w:val="0"/>
                <w:color w:val="auto"/>
                <w:sz w:val="24"/>
                <w:highlight w:val="none"/>
                <w:u w:val="none"/>
                <w:shd w:val="clear" w:color="auto" w:fill="auto"/>
                <w:lang w:eastAsia="zh-CN"/>
              </w:rPr>
              <w:t>）进行疏浚，</w:t>
            </w:r>
            <w:r>
              <w:rPr>
                <w:rFonts w:hint="eastAsia"/>
                <w:b w:val="0"/>
                <w:bCs w:val="0"/>
                <w:color w:val="auto"/>
                <w:sz w:val="24"/>
                <w:highlight w:val="none"/>
                <w:u w:val="none"/>
                <w:shd w:val="clear" w:color="auto" w:fill="auto"/>
                <w:lang w:val="en-US" w:eastAsia="zh-CN"/>
              </w:rPr>
              <w:t>16#17#码头港池回旋水域（航道内部分）清淤深度≥-11.3米，除此之外码头其他原设计参数不变。</w:t>
            </w:r>
          </w:p>
          <w:p w14:paraId="1149C04D">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疏浚物处置方案</w:t>
            </w:r>
          </w:p>
          <w:p w14:paraId="07B1DC95">
            <w:pPr>
              <w:pStyle w:val="40"/>
              <w:spacing w:before="0" w:beforeAutospacing="0" w:after="0" w:afterAutospacing="0" w:line="360" w:lineRule="auto"/>
              <w:ind w:firstLine="480" w:firstLineChars="200"/>
              <w:jc w:val="both"/>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项目正在设计阶段，建设单位后续会委托有资质单位对区域疏浚物进行检测，本项目与钦州港金谷港区金鼓江作业区16#17#泊位码头停泊及回旋水域清淤疏浚项目相邻，参照《钦州港金谷港区金鼓江作业区16#17#泊位码头停泊及回旋水域清淤疏浚项目疏浚物海洋倾倒检测评价报告》（详见附件4），区域疏浚物的所有化学组分均不超过《海洋倾倒物质评价规范疏浚物》（GB30980-2014）表1中的化学组分评价限值的下限，符合 6.1 a)的条件要求，监测的所有疏浚物均为清洁疏浚物（I 类），符合向海倾倒废弃物，符合法律法规和标准的相关要求。</w:t>
            </w:r>
          </w:p>
          <w:p w14:paraId="6A5F0843">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u w:val="singl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根据项目设计方案，项目产生疏浚物量为9.3万</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，产生的疏浚物由2500</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泥驳船和3500</w:t>
            </w:r>
            <w:r>
              <w:rPr>
                <w:rFonts w:hint="default" w:ascii="Times New Roman" w:hAnsi="Times New Roman" w:eastAsia="宋体" w:cs="Times New Roman"/>
                <w:b w:val="0"/>
                <w:bCs w:val="0"/>
                <w:color w:val="auto"/>
                <w:sz w:val="24"/>
                <w:highlight w:val="none"/>
                <w:u w:val="none"/>
                <w:shd w:val="clear" w:color="auto" w:fill="auto"/>
                <w:lang w:val="en-US" w:eastAsia="zh-CN"/>
              </w:rPr>
              <w:t>m</w:t>
            </w:r>
            <w:r>
              <w:rPr>
                <w:rFonts w:hint="default" w:ascii="Times New Roman" w:hAnsi="Times New Roman" w:eastAsia="宋体" w:cs="Times New Roman"/>
                <w:b w:val="0"/>
                <w:bCs w:val="0"/>
                <w:color w:val="auto"/>
                <w:sz w:val="24"/>
                <w:highlight w:val="none"/>
                <w:u w:val="none"/>
                <w:shd w:val="clear" w:color="auto" w:fill="auto"/>
                <w:vertAlign w:val="superscript"/>
                <w:lang w:val="en-US" w:eastAsia="zh-CN"/>
              </w:rPr>
              <w:t>3</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耙吸船运输至</w:t>
            </w:r>
            <w:r>
              <w:rPr>
                <w:rFonts w:hint="eastAsia" w:ascii="Times New Roman" w:hAnsi="Times New Roman" w:eastAsia="宋体" w:cs="Times New Roman"/>
                <w:b w:val="0"/>
                <w:bCs w:val="0"/>
                <w:color w:val="auto"/>
                <w:sz w:val="24"/>
                <w:highlight w:val="none"/>
                <w:u w:val="none"/>
                <w:shd w:val="clear" w:color="auto" w:fill="auto"/>
                <w:lang w:val="en-US" w:eastAsia="zh-CN"/>
              </w:rPr>
              <w:t>防城港2#倾倒区</w:t>
            </w:r>
            <w:r>
              <w:rPr>
                <w:rFonts w:hint="eastAsia" w:ascii="Times New Roman" w:hAnsi="Times New Roman" w:eastAsia="宋体" w:cs="Times New Roman"/>
                <w:b w:val="0"/>
                <w:bCs w:val="0"/>
                <w:color w:val="auto"/>
                <w:sz w:val="24"/>
                <w:highlight w:val="none"/>
                <w:u w:val="none"/>
                <w:shd w:val="clear" w:color="auto" w:fill="auto"/>
                <w:vertAlign w:val="baseline"/>
                <w:lang w:val="en-US" w:eastAsia="zh-CN"/>
              </w:rPr>
              <w:t>进行抛泥，</w:t>
            </w:r>
            <w:r>
              <w:rPr>
                <w:rFonts w:hint="eastAsia" w:ascii="Times New Roman" w:hAnsi="Times New Roman" w:eastAsia="宋体" w:cs="Times New Roman"/>
                <w:b w:val="0"/>
                <w:bCs w:val="0"/>
                <w:color w:val="auto"/>
                <w:sz w:val="24"/>
                <w:highlight w:val="none"/>
                <w:u w:val="none"/>
                <w:shd w:val="clear" w:color="auto" w:fill="auto"/>
                <w:lang w:val="en-US" w:eastAsia="zh-CN"/>
              </w:rPr>
              <w:t>抛泥完成后返回项目循环作业，疏浚物运输航线距离约45km。</w:t>
            </w:r>
          </w:p>
          <w:p w14:paraId="08B14EE0">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施工前，建设单位应向生态环境部申请海洋废弃物倾倒许可文件。</w:t>
            </w:r>
          </w:p>
          <w:p w14:paraId="7E7AC6E1">
            <w:pPr>
              <w:numPr>
                <w:ilvl w:val="0"/>
                <w:numId w:val="8"/>
              </w:numPr>
              <w:tabs>
                <w:tab w:val="clear" w:pos="0"/>
              </w:tabs>
              <w:spacing w:line="360" w:lineRule="auto"/>
              <w:ind w:left="0" w:leftChars="0" w:firstLine="420" w:firstLineChars="0"/>
              <w:rPr>
                <w:rFonts w:hint="default" w:ascii="Times New Roman" w:hAnsi="Times New Roman" w:eastAsia="宋体" w:cs="Times New Roman"/>
                <w:b/>
                <w:bCs/>
                <w:color w:val="auto"/>
                <w:sz w:val="24"/>
                <w:highlight w:val="none"/>
                <w:u w:val="none"/>
                <w:shd w:val="clear" w:color="auto" w:fill="auto"/>
                <w:lang w:val="en-US" w:eastAsia="zh-CN"/>
              </w:rPr>
            </w:pPr>
            <w:r>
              <w:rPr>
                <w:rFonts w:hint="eastAsia" w:ascii="Times New Roman" w:hAnsi="Times New Roman" w:eastAsia="宋体" w:cs="Times New Roman"/>
                <w:b/>
                <w:bCs/>
                <w:color w:val="auto"/>
                <w:sz w:val="24"/>
                <w:highlight w:val="none"/>
                <w:u w:val="none"/>
                <w:shd w:val="clear" w:color="auto" w:fill="auto"/>
                <w:lang w:val="en-US" w:eastAsia="zh-CN"/>
              </w:rPr>
              <w:t>抛泥区范围及运输航线</w:t>
            </w:r>
          </w:p>
          <w:p w14:paraId="042F539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eastAsia="zh-CN"/>
              </w:rPr>
              <w:t>根据生态环境部</w:t>
            </w:r>
            <w:r>
              <w:rPr>
                <w:rFonts w:hint="eastAsia" w:ascii="Times New Roman" w:hAnsi="Times New Roman" w:eastAsia="宋体" w:cs="Times New Roman"/>
                <w:b w:val="0"/>
                <w:bCs w:val="0"/>
                <w:color w:val="auto"/>
                <w:sz w:val="24"/>
                <w:highlight w:val="none"/>
                <w:u w:val="none"/>
                <w:shd w:val="clear" w:color="auto" w:fill="auto"/>
                <w:lang w:val="en-US" w:eastAsia="zh-CN"/>
              </w:rPr>
              <w:t>2024年第9号《关于设立防城港2#倾倒区等5个倾倒区的公告》，防城港2#倾倒区具体划分海域信息见表2.2-5，防城港2#倾倒区海域范围及抛泥运输航线见图2-1。</w:t>
            </w:r>
          </w:p>
          <w:p w14:paraId="4439B455">
            <w:pPr>
              <w:snapToGrid w:val="0"/>
              <w:ind w:firstLine="422" w:firstLineChars="20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表2.2-5  防城港2＃倾倒区海域范围坐标表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971"/>
              <w:gridCol w:w="2152"/>
              <w:gridCol w:w="1435"/>
              <w:gridCol w:w="1633"/>
            </w:tblGrid>
            <w:tr w14:paraId="131E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7" w:type="pct"/>
                  <w:noWrap w:val="0"/>
                  <w:vAlign w:val="center"/>
                </w:tcPr>
                <w:p w14:paraId="1137ECD2">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界址点</w:t>
                  </w:r>
                </w:p>
              </w:tc>
              <w:tc>
                <w:tcPr>
                  <w:tcW w:w="1176" w:type="pct"/>
                  <w:noWrap w:val="0"/>
                  <w:vAlign w:val="center"/>
                </w:tcPr>
                <w:p w14:paraId="7410A8CC">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经度</w:t>
                  </w:r>
                </w:p>
              </w:tc>
              <w:tc>
                <w:tcPr>
                  <w:tcW w:w="1284" w:type="pct"/>
                  <w:noWrap w:val="0"/>
                  <w:vAlign w:val="center"/>
                </w:tcPr>
                <w:p w14:paraId="4FF6D0E7">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纬度</w:t>
                  </w:r>
                </w:p>
              </w:tc>
              <w:tc>
                <w:tcPr>
                  <w:tcW w:w="856" w:type="pct"/>
                  <w:noWrap w:val="0"/>
                  <w:vAlign w:val="center"/>
                </w:tcPr>
                <w:p w14:paraId="1A717758">
                  <w:pPr>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面积（km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p>
              </w:tc>
              <w:tc>
                <w:tcPr>
                  <w:tcW w:w="974" w:type="pct"/>
                  <w:noWrap w:val="0"/>
                  <w:vAlign w:val="center"/>
                </w:tcPr>
                <w:p w14:paraId="48C0150E">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用途</w:t>
                  </w:r>
                </w:p>
              </w:tc>
            </w:tr>
            <w:tr w14:paraId="65F4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7" w:type="pct"/>
                  <w:noWrap w:val="0"/>
                  <w:vAlign w:val="center"/>
                </w:tcPr>
                <w:p w14:paraId="78C5BDF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176" w:type="pct"/>
                  <w:noWrap w:val="0"/>
                  <w:vAlign w:val="center"/>
                </w:tcPr>
                <w:p w14:paraId="174F5B3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108°30′29.47″</w:t>
                  </w:r>
                </w:p>
              </w:tc>
              <w:tc>
                <w:tcPr>
                  <w:tcW w:w="1284" w:type="pct"/>
                  <w:noWrap w:val="0"/>
                  <w:vAlign w:val="center"/>
                </w:tcPr>
                <w:p w14:paraId="67734C5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21°24′54.76″</w:t>
                  </w:r>
                </w:p>
              </w:tc>
              <w:tc>
                <w:tcPr>
                  <w:tcW w:w="856" w:type="pct"/>
                  <w:vMerge w:val="restart"/>
                  <w:noWrap w:val="0"/>
                  <w:vAlign w:val="center"/>
                </w:tcPr>
                <w:p w14:paraId="73520AB3">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color w:val="auto"/>
                      <w:sz w:val="21"/>
                      <w:szCs w:val="21"/>
                      <w:highlight w:val="none"/>
                      <w:u w:val="none"/>
                      <w:shd w:val="clear" w:color="auto" w:fill="auto"/>
                      <w:lang w:val="en-US" w:eastAsia="zh-CN"/>
                    </w:rPr>
                    <w:t>9.3</w:t>
                  </w:r>
                </w:p>
              </w:tc>
              <w:tc>
                <w:tcPr>
                  <w:tcW w:w="974" w:type="pct"/>
                  <w:vMerge w:val="restart"/>
                  <w:noWrap w:val="0"/>
                  <w:vAlign w:val="center"/>
                </w:tcPr>
                <w:p w14:paraId="0F658562">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用于处置符合相关标准和要求的疏浚物</w:t>
                  </w:r>
                </w:p>
              </w:tc>
            </w:tr>
            <w:tr w14:paraId="2BCC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7" w:type="pct"/>
                  <w:noWrap w:val="0"/>
                  <w:vAlign w:val="center"/>
                </w:tcPr>
                <w:p w14:paraId="69F99527">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176" w:type="pct"/>
                  <w:noWrap w:val="0"/>
                  <w:vAlign w:val="center"/>
                </w:tcPr>
                <w:p w14:paraId="6D3BBB83">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108°30′29.47″</w:t>
                  </w:r>
                </w:p>
              </w:tc>
              <w:tc>
                <w:tcPr>
                  <w:tcW w:w="1284" w:type="pct"/>
                  <w:noWrap w:val="0"/>
                  <w:vAlign w:val="center"/>
                </w:tcPr>
                <w:p w14:paraId="74F0E4D8">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21°22′44.54″</w:t>
                  </w:r>
                </w:p>
              </w:tc>
              <w:tc>
                <w:tcPr>
                  <w:tcW w:w="856" w:type="pct"/>
                  <w:vMerge w:val="continue"/>
                  <w:noWrap w:val="0"/>
                  <w:vAlign w:val="center"/>
                </w:tcPr>
                <w:p w14:paraId="432138CF">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306CDA79">
                  <w:pPr>
                    <w:snapToGrid w:val="0"/>
                    <w:jc w:val="center"/>
                    <w:rPr>
                      <w:rFonts w:hint="default" w:ascii="Times New Roman" w:hAnsi="Times New Roman" w:cs="Times New Roman"/>
                      <w:color w:val="auto"/>
                      <w:sz w:val="21"/>
                      <w:szCs w:val="21"/>
                      <w:highlight w:val="none"/>
                    </w:rPr>
                  </w:pPr>
                </w:p>
              </w:tc>
            </w:tr>
            <w:tr w14:paraId="45E3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7" w:type="pct"/>
                  <w:noWrap w:val="0"/>
                  <w:vAlign w:val="center"/>
                </w:tcPr>
                <w:p w14:paraId="7C6A7468">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176" w:type="pct"/>
                  <w:noWrap w:val="0"/>
                  <w:vAlign w:val="center"/>
                </w:tcPr>
                <w:p w14:paraId="11D58B88">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108°31′49.80″</w:t>
                  </w:r>
                </w:p>
              </w:tc>
              <w:tc>
                <w:tcPr>
                  <w:tcW w:w="1284" w:type="pct"/>
                  <w:noWrap w:val="0"/>
                  <w:vAlign w:val="center"/>
                </w:tcPr>
                <w:p w14:paraId="12FA65F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21°22′43.96″</w:t>
                  </w:r>
                </w:p>
              </w:tc>
              <w:tc>
                <w:tcPr>
                  <w:tcW w:w="856" w:type="pct"/>
                  <w:vMerge w:val="continue"/>
                  <w:noWrap w:val="0"/>
                  <w:vAlign w:val="center"/>
                </w:tcPr>
                <w:p w14:paraId="4A3A0C9E">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47E09402">
                  <w:pPr>
                    <w:snapToGrid w:val="0"/>
                    <w:jc w:val="center"/>
                    <w:rPr>
                      <w:rFonts w:hint="default" w:ascii="Times New Roman" w:hAnsi="Times New Roman" w:cs="Times New Roman"/>
                      <w:color w:val="auto"/>
                      <w:sz w:val="21"/>
                      <w:szCs w:val="21"/>
                      <w:highlight w:val="none"/>
                    </w:rPr>
                  </w:pPr>
                </w:p>
              </w:tc>
            </w:tr>
            <w:tr w14:paraId="494F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7" w:type="pct"/>
                  <w:noWrap w:val="0"/>
                  <w:vAlign w:val="center"/>
                </w:tcPr>
                <w:p w14:paraId="00993C9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176" w:type="pct"/>
                  <w:noWrap w:val="0"/>
                  <w:vAlign w:val="center"/>
                </w:tcPr>
                <w:p w14:paraId="79CCDF6F">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108°31′48.57″</w:t>
                  </w:r>
                </w:p>
              </w:tc>
              <w:tc>
                <w:tcPr>
                  <w:tcW w:w="1284" w:type="pct"/>
                  <w:noWrap w:val="0"/>
                  <w:vAlign w:val="center"/>
                </w:tcPr>
                <w:p w14:paraId="6C63604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21°24′56.49″</w:t>
                  </w:r>
                </w:p>
              </w:tc>
              <w:tc>
                <w:tcPr>
                  <w:tcW w:w="856" w:type="pct"/>
                  <w:vMerge w:val="continue"/>
                  <w:noWrap w:val="0"/>
                  <w:vAlign w:val="center"/>
                </w:tcPr>
                <w:p w14:paraId="1417D129">
                  <w:pPr>
                    <w:snapToGrid w:val="0"/>
                    <w:jc w:val="center"/>
                    <w:rPr>
                      <w:rFonts w:hint="default" w:ascii="Times New Roman" w:hAnsi="Times New Roman" w:cs="Times New Roman"/>
                      <w:color w:val="auto"/>
                      <w:sz w:val="21"/>
                      <w:szCs w:val="21"/>
                      <w:highlight w:val="none"/>
                    </w:rPr>
                  </w:pPr>
                </w:p>
              </w:tc>
              <w:tc>
                <w:tcPr>
                  <w:tcW w:w="974" w:type="pct"/>
                  <w:vMerge w:val="continue"/>
                  <w:noWrap w:val="0"/>
                  <w:vAlign w:val="center"/>
                </w:tcPr>
                <w:p w14:paraId="52203C5B">
                  <w:pPr>
                    <w:snapToGrid w:val="0"/>
                    <w:jc w:val="center"/>
                    <w:rPr>
                      <w:rFonts w:hint="default" w:ascii="Times New Roman" w:hAnsi="Times New Roman" w:cs="Times New Roman"/>
                      <w:color w:val="auto"/>
                      <w:sz w:val="21"/>
                      <w:szCs w:val="21"/>
                      <w:highlight w:val="none"/>
                    </w:rPr>
                  </w:pPr>
                </w:p>
              </w:tc>
            </w:tr>
          </w:tbl>
          <w:p w14:paraId="476E74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color w:val="auto"/>
                <w:highlight w:val="none"/>
              </w:rPr>
            </w:pPr>
          </w:p>
          <w:p w14:paraId="19D012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textAlignment w:val="auto"/>
              <w:rPr>
                <w:b/>
                <w:bCs/>
                <w:color w:val="auto"/>
                <w:highlight w:val="none"/>
              </w:rPr>
            </w:pPr>
            <w:r>
              <w:rPr>
                <w:color w:val="auto"/>
                <w:highlight w:val="none"/>
              </w:rPr>
              <w:drawing>
                <wp:inline distT="0" distB="0" distL="114300" distR="114300">
                  <wp:extent cx="5200650" cy="4267200"/>
                  <wp:effectExtent l="0" t="0" r="0" b="0"/>
                  <wp:docPr id="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2"/>
                          <pic:cNvPicPr>
                            <a:picLocks noChangeAspect="1"/>
                          </pic:cNvPicPr>
                        </pic:nvPicPr>
                        <pic:blipFill>
                          <a:blip r:embed="rId12"/>
                          <a:stretch>
                            <a:fillRect/>
                          </a:stretch>
                        </pic:blipFill>
                        <pic:spPr>
                          <a:xfrm>
                            <a:off x="0" y="0"/>
                            <a:ext cx="5200650" cy="4267200"/>
                          </a:xfrm>
                          <a:prstGeom prst="rect">
                            <a:avLst/>
                          </a:prstGeom>
                          <a:noFill/>
                          <a:ln>
                            <a:noFill/>
                          </a:ln>
                        </pic:spPr>
                      </pic:pic>
                    </a:graphicData>
                  </a:graphic>
                </wp:inline>
              </w:drawing>
            </w:r>
          </w:p>
          <w:p w14:paraId="530362B6">
            <w:pPr>
              <w:numPr>
                <w:ilvl w:val="0"/>
                <w:numId w:val="0"/>
              </w:numPr>
              <w:spacing w:line="360" w:lineRule="auto"/>
              <w:jc w:val="center"/>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b/>
                <w:bCs/>
                <w:color w:val="auto"/>
                <w:sz w:val="24"/>
                <w:szCs w:val="24"/>
                <w:highlight w:val="none"/>
                <w:u w:val="none"/>
                <w:lang w:eastAsia="zh-CN"/>
              </w:rPr>
              <w:t>图</w:t>
            </w:r>
            <w:r>
              <w:rPr>
                <w:rFonts w:hint="eastAsia"/>
                <w:b/>
                <w:bCs/>
                <w:color w:val="auto"/>
                <w:sz w:val="24"/>
                <w:szCs w:val="24"/>
                <w:highlight w:val="none"/>
                <w:u w:val="none"/>
                <w:lang w:val="en-US" w:eastAsia="zh-CN"/>
              </w:rPr>
              <w:t xml:space="preserve">2-1 </w:t>
            </w:r>
            <w:r>
              <w:rPr>
                <w:rFonts w:hint="eastAsia" w:ascii="Times New Roman" w:hAnsi="Times New Roman" w:eastAsia="宋体" w:cs="Times New Roman"/>
                <w:b/>
                <w:bCs/>
                <w:color w:val="auto"/>
                <w:sz w:val="24"/>
                <w:szCs w:val="24"/>
                <w:highlight w:val="none"/>
                <w:u w:val="none"/>
                <w:lang w:val="en-US" w:eastAsia="zh-CN"/>
              </w:rPr>
              <w:t>防城港2＃倾倒区海域范围及抛泥运输航线</w:t>
            </w:r>
          </w:p>
        </w:tc>
      </w:tr>
      <w:tr w14:paraId="64948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455" w:type="dxa"/>
            <w:noWrap w:val="0"/>
            <w:vAlign w:val="center"/>
          </w:tcPr>
          <w:p w14:paraId="23B7E3ED">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总平面及现场布置</w:t>
            </w:r>
          </w:p>
        </w:tc>
        <w:tc>
          <w:tcPr>
            <w:tcW w:w="8605" w:type="dxa"/>
            <w:noWrap w:val="0"/>
            <w:vAlign w:val="top"/>
          </w:tcPr>
          <w:p w14:paraId="1C0C78F6">
            <w:pPr>
              <w:adjustRightInd w:val="0"/>
              <w:spacing w:line="360" w:lineRule="auto"/>
              <w:textAlignment w:val="baseline"/>
              <w:rPr>
                <w:b/>
                <w:color w:val="auto"/>
                <w:sz w:val="28"/>
                <w:szCs w:val="28"/>
                <w:highlight w:val="none"/>
              </w:rPr>
            </w:pPr>
            <w:r>
              <w:rPr>
                <w:rFonts w:hint="eastAsia"/>
                <w:b/>
                <w:color w:val="auto"/>
                <w:sz w:val="28"/>
                <w:szCs w:val="28"/>
                <w:highlight w:val="none"/>
                <w:lang w:val="en-US" w:eastAsia="zh-CN"/>
              </w:rPr>
              <w:t>2.3.1</w:t>
            </w:r>
            <w:r>
              <w:rPr>
                <w:b/>
                <w:color w:val="auto"/>
                <w:sz w:val="28"/>
                <w:szCs w:val="28"/>
                <w:highlight w:val="none"/>
              </w:rPr>
              <w:t>总平面布置</w:t>
            </w:r>
          </w:p>
          <w:p w14:paraId="2A3C3014">
            <w:pPr>
              <w:spacing w:line="360" w:lineRule="auto"/>
              <w:ind w:firstLine="480" w:firstLineChars="200"/>
              <w:rPr>
                <w:color w:val="auto"/>
                <w:sz w:val="24"/>
                <w:highlight w:val="none"/>
              </w:rPr>
            </w:pPr>
            <w:r>
              <w:rPr>
                <w:rFonts w:hint="eastAsia"/>
                <w:color w:val="auto"/>
                <w:sz w:val="24"/>
                <w:highlight w:val="none"/>
                <w:lang w:eastAsia="zh-CN"/>
              </w:rPr>
              <w:t>本次维护性疏浚工程总平面布置</w:t>
            </w:r>
            <w:r>
              <w:rPr>
                <w:rFonts w:hint="eastAsia"/>
                <w:color w:val="auto"/>
                <w:sz w:val="24"/>
                <w:highlight w:val="none"/>
                <w:lang w:val="en-US" w:eastAsia="zh-CN"/>
              </w:rPr>
              <w:t>为金鼓江航道内钦州港金谷港区金鼓江作业区16#17#泊位码头共用回旋水域</w:t>
            </w:r>
            <w:r>
              <w:rPr>
                <w:rFonts w:hint="eastAsia"/>
                <w:color w:val="auto"/>
                <w:sz w:val="24"/>
                <w:highlight w:val="none"/>
                <w:lang w:eastAsia="zh-CN"/>
              </w:rPr>
              <w:t>，疏浚面积约</w:t>
            </w:r>
            <w:r>
              <w:rPr>
                <w:rFonts w:hint="eastAsia"/>
                <w:color w:val="auto"/>
                <w:sz w:val="24"/>
                <w:highlight w:val="none"/>
                <w:lang w:val="en-US" w:eastAsia="zh-CN"/>
              </w:rPr>
              <w:t>7.93hm</w:t>
            </w:r>
            <w:r>
              <w:rPr>
                <w:rFonts w:hint="eastAsia"/>
                <w:color w:val="auto"/>
                <w:sz w:val="24"/>
                <w:highlight w:val="none"/>
                <w:vertAlign w:val="superscript"/>
                <w:lang w:val="en-US" w:eastAsia="zh-CN"/>
              </w:rPr>
              <w:t>2</w:t>
            </w:r>
            <w:r>
              <w:rPr>
                <w:rFonts w:hint="eastAsia"/>
                <w:color w:val="auto"/>
                <w:sz w:val="24"/>
                <w:highlight w:val="none"/>
                <w:lang w:eastAsia="zh-CN"/>
              </w:rPr>
              <w:t>，依托金鼓江航道将疏浚物运输至防城港2#倾倒区进行抛泥，抛泥运输航线距离约</w:t>
            </w:r>
            <w:r>
              <w:rPr>
                <w:rFonts w:hint="eastAsia"/>
                <w:color w:val="auto"/>
                <w:sz w:val="24"/>
                <w:highlight w:val="none"/>
                <w:lang w:val="en-US" w:eastAsia="zh-CN"/>
              </w:rPr>
              <w:t>45km</w:t>
            </w:r>
            <w:r>
              <w:rPr>
                <w:color w:val="auto"/>
                <w:sz w:val="24"/>
                <w:highlight w:val="none"/>
              </w:rPr>
              <w:t>。</w:t>
            </w:r>
          </w:p>
          <w:p w14:paraId="437D567E">
            <w:pPr>
              <w:spacing w:line="360" w:lineRule="auto"/>
              <w:ind w:firstLine="480" w:firstLineChars="200"/>
              <w:rPr>
                <w:color w:val="auto"/>
                <w:sz w:val="24"/>
                <w:highlight w:val="none"/>
              </w:rPr>
            </w:pPr>
            <w:r>
              <w:rPr>
                <w:rFonts w:hint="eastAsia"/>
                <w:color w:val="auto"/>
                <w:sz w:val="24"/>
                <w:highlight w:val="none"/>
                <w:lang w:eastAsia="zh-CN"/>
              </w:rPr>
              <w:t>项目总平面布置图详见附图</w:t>
            </w:r>
            <w:r>
              <w:rPr>
                <w:rFonts w:hint="eastAsia"/>
                <w:color w:val="auto"/>
                <w:sz w:val="24"/>
                <w:highlight w:val="none"/>
                <w:lang w:val="en-US" w:eastAsia="zh-CN"/>
              </w:rPr>
              <w:t>2</w:t>
            </w:r>
            <w:r>
              <w:rPr>
                <w:color w:val="auto"/>
                <w:sz w:val="24"/>
                <w:highlight w:val="none"/>
              </w:rPr>
              <w:t>。</w:t>
            </w:r>
          </w:p>
          <w:p w14:paraId="4D94DF37">
            <w:pPr>
              <w:adjustRightInd w:val="0"/>
              <w:spacing w:line="360" w:lineRule="auto"/>
              <w:textAlignment w:val="baseline"/>
              <w:rPr>
                <w:b/>
                <w:color w:val="auto"/>
                <w:sz w:val="28"/>
                <w:szCs w:val="28"/>
                <w:highlight w:val="none"/>
              </w:rPr>
            </w:pPr>
            <w:r>
              <w:rPr>
                <w:rFonts w:hint="eastAsia"/>
                <w:b/>
                <w:color w:val="auto"/>
                <w:sz w:val="28"/>
                <w:szCs w:val="28"/>
                <w:highlight w:val="none"/>
                <w:lang w:val="en-US" w:eastAsia="zh-CN"/>
              </w:rPr>
              <w:t>2.3.2</w:t>
            </w:r>
            <w:r>
              <w:rPr>
                <w:rFonts w:hint="eastAsia"/>
                <w:b/>
                <w:color w:val="auto"/>
                <w:sz w:val="28"/>
                <w:szCs w:val="28"/>
                <w:highlight w:val="none"/>
              </w:rPr>
              <w:t>施工总体布</w:t>
            </w:r>
            <w:r>
              <w:rPr>
                <w:b/>
                <w:color w:val="auto"/>
                <w:sz w:val="28"/>
                <w:szCs w:val="28"/>
                <w:highlight w:val="none"/>
              </w:rPr>
              <w:t>置</w:t>
            </w:r>
          </w:p>
          <w:p w14:paraId="7AA25D5C">
            <w:pPr>
              <w:spacing w:line="360" w:lineRule="auto"/>
              <w:ind w:firstLine="480" w:firstLineChars="200"/>
              <w:rPr>
                <w:rFonts w:hint="eastAsia"/>
                <w:color w:val="auto"/>
                <w:sz w:val="24"/>
                <w:highlight w:val="none"/>
                <w:lang w:eastAsia="zh-CN"/>
              </w:rPr>
            </w:pPr>
            <w:r>
              <w:rPr>
                <w:rFonts w:hint="eastAsia" w:ascii="Times New Roman" w:hAnsi="Times New Roman" w:eastAsia="宋体" w:cs="Times New Roman"/>
                <w:color w:val="auto"/>
                <w:sz w:val="24"/>
                <w:highlight w:val="none"/>
                <w:lang w:eastAsia="zh-CN"/>
              </w:rPr>
              <w:t>本项目维护性疏浚分为</w:t>
            </w:r>
            <w:r>
              <w:rPr>
                <w:rFonts w:hint="eastAsia" w:ascii="Times New Roman" w:hAnsi="Times New Roman" w:eastAsia="宋体" w:cs="Times New Roman"/>
                <w:color w:val="auto"/>
                <w:sz w:val="24"/>
                <w:highlight w:val="none"/>
                <w:lang w:val="en-US" w:eastAsia="zh-CN"/>
              </w:rPr>
              <w:t>金鼓江航道内1</w:t>
            </w:r>
            <w:r>
              <w:rPr>
                <w:rFonts w:hint="eastAsia" w:ascii="Times New Roman" w:hAnsi="Times New Roman" w:eastAsia="宋体" w:cs="Times New Roman"/>
                <w:color w:val="auto"/>
                <w:sz w:val="24"/>
                <w:highlight w:val="none"/>
                <w:lang w:eastAsia="zh-CN"/>
              </w:rPr>
              <w:t>6#、17#共用回旋水域</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回旋水域</w:t>
            </w:r>
            <w:r>
              <w:rPr>
                <w:rFonts w:hint="eastAsia" w:ascii="Times New Roman" w:hAnsi="Times New Roman" w:eastAsia="宋体" w:cs="Times New Roman"/>
                <w:color w:val="auto"/>
                <w:sz w:val="24"/>
                <w:highlight w:val="none"/>
                <w:lang w:val="en-US" w:eastAsia="zh-CN"/>
              </w:rPr>
              <w:t>主要</w:t>
            </w:r>
            <w:r>
              <w:rPr>
                <w:rFonts w:hint="eastAsia" w:ascii="Times New Roman" w:hAnsi="Times New Roman" w:eastAsia="宋体" w:cs="Times New Roman"/>
                <w:color w:val="auto"/>
                <w:sz w:val="24"/>
                <w:highlight w:val="none"/>
                <w:lang w:eastAsia="zh-CN"/>
              </w:rPr>
              <w:t>采用耙吸船进行疏浚工作，</w:t>
            </w:r>
            <w:r>
              <w:rPr>
                <w:rFonts w:hint="eastAsia" w:ascii="Times New Roman" w:hAnsi="Times New Roman" w:eastAsia="宋体" w:cs="Times New Roman"/>
                <w:color w:val="auto"/>
                <w:sz w:val="24"/>
                <w:highlight w:val="none"/>
                <w:lang w:val="en-US" w:eastAsia="zh-CN"/>
              </w:rPr>
              <w:t>对局部施工受限或小面积施工位置采用抓斗挖泥船进行施工</w:t>
            </w:r>
            <w:r>
              <w:rPr>
                <w:rFonts w:hint="eastAsia" w:ascii="Times New Roman" w:hAnsi="Times New Roman" w:eastAsia="宋体" w:cs="Times New Roman"/>
                <w:color w:val="auto"/>
                <w:sz w:val="24"/>
                <w:highlight w:val="none"/>
                <w:lang w:eastAsia="zh-CN"/>
              </w:rPr>
              <w:t>。疏浚物经金鼓江航道运输至</w:t>
            </w:r>
            <w:r>
              <w:rPr>
                <w:rFonts w:hint="eastAsia" w:ascii="Times New Roman" w:hAnsi="Times New Roman" w:eastAsia="宋体" w:cs="Times New Roman"/>
                <w:b w:val="0"/>
                <w:bCs w:val="0"/>
                <w:color w:val="auto"/>
                <w:sz w:val="24"/>
                <w:highlight w:val="none"/>
                <w:u w:val="none"/>
                <w:shd w:val="clear" w:color="auto" w:fill="auto"/>
                <w:lang w:val="en-US" w:eastAsia="zh-CN"/>
              </w:rPr>
              <w:t>防城港2#倾倒区</w:t>
            </w:r>
            <w:r>
              <w:rPr>
                <w:rFonts w:hint="eastAsia"/>
                <w:color w:val="auto"/>
                <w:sz w:val="24"/>
                <w:highlight w:val="none"/>
                <w:lang w:eastAsia="zh-CN"/>
              </w:rPr>
              <w:t>进行抛泥。</w:t>
            </w:r>
          </w:p>
          <w:p w14:paraId="71C723F1">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eastAsia="宋体" w:cs="Times New Roman"/>
                <w:color w:val="auto"/>
                <w:sz w:val="24"/>
                <w:highlight w:val="none"/>
                <w:lang w:val="en-US" w:eastAsia="zh-CN"/>
              </w:rPr>
              <w:t>本项目施工人数约20人，施工人员租用周边民房作为施工办公生活区，本项目不设置办公生活营地，施工材料采用施工交通船运输。</w:t>
            </w:r>
          </w:p>
        </w:tc>
      </w:tr>
      <w:tr w14:paraId="6462D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455" w:type="dxa"/>
            <w:noWrap w:val="0"/>
            <w:vAlign w:val="center"/>
          </w:tcPr>
          <w:p w14:paraId="024AF4F0">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施工</w:t>
            </w:r>
          </w:p>
          <w:p w14:paraId="0373E172">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方案</w:t>
            </w:r>
          </w:p>
        </w:tc>
        <w:tc>
          <w:tcPr>
            <w:tcW w:w="8605" w:type="dxa"/>
            <w:noWrap w:val="0"/>
            <w:vAlign w:val="top"/>
          </w:tcPr>
          <w:p w14:paraId="0161CE2F">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 xml:space="preserve">2.4.1施工条件 </w:t>
            </w:r>
          </w:p>
          <w:p w14:paraId="1EB6B501">
            <w:pPr>
              <w:spacing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sz w:val="24"/>
                <w:highlight w:val="none"/>
                <w:lang w:val="en-US" w:eastAsia="zh-CN"/>
              </w:rPr>
              <w:t>本次维护性疏浚的16#17#泊位码头回旋水域与金鼓江航道重叠，区域水域开阔、风浪小（平均波高0.5m），岸滩稳定，具备良好施工条件。</w:t>
            </w:r>
          </w:p>
          <w:p w14:paraId="40EDEF3A">
            <w:pPr>
              <w:numPr>
                <w:ilvl w:val="0"/>
                <w:numId w:val="0"/>
              </w:numPr>
              <w:spacing w:line="360" w:lineRule="auto"/>
              <w:textAlignment w:val="baseline"/>
              <w:rPr>
                <w:rFonts w:hint="eastAsia" w:ascii="Times New Roman" w:hAnsi="Times New Roman" w:eastAsia="宋体" w:cs="Times New Roman"/>
                <w:b/>
                <w:color w:val="auto"/>
                <w:sz w:val="28"/>
                <w:szCs w:val="28"/>
                <w:highlight w:val="none"/>
                <w:u w:val="none"/>
                <w:lang w:val="en-US" w:eastAsia="zh-CN"/>
              </w:rPr>
            </w:pPr>
            <w:r>
              <w:rPr>
                <w:rFonts w:hint="eastAsia" w:ascii="Times New Roman" w:hAnsi="Times New Roman" w:eastAsia="宋体" w:cs="Times New Roman"/>
                <w:b/>
                <w:color w:val="auto"/>
                <w:sz w:val="28"/>
                <w:szCs w:val="28"/>
                <w:highlight w:val="none"/>
                <w:u w:val="none"/>
                <w:lang w:val="en-US" w:eastAsia="zh-CN"/>
              </w:rPr>
              <w:t>2.4.2建设周期</w:t>
            </w:r>
          </w:p>
          <w:p w14:paraId="30869A07">
            <w:pPr>
              <w:pStyle w:val="14"/>
              <w:snapToGrid/>
              <w:spacing w:before="0" w:after="0" w:line="360" w:lineRule="auto"/>
              <w:ind w:right="0" w:firstLine="480" w:firstLineChars="200"/>
              <w:rPr>
                <w:rFonts w:hint="default"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本项目维护性疏浚总工期约3个月，预计2026年5月开工，2026年7月完工，由于项目施工位于航道内，</w:t>
            </w:r>
            <w:r>
              <w:rPr>
                <w:rFonts w:hint="eastAsia"/>
                <w:color w:val="auto"/>
                <w:sz w:val="24"/>
                <w:szCs w:val="24"/>
                <w:highlight w:val="none"/>
                <w:u w:val="none"/>
                <w:lang w:val="en-US" w:eastAsia="zh-CN"/>
              </w:rPr>
              <w:t>施工根据航道船舶航行情况进行协调施工，施工按“先无船区、后有船区”顺序施工，避免影响码头及航道通航。</w:t>
            </w:r>
          </w:p>
          <w:p w14:paraId="65684641">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2.4.3施工船舶</w:t>
            </w:r>
          </w:p>
          <w:p w14:paraId="2731CC9C">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sz w:val="24"/>
                <w:highlight w:val="none"/>
                <w:u w:val="none"/>
                <w:shd w:val="clear" w:color="auto" w:fill="auto"/>
                <w:lang w:val="en-US" w:eastAsia="zh-CN"/>
              </w:rPr>
            </w:pPr>
            <w:r>
              <w:rPr>
                <w:rFonts w:hint="eastAsia" w:ascii="Times New Roman" w:hAnsi="Times New Roman" w:eastAsia="宋体" w:cs="Times New Roman"/>
                <w:b w:val="0"/>
                <w:bCs w:val="0"/>
                <w:color w:val="auto"/>
                <w:sz w:val="24"/>
                <w:highlight w:val="none"/>
                <w:u w:val="none"/>
                <w:shd w:val="clear" w:color="auto" w:fill="auto"/>
                <w:lang w:val="en-US" w:eastAsia="zh-CN"/>
              </w:rPr>
              <w:t>根据项目施工方案，配备助力、辅助、备用设备等船机设备，项目施工船舶信息见下表。</w:t>
            </w:r>
          </w:p>
          <w:p w14:paraId="076EAE6B">
            <w:pPr>
              <w:snapToGrid w:val="0"/>
              <w:ind w:firstLine="422" w:firstLineChars="200"/>
              <w:jc w:val="center"/>
              <w:rPr>
                <w:rFonts w:hint="eastAsia"/>
                <w:color w:val="auto"/>
                <w:highlight w:val="none"/>
                <w:lang w:val="en-US" w:eastAsia="zh-CN"/>
              </w:rPr>
            </w:pPr>
            <w:r>
              <w:rPr>
                <w:rFonts w:hint="eastAsia"/>
                <w:b/>
                <w:bCs/>
                <w:color w:val="auto"/>
                <w:szCs w:val="21"/>
                <w:highlight w:val="none"/>
              </w:rPr>
              <w:t>表</w:t>
            </w:r>
            <w:r>
              <w:rPr>
                <w:rFonts w:hint="eastAsia"/>
                <w:b/>
                <w:bCs/>
                <w:color w:val="auto"/>
                <w:szCs w:val="21"/>
                <w:highlight w:val="none"/>
                <w:lang w:val="en-US" w:eastAsia="zh-CN"/>
              </w:rPr>
              <w:t>2.2-6</w:t>
            </w:r>
            <w:r>
              <w:rPr>
                <w:rFonts w:hint="eastAsia"/>
                <w:b/>
                <w:bCs/>
                <w:color w:val="auto"/>
                <w:szCs w:val="21"/>
                <w:highlight w:val="none"/>
              </w:rPr>
              <w:t xml:space="preserve">  </w:t>
            </w:r>
            <w:r>
              <w:rPr>
                <w:rFonts w:hint="eastAsia"/>
                <w:b/>
                <w:bCs/>
                <w:color w:val="auto"/>
                <w:szCs w:val="21"/>
                <w:highlight w:val="none"/>
                <w:lang w:eastAsia="zh-CN"/>
              </w:rPr>
              <w:t>本工程施工船舶信息一览表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46"/>
              <w:gridCol w:w="1803"/>
              <w:gridCol w:w="1570"/>
              <w:gridCol w:w="2398"/>
            </w:tblGrid>
            <w:tr w14:paraId="6627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4C79CDA6">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序号</w:t>
                  </w:r>
                </w:p>
              </w:tc>
              <w:tc>
                <w:tcPr>
                  <w:tcW w:w="982" w:type="pct"/>
                  <w:noWrap w:val="0"/>
                  <w:vAlign w:val="center"/>
                </w:tcPr>
                <w:p w14:paraId="116147CD">
                  <w:pPr>
                    <w:snapToGrid w:val="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船舶名称</w:t>
                  </w:r>
                </w:p>
              </w:tc>
              <w:tc>
                <w:tcPr>
                  <w:tcW w:w="1076" w:type="pct"/>
                  <w:noWrap w:val="0"/>
                  <w:vAlign w:val="center"/>
                </w:tcPr>
                <w:p w14:paraId="0BF1E65A">
                  <w:pPr>
                    <w:snapToGrid w:val="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规格</w:t>
                  </w:r>
                </w:p>
              </w:tc>
              <w:tc>
                <w:tcPr>
                  <w:tcW w:w="937" w:type="pct"/>
                  <w:noWrap w:val="0"/>
                  <w:vAlign w:val="center"/>
                </w:tcPr>
                <w:p w14:paraId="04C8F5F1">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数量（艘）</w:t>
                  </w:r>
                </w:p>
              </w:tc>
              <w:tc>
                <w:tcPr>
                  <w:tcW w:w="1431" w:type="pct"/>
                  <w:noWrap w:val="0"/>
                  <w:vAlign w:val="center"/>
                </w:tcPr>
                <w:p w14:paraId="6C37FC36">
                  <w:pPr>
                    <w:snapToGrid w:val="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主要用途</w:t>
                  </w:r>
                </w:p>
              </w:tc>
            </w:tr>
            <w:tr w14:paraId="7A28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0B0436C9">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982" w:type="pct"/>
                  <w:noWrap w:val="0"/>
                  <w:vAlign w:val="center"/>
                </w:tcPr>
                <w:p w14:paraId="179B29E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抓斗挖泥船</w:t>
                  </w:r>
                </w:p>
              </w:tc>
              <w:tc>
                <w:tcPr>
                  <w:tcW w:w="1076" w:type="pct"/>
                  <w:noWrap w:val="0"/>
                  <w:vAlign w:val="center"/>
                </w:tcPr>
                <w:p w14:paraId="1F3A3093">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r>
                    <w:rPr>
                      <w:color w:val="auto"/>
                      <w:sz w:val="21"/>
                      <w:szCs w:val="21"/>
                      <w:highlight w:val="none"/>
                    </w:rPr>
                    <w:t>m³</w:t>
                  </w:r>
                </w:p>
              </w:tc>
              <w:tc>
                <w:tcPr>
                  <w:tcW w:w="937" w:type="pct"/>
                  <w:noWrap w:val="0"/>
                  <w:vAlign w:val="center"/>
                </w:tcPr>
                <w:p w14:paraId="14930BC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1A1369D5">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停泊水域清淤</w:t>
                  </w:r>
                </w:p>
              </w:tc>
            </w:tr>
            <w:tr w14:paraId="18F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0D808115">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982" w:type="pct"/>
                  <w:noWrap w:val="0"/>
                  <w:vAlign w:val="center"/>
                </w:tcPr>
                <w:p w14:paraId="4C984521">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泥驳船</w:t>
                  </w:r>
                </w:p>
              </w:tc>
              <w:tc>
                <w:tcPr>
                  <w:tcW w:w="1076" w:type="pct"/>
                  <w:noWrap w:val="0"/>
                  <w:vAlign w:val="center"/>
                </w:tcPr>
                <w:p w14:paraId="33322FCE">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2500</w:t>
                  </w:r>
                  <w:r>
                    <w:rPr>
                      <w:color w:val="auto"/>
                      <w:sz w:val="21"/>
                      <w:szCs w:val="21"/>
                      <w:highlight w:val="none"/>
                    </w:rPr>
                    <w:t>m³</w:t>
                  </w:r>
                </w:p>
              </w:tc>
              <w:tc>
                <w:tcPr>
                  <w:tcW w:w="937" w:type="pct"/>
                  <w:noWrap w:val="0"/>
                  <w:vAlign w:val="center"/>
                </w:tcPr>
                <w:p w14:paraId="6E03C0A7">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7DCCBD78">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疏浚物运输</w:t>
                  </w:r>
                </w:p>
              </w:tc>
            </w:tr>
            <w:tr w14:paraId="6EC6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3E34F20D">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w:t>
                  </w:r>
                </w:p>
              </w:tc>
              <w:tc>
                <w:tcPr>
                  <w:tcW w:w="982" w:type="pct"/>
                  <w:noWrap w:val="0"/>
                  <w:vAlign w:val="center"/>
                </w:tcPr>
                <w:p w14:paraId="149B0BE1">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耙吸船</w:t>
                  </w:r>
                </w:p>
              </w:tc>
              <w:tc>
                <w:tcPr>
                  <w:tcW w:w="1076" w:type="pct"/>
                  <w:noWrap w:val="0"/>
                  <w:vAlign w:val="center"/>
                </w:tcPr>
                <w:p w14:paraId="59C7B42B">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3500m³</w:t>
                  </w:r>
                </w:p>
              </w:tc>
              <w:tc>
                <w:tcPr>
                  <w:tcW w:w="937" w:type="pct"/>
                  <w:noWrap w:val="0"/>
                  <w:vAlign w:val="center"/>
                </w:tcPr>
                <w:p w14:paraId="59F2F256">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4E9C177C">
                  <w:pPr>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回旋水域疏浚</w:t>
                  </w:r>
                </w:p>
              </w:tc>
            </w:tr>
            <w:tr w14:paraId="21C1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2EE4C6D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982" w:type="pct"/>
                  <w:noWrap w:val="0"/>
                  <w:vAlign w:val="center"/>
                </w:tcPr>
                <w:p w14:paraId="38C71C8A">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交通艇</w:t>
                  </w:r>
                </w:p>
              </w:tc>
              <w:tc>
                <w:tcPr>
                  <w:tcW w:w="1076" w:type="pct"/>
                  <w:noWrap w:val="0"/>
                  <w:vAlign w:val="center"/>
                </w:tcPr>
                <w:p w14:paraId="5D8B7448">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500kW</w:t>
                  </w:r>
                </w:p>
              </w:tc>
              <w:tc>
                <w:tcPr>
                  <w:tcW w:w="937" w:type="pct"/>
                  <w:noWrap w:val="0"/>
                  <w:vAlign w:val="center"/>
                </w:tcPr>
                <w:p w14:paraId="0AB85F75">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339E65FA">
                  <w:pPr>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人员运输、现场协调</w:t>
                  </w:r>
                </w:p>
              </w:tc>
            </w:tr>
            <w:tr w14:paraId="3951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24197A40">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82" w:type="pct"/>
                  <w:noWrap w:val="0"/>
                  <w:vAlign w:val="center"/>
                </w:tcPr>
                <w:p w14:paraId="4388DA31">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锚艇</w:t>
                  </w:r>
                </w:p>
              </w:tc>
              <w:tc>
                <w:tcPr>
                  <w:tcW w:w="1076" w:type="pct"/>
                  <w:noWrap w:val="0"/>
                  <w:vAlign w:val="center"/>
                </w:tcPr>
                <w:p w14:paraId="42AAEE92">
                  <w:pPr>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8</w:t>
                  </w:r>
                  <w:r>
                    <w:rPr>
                      <w:color w:val="auto"/>
                      <w:sz w:val="21"/>
                      <w:szCs w:val="21"/>
                      <w:highlight w:val="none"/>
                    </w:rPr>
                    <w:t>00kW</w:t>
                  </w:r>
                </w:p>
              </w:tc>
              <w:tc>
                <w:tcPr>
                  <w:tcW w:w="937" w:type="pct"/>
                  <w:noWrap w:val="0"/>
                  <w:vAlign w:val="center"/>
                </w:tcPr>
                <w:p w14:paraId="163A3B88">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6BE89AB6">
                  <w:pPr>
                    <w:snapToGrid w:val="0"/>
                    <w:jc w:val="center"/>
                    <w:rPr>
                      <w:color w:val="auto"/>
                      <w:sz w:val="21"/>
                      <w:szCs w:val="21"/>
                      <w:highlight w:val="none"/>
                    </w:rPr>
                  </w:pPr>
                  <w:r>
                    <w:rPr>
                      <w:color w:val="auto"/>
                      <w:sz w:val="21"/>
                      <w:szCs w:val="21"/>
                      <w:highlight w:val="none"/>
                    </w:rPr>
                    <w:t>管线固定、锚泊辅助</w:t>
                  </w:r>
                </w:p>
              </w:tc>
            </w:tr>
            <w:tr w14:paraId="615D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6A450174">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982" w:type="pct"/>
                  <w:noWrap w:val="0"/>
                  <w:vAlign w:val="center"/>
                </w:tcPr>
                <w:p w14:paraId="34201613">
                  <w:pPr>
                    <w:snapToGrid w:val="0"/>
                    <w:jc w:val="center"/>
                    <w:rPr>
                      <w:color w:val="auto"/>
                      <w:sz w:val="21"/>
                      <w:szCs w:val="21"/>
                      <w:highlight w:val="none"/>
                    </w:rPr>
                  </w:pPr>
                  <w:r>
                    <w:rPr>
                      <w:color w:val="auto"/>
                      <w:sz w:val="21"/>
                      <w:szCs w:val="21"/>
                      <w:highlight w:val="none"/>
                    </w:rPr>
                    <w:t>测量船</w:t>
                  </w:r>
                </w:p>
              </w:tc>
              <w:tc>
                <w:tcPr>
                  <w:tcW w:w="1076" w:type="pct"/>
                  <w:noWrap w:val="0"/>
                  <w:vAlign w:val="center"/>
                </w:tcPr>
                <w:p w14:paraId="4F6035A7">
                  <w:pPr>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500kW</w:t>
                  </w:r>
                </w:p>
              </w:tc>
              <w:tc>
                <w:tcPr>
                  <w:tcW w:w="937" w:type="pct"/>
                  <w:noWrap w:val="0"/>
                  <w:vAlign w:val="center"/>
                </w:tcPr>
                <w:p w14:paraId="13899B2C">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7C3D10C6">
                  <w:pPr>
                    <w:snapToGrid w:val="0"/>
                    <w:jc w:val="center"/>
                    <w:rPr>
                      <w:color w:val="auto"/>
                      <w:sz w:val="21"/>
                      <w:szCs w:val="21"/>
                      <w:highlight w:val="none"/>
                    </w:rPr>
                  </w:pPr>
                  <w:r>
                    <w:rPr>
                      <w:color w:val="auto"/>
                      <w:sz w:val="21"/>
                      <w:szCs w:val="21"/>
                      <w:highlight w:val="none"/>
                    </w:rPr>
                    <w:t>水深测量、施工定位</w:t>
                  </w:r>
                </w:p>
              </w:tc>
            </w:tr>
            <w:tr w14:paraId="0093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noWrap w:val="0"/>
                  <w:vAlign w:val="center"/>
                </w:tcPr>
                <w:p w14:paraId="32696C06">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982" w:type="pct"/>
                  <w:noWrap w:val="0"/>
                  <w:vAlign w:val="center"/>
                </w:tcPr>
                <w:p w14:paraId="5AB0B515">
                  <w:pPr>
                    <w:snapToGrid w:val="0"/>
                    <w:jc w:val="center"/>
                    <w:rPr>
                      <w:color w:val="auto"/>
                      <w:sz w:val="21"/>
                      <w:szCs w:val="21"/>
                      <w:highlight w:val="none"/>
                    </w:rPr>
                  </w:pPr>
                  <w:r>
                    <w:rPr>
                      <w:color w:val="auto"/>
                      <w:sz w:val="21"/>
                      <w:szCs w:val="21"/>
                      <w:highlight w:val="none"/>
                    </w:rPr>
                    <w:t>应急拖轮</w:t>
                  </w:r>
                </w:p>
              </w:tc>
              <w:tc>
                <w:tcPr>
                  <w:tcW w:w="1076" w:type="pct"/>
                  <w:noWrap w:val="0"/>
                  <w:vAlign w:val="center"/>
                </w:tcPr>
                <w:p w14:paraId="1490AF1E">
                  <w:pPr>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20</w:t>
                  </w:r>
                  <w:r>
                    <w:rPr>
                      <w:color w:val="auto"/>
                      <w:sz w:val="21"/>
                      <w:szCs w:val="21"/>
                      <w:highlight w:val="none"/>
                    </w:rPr>
                    <w:t>00kW</w:t>
                  </w:r>
                </w:p>
              </w:tc>
              <w:tc>
                <w:tcPr>
                  <w:tcW w:w="937" w:type="pct"/>
                  <w:noWrap w:val="0"/>
                  <w:vAlign w:val="center"/>
                </w:tcPr>
                <w:p w14:paraId="7203BB62">
                  <w:pPr>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w:t>
                  </w:r>
                </w:p>
              </w:tc>
              <w:tc>
                <w:tcPr>
                  <w:tcW w:w="1431" w:type="pct"/>
                  <w:noWrap w:val="0"/>
                  <w:vAlign w:val="center"/>
                </w:tcPr>
                <w:p w14:paraId="181DC945">
                  <w:pPr>
                    <w:snapToGrid w:val="0"/>
                    <w:jc w:val="center"/>
                    <w:rPr>
                      <w:color w:val="auto"/>
                      <w:sz w:val="21"/>
                      <w:szCs w:val="21"/>
                      <w:highlight w:val="none"/>
                    </w:rPr>
                  </w:pPr>
                  <w:r>
                    <w:rPr>
                      <w:color w:val="auto"/>
                      <w:sz w:val="21"/>
                      <w:szCs w:val="21"/>
                      <w:highlight w:val="none"/>
                    </w:rPr>
                    <w:t>船舶救援、紧急避让</w:t>
                  </w:r>
                </w:p>
              </w:tc>
            </w:tr>
          </w:tbl>
          <w:p w14:paraId="0904BCAE">
            <w:pPr>
              <w:numPr>
                <w:ilvl w:val="0"/>
                <w:numId w:val="0"/>
              </w:numPr>
              <w:spacing w:line="360" w:lineRule="auto"/>
              <w:textAlignment w:val="baseline"/>
              <w:rPr>
                <w:rFonts w:hint="eastAsia"/>
                <w:b/>
                <w:color w:val="auto"/>
                <w:sz w:val="28"/>
                <w:szCs w:val="28"/>
                <w:highlight w:val="none"/>
                <w:lang w:val="en-US" w:eastAsia="zh-CN"/>
              </w:rPr>
            </w:pPr>
            <w:r>
              <w:rPr>
                <w:rFonts w:hint="eastAsia"/>
                <w:b/>
                <w:color w:val="auto"/>
                <w:sz w:val="28"/>
                <w:szCs w:val="28"/>
                <w:highlight w:val="none"/>
                <w:lang w:val="en-US" w:eastAsia="zh-CN"/>
              </w:rPr>
              <w:t>2.4.5施工工艺</w:t>
            </w:r>
          </w:p>
          <w:p w14:paraId="60A3AED0">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highlight w:val="none"/>
                <w:u w:val="single"/>
                <w:lang w:val="en-US" w:eastAsia="zh-CN"/>
              </w:rPr>
            </w:pPr>
            <w:r>
              <w:rPr>
                <w:rFonts w:hint="eastAsia" w:ascii="Times New Roman" w:hAnsi="Times New Roman" w:eastAsia="宋体" w:cs="Times New Roman"/>
                <w:color w:val="auto"/>
                <w:sz w:val="24"/>
                <w:szCs w:val="24"/>
                <w:highlight w:val="none"/>
                <w:u w:val="none"/>
                <w:lang w:val="en-US" w:eastAsia="zh-CN"/>
              </w:rPr>
              <w:t>项目施工区域为位于金鼓江航道内的16#17#泊位共用回旋水域，对整体采用3500m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的耙吸船进行清淤工作，提高疏浚效率，减少对航道内及进港船只航行的影响，对耙吸船施工受限的区域采用10m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抓斗挖泥船</w:t>
            </w:r>
            <w:r>
              <w:rPr>
                <w:rFonts w:hint="eastAsia" w:ascii="Times New Roman" w:hAnsi="Times New Roman" w:eastAsia="宋体" w:cs="Times New Roman"/>
                <w:color w:val="auto"/>
                <w:sz w:val="24"/>
                <w:szCs w:val="24"/>
                <w:highlight w:val="none"/>
                <w:u w:val="single"/>
                <w:lang w:val="en-US" w:eastAsia="zh-CN"/>
              </w:rPr>
              <w:t>进行施工。</w:t>
            </w:r>
          </w:p>
          <w:p w14:paraId="72ED9E0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single"/>
                <w:lang w:val="en-US" w:eastAsia="zh-CN"/>
              </w:rPr>
            </w:pPr>
            <w:r>
              <w:rPr>
                <w:rFonts w:hint="eastAsia" w:ascii="Times New Roman" w:hAnsi="Times New Roman" w:eastAsia="宋体" w:cs="Times New Roman"/>
                <w:color w:val="auto"/>
                <w:sz w:val="24"/>
                <w:szCs w:val="24"/>
                <w:highlight w:val="none"/>
                <w:u w:val="single"/>
                <w:lang w:val="en-US" w:eastAsia="zh-CN"/>
              </w:rPr>
              <w:t>项目维护性疏浚耙吸船和抓斗挖泥船同时施工，耙吸船施工工艺和抓斗挖泥船施工工艺详见2.4.5.1和2.4.5.2章节。</w:t>
            </w:r>
          </w:p>
          <w:p w14:paraId="6CD840E1">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drawing>
                <wp:inline distT="0" distB="0" distL="114300" distR="114300">
                  <wp:extent cx="5241290" cy="2976245"/>
                  <wp:effectExtent l="0" t="0" r="0" b="0"/>
                  <wp:docPr id="37" name="ECB019B1-382A-4266-B25C-5B523AA43C14-1" descr="C:/Users/Administrator/AppData/Local/Temp/wps.AgNlq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1" descr="C:/Users/Administrator/AppData/Local/Temp/wps.AgNlqqwps"/>
                          <pic:cNvPicPr>
                            <a:picLocks noChangeAspect="1"/>
                          </pic:cNvPicPr>
                        </pic:nvPicPr>
                        <pic:blipFill>
                          <a:blip r:embed="rId13"/>
                          <a:srcRect l="2348" r="1494"/>
                          <a:stretch>
                            <a:fillRect/>
                          </a:stretch>
                        </pic:blipFill>
                        <pic:spPr>
                          <a:xfrm>
                            <a:off x="0" y="0"/>
                            <a:ext cx="5241290" cy="2976245"/>
                          </a:xfrm>
                          <a:prstGeom prst="rect">
                            <a:avLst/>
                          </a:prstGeom>
                          <a:noFill/>
                          <a:ln>
                            <a:noFill/>
                          </a:ln>
                        </pic:spPr>
                      </pic:pic>
                    </a:graphicData>
                  </a:graphic>
                </wp:inline>
              </w:drawing>
            </w:r>
          </w:p>
          <w:p w14:paraId="78584695">
            <w:pPr>
              <w:autoSpaceDE w:val="0"/>
              <w:autoSpaceDN w:val="0"/>
              <w:adjustRightInd w:val="0"/>
              <w:snapToGrid w:val="0"/>
              <w:spacing w:line="360" w:lineRule="auto"/>
              <w:ind w:firstLine="482" w:firstLineChars="200"/>
              <w:jc w:val="center"/>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sz w:val="24"/>
                <w:highlight w:val="none"/>
                <w:u w:val="single"/>
                <w:shd w:val="clear" w:color="auto" w:fill="auto"/>
                <w:lang w:val="en-US" w:eastAsia="zh-CN"/>
              </w:rPr>
              <w:t xml:space="preserve">图2-2 </w:t>
            </w:r>
            <w:r>
              <w:rPr>
                <w:rFonts w:hint="eastAsia" w:ascii="Times New Roman" w:hAnsi="Times New Roman" w:eastAsia="宋体" w:cs="Times New Roman"/>
                <w:b/>
                <w:bCs/>
                <w:color w:val="auto"/>
                <w:kern w:val="2"/>
                <w:sz w:val="24"/>
                <w:szCs w:val="24"/>
                <w:highlight w:val="none"/>
                <w:u w:val="single"/>
                <w:lang w:val="en-US" w:eastAsia="zh-CN" w:bidi="ar-SA"/>
              </w:rPr>
              <w:t>整体施工工艺流程</w:t>
            </w:r>
            <w:r>
              <w:rPr>
                <w:rFonts w:hint="eastAsia" w:cs="Times New Roman"/>
                <w:b/>
                <w:bCs/>
                <w:color w:val="auto"/>
                <w:kern w:val="2"/>
                <w:sz w:val="24"/>
                <w:szCs w:val="24"/>
                <w:highlight w:val="none"/>
                <w:u w:val="single"/>
                <w:lang w:val="en-US" w:eastAsia="zh-CN" w:bidi="ar-SA"/>
              </w:rPr>
              <w:t>及产污节点图</w:t>
            </w:r>
          </w:p>
          <w:p w14:paraId="6E5846EE">
            <w:pPr>
              <w:numPr>
                <w:ilvl w:val="0"/>
                <w:numId w:val="0"/>
              </w:numPr>
              <w:spacing w:line="360" w:lineRule="auto"/>
              <w:textAlignment w:val="baseline"/>
              <w:rPr>
                <w:rFonts w:hint="eastAsia"/>
                <w:b/>
                <w:color w:val="auto"/>
                <w:sz w:val="28"/>
                <w:szCs w:val="28"/>
                <w:highlight w:val="none"/>
                <w:u w:val="single"/>
              </w:rPr>
            </w:pPr>
            <w:r>
              <w:rPr>
                <w:rFonts w:hint="eastAsia"/>
                <w:b/>
                <w:color w:val="auto"/>
                <w:sz w:val="28"/>
                <w:szCs w:val="28"/>
                <w:highlight w:val="none"/>
                <w:u w:val="single"/>
                <w:lang w:val="en-US" w:eastAsia="zh-CN"/>
              </w:rPr>
              <w:t>2.4.5.1抓斗挖泥船</w:t>
            </w:r>
            <w:r>
              <w:rPr>
                <w:rFonts w:hint="eastAsia"/>
                <w:b/>
                <w:color w:val="auto"/>
                <w:sz w:val="28"/>
                <w:szCs w:val="28"/>
                <w:highlight w:val="none"/>
                <w:u w:val="single"/>
              </w:rPr>
              <w:t>施工工艺</w:t>
            </w:r>
          </w:p>
          <w:p w14:paraId="40BDED55">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val="en-US" w:eastAsia="zh-CN"/>
              </w:rPr>
              <w:t>本次维护性疏浚局部采用10</w:t>
            </w:r>
            <w:r>
              <w:rPr>
                <w:rFonts w:hint="eastAsia" w:ascii="Times New Roman" w:hAnsi="Times New Roman" w:eastAsia="宋体" w:cs="Times New Roman"/>
                <w:color w:val="auto"/>
                <w:sz w:val="24"/>
                <w:szCs w:val="24"/>
                <w:highlight w:val="none"/>
                <w:u w:val="none"/>
                <w:vertAlign w:val="baseline"/>
                <w:lang w:val="en-US" w:eastAsia="zh-CN"/>
              </w:rPr>
              <w:t>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抓斗挖泥船进行清淤工作</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lang w:val="en-US" w:eastAsia="zh-CN"/>
              </w:rPr>
              <w:t>抓斗挖泥船具有开挖度精准，对航道通航影响小等特点。</w:t>
            </w:r>
            <w:r>
              <w:rPr>
                <w:rFonts w:hint="eastAsia" w:ascii="Times New Roman" w:hAnsi="Times New Roman" w:eastAsia="宋体" w:cs="Times New Roman"/>
                <w:color w:val="auto"/>
                <w:sz w:val="24"/>
                <w:szCs w:val="24"/>
                <w:highlight w:val="none"/>
                <w:u w:val="none"/>
                <w:lang w:eastAsia="zh-CN"/>
              </w:rPr>
              <w:t>抓斗挖泥船施工工艺流程如下：</w:t>
            </w:r>
          </w:p>
          <w:p w14:paraId="4A10BE99">
            <w:pPr>
              <w:pStyle w:val="20"/>
              <w:spacing w:line="360" w:lineRule="auto"/>
              <w:ind w:firstLine="480" w:firstLineChars="200"/>
              <w:jc w:val="center"/>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object>
                <v:shape id="_x0000_i1025" o:spt="75" type="#_x0000_t75" style="height:39pt;width:17.2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r>
              <w:rPr>
                <w:rFonts w:hint="eastAsia" w:ascii="Times New Roman" w:hAnsi="Times New Roman" w:eastAsia="宋体" w:cs="Times New Roman"/>
                <w:color w:val="auto"/>
                <w:sz w:val="24"/>
                <w:szCs w:val="24"/>
                <w:highlight w:val="none"/>
                <w:u w:val="none"/>
                <w:lang w:eastAsia="zh-CN"/>
              </w:rPr>
              <w:object>
                <v:shape id="_x0000_i1026" o:spt="75" type="#_x0000_t75" style="height:296.3pt;width:300.9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60A1E93A">
            <w:pPr>
              <w:autoSpaceDE w:val="0"/>
              <w:autoSpaceDN w:val="0"/>
              <w:adjustRightInd w:val="0"/>
              <w:snapToGrid w:val="0"/>
              <w:spacing w:line="360" w:lineRule="auto"/>
              <w:ind w:firstLine="482" w:firstLineChars="200"/>
              <w:jc w:val="center"/>
              <w:rPr>
                <w:rFonts w:hint="eastAsia" w:ascii="Times New Roman" w:hAnsi="Times New Roman" w:eastAsia="宋体" w:cs="Times New Roman"/>
                <w:b/>
                <w:bCs/>
                <w:color w:val="auto"/>
                <w:kern w:val="2"/>
                <w:sz w:val="24"/>
                <w:szCs w:val="24"/>
                <w:highlight w:val="none"/>
                <w:u w:val="none"/>
                <w:lang w:val="en-US" w:eastAsia="zh-CN" w:bidi="ar-SA"/>
              </w:rPr>
            </w:pPr>
            <w:r>
              <w:rPr>
                <w:rFonts w:hint="eastAsia" w:ascii="Times New Roman" w:hAnsi="Times New Roman" w:eastAsia="宋体" w:cs="Times New Roman"/>
                <w:b/>
                <w:bCs/>
                <w:color w:val="auto"/>
                <w:kern w:val="2"/>
                <w:sz w:val="24"/>
                <w:szCs w:val="24"/>
                <w:highlight w:val="none"/>
                <w:u w:val="none"/>
                <w:lang w:val="en-US" w:eastAsia="zh-CN" w:bidi="ar-SA"/>
              </w:rPr>
              <w:t>图2-</w:t>
            </w:r>
            <w:r>
              <w:rPr>
                <w:rFonts w:hint="eastAsia" w:cs="Times New Roman"/>
                <w:b/>
                <w:bCs/>
                <w:color w:val="auto"/>
                <w:kern w:val="2"/>
                <w:sz w:val="24"/>
                <w:szCs w:val="24"/>
                <w:highlight w:val="none"/>
                <w:u w:val="none"/>
                <w:lang w:val="en-US" w:eastAsia="zh-CN" w:bidi="ar-SA"/>
              </w:rPr>
              <w:t>3</w:t>
            </w:r>
            <w:r>
              <w:rPr>
                <w:rFonts w:hint="eastAsia" w:ascii="Times New Roman" w:hAnsi="Times New Roman" w:eastAsia="宋体" w:cs="Times New Roman"/>
                <w:b/>
                <w:bCs/>
                <w:color w:val="auto"/>
                <w:kern w:val="2"/>
                <w:sz w:val="24"/>
                <w:szCs w:val="24"/>
                <w:highlight w:val="none"/>
                <w:u w:val="none"/>
                <w:lang w:val="en-US" w:eastAsia="zh-CN" w:bidi="ar-SA"/>
              </w:rPr>
              <w:t>抓斗挖泥船施工工艺流程图</w:t>
            </w:r>
          </w:p>
          <w:p w14:paraId="6E9644F6">
            <w:pPr>
              <w:pStyle w:val="2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ascii="宋体" w:hAnsi="宋体" w:eastAsia="宋体" w:cs="宋体"/>
                <w:color w:val="auto"/>
                <w:sz w:val="24"/>
                <w:szCs w:val="24"/>
                <w:highlight w:val="none"/>
              </w:rPr>
              <w:drawing>
                <wp:inline distT="0" distB="0" distL="114300" distR="114300">
                  <wp:extent cx="5003800" cy="2814320"/>
                  <wp:effectExtent l="0" t="0" r="6350" b="5080"/>
                  <wp:docPr id="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56"/>
                          <pic:cNvPicPr>
                            <a:picLocks noChangeAspect="1"/>
                          </pic:cNvPicPr>
                        </pic:nvPicPr>
                        <pic:blipFill>
                          <a:blip r:embed="rId18"/>
                          <a:stretch>
                            <a:fillRect/>
                          </a:stretch>
                        </pic:blipFill>
                        <pic:spPr>
                          <a:xfrm>
                            <a:off x="0" y="0"/>
                            <a:ext cx="5003800" cy="2814320"/>
                          </a:xfrm>
                          <a:prstGeom prst="rect">
                            <a:avLst/>
                          </a:prstGeom>
                          <a:noFill/>
                          <a:ln>
                            <a:noFill/>
                          </a:ln>
                        </pic:spPr>
                      </pic:pic>
                    </a:graphicData>
                  </a:graphic>
                </wp:inline>
              </w:drawing>
            </w:r>
          </w:p>
          <w:p w14:paraId="02804B62">
            <w:pPr>
              <w:autoSpaceDE w:val="0"/>
              <w:autoSpaceDN w:val="0"/>
              <w:adjustRightInd w:val="0"/>
              <w:snapToGrid w:val="0"/>
              <w:spacing w:line="360" w:lineRule="auto"/>
              <w:ind w:firstLine="482" w:firstLineChars="200"/>
              <w:jc w:val="center"/>
              <w:rPr>
                <w:rFonts w:hint="eastAsia" w:ascii="Times New Roman" w:hAnsi="Times New Roman" w:eastAsia="宋体" w:cs="Times New Roman"/>
                <w:b/>
                <w:bCs/>
                <w:color w:val="auto"/>
                <w:kern w:val="2"/>
                <w:sz w:val="24"/>
                <w:szCs w:val="24"/>
                <w:highlight w:val="none"/>
                <w:u w:val="none"/>
                <w:lang w:val="en-US" w:eastAsia="zh-CN" w:bidi="ar-SA"/>
              </w:rPr>
            </w:pPr>
            <w:r>
              <w:rPr>
                <w:rFonts w:hint="eastAsia" w:ascii="Times New Roman" w:hAnsi="Times New Roman" w:eastAsia="宋体" w:cs="Times New Roman"/>
                <w:b/>
                <w:bCs/>
                <w:color w:val="auto"/>
                <w:kern w:val="2"/>
                <w:sz w:val="24"/>
                <w:szCs w:val="24"/>
                <w:highlight w:val="none"/>
                <w:u w:val="none"/>
                <w:lang w:val="en-US" w:eastAsia="zh-CN" w:bidi="ar-SA"/>
              </w:rPr>
              <w:t>图2-</w:t>
            </w:r>
            <w:r>
              <w:rPr>
                <w:rFonts w:hint="eastAsia" w:cs="Times New Roman"/>
                <w:b/>
                <w:bCs/>
                <w:color w:val="auto"/>
                <w:kern w:val="2"/>
                <w:sz w:val="24"/>
                <w:szCs w:val="24"/>
                <w:highlight w:val="none"/>
                <w:u w:val="none"/>
                <w:lang w:val="en-US" w:eastAsia="zh-CN" w:bidi="ar-SA"/>
              </w:rPr>
              <w:t>4</w:t>
            </w:r>
            <w:r>
              <w:rPr>
                <w:rFonts w:hint="eastAsia" w:ascii="Times New Roman" w:hAnsi="Times New Roman" w:eastAsia="宋体" w:cs="Times New Roman"/>
                <w:b/>
                <w:bCs/>
                <w:color w:val="auto"/>
                <w:kern w:val="2"/>
                <w:sz w:val="24"/>
                <w:szCs w:val="24"/>
                <w:highlight w:val="none"/>
                <w:u w:val="none"/>
                <w:lang w:val="en-US" w:eastAsia="zh-CN" w:bidi="ar-SA"/>
              </w:rPr>
              <w:t>抓斗挖泥船和接驳泥船工作示意图</w:t>
            </w:r>
          </w:p>
          <w:p w14:paraId="50BEE456">
            <w:pPr>
              <w:autoSpaceDE w:val="0"/>
              <w:autoSpaceDN w:val="0"/>
              <w:adjustRightInd w:val="0"/>
              <w:snapToGrid w:val="0"/>
              <w:spacing w:line="360" w:lineRule="auto"/>
              <w:jc w:val="both"/>
              <w:rPr>
                <w:color w:val="auto"/>
                <w:highlight w:val="none"/>
              </w:rPr>
            </w:pPr>
            <w:r>
              <w:rPr>
                <w:color w:val="auto"/>
                <w:highlight w:val="none"/>
              </w:rPr>
              <w:drawing>
                <wp:inline distT="0" distB="0" distL="114300" distR="114300">
                  <wp:extent cx="5352415" cy="2282825"/>
                  <wp:effectExtent l="0" t="0" r="635" b="3175"/>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pic:cNvPicPr>
                            <a:picLocks noChangeAspect="1"/>
                          </pic:cNvPicPr>
                        </pic:nvPicPr>
                        <pic:blipFill>
                          <a:blip r:embed="rId19"/>
                          <a:stretch>
                            <a:fillRect/>
                          </a:stretch>
                        </pic:blipFill>
                        <pic:spPr>
                          <a:xfrm>
                            <a:off x="0" y="0"/>
                            <a:ext cx="5352415" cy="2282825"/>
                          </a:xfrm>
                          <a:prstGeom prst="rect">
                            <a:avLst/>
                          </a:prstGeom>
                          <a:noFill/>
                          <a:ln>
                            <a:noFill/>
                          </a:ln>
                        </pic:spPr>
                      </pic:pic>
                    </a:graphicData>
                  </a:graphic>
                </wp:inline>
              </w:drawing>
            </w:r>
          </w:p>
          <w:p w14:paraId="4702A040">
            <w:pPr>
              <w:autoSpaceDE w:val="0"/>
              <w:autoSpaceDN w:val="0"/>
              <w:adjustRightInd w:val="0"/>
              <w:snapToGrid w:val="0"/>
              <w:spacing w:line="360" w:lineRule="auto"/>
              <w:ind w:firstLine="482" w:firstLineChars="200"/>
              <w:jc w:val="center"/>
              <w:rPr>
                <w:rFonts w:hint="eastAsia"/>
                <w:b/>
                <w:bCs/>
                <w:color w:val="auto"/>
                <w:highlight w:val="none"/>
                <w:lang w:val="en-US" w:eastAsia="zh-CN"/>
              </w:rPr>
            </w:pPr>
            <w:r>
              <w:rPr>
                <w:rFonts w:hint="eastAsia" w:ascii="Times New Roman" w:hAnsi="Times New Roman" w:eastAsia="宋体" w:cs="Times New Roman"/>
                <w:b/>
                <w:bCs/>
                <w:color w:val="auto"/>
                <w:kern w:val="2"/>
                <w:sz w:val="24"/>
                <w:szCs w:val="24"/>
                <w:highlight w:val="none"/>
                <w:u w:val="none"/>
                <w:lang w:val="en-US" w:eastAsia="zh-CN" w:bidi="ar-SA"/>
              </w:rPr>
              <w:t>图2-</w:t>
            </w:r>
            <w:r>
              <w:rPr>
                <w:rFonts w:hint="eastAsia" w:cs="Times New Roman"/>
                <w:b/>
                <w:bCs/>
                <w:color w:val="auto"/>
                <w:kern w:val="2"/>
                <w:sz w:val="24"/>
                <w:szCs w:val="24"/>
                <w:highlight w:val="none"/>
                <w:u w:val="none"/>
                <w:lang w:val="en-US" w:eastAsia="zh-CN" w:bidi="ar-SA"/>
              </w:rPr>
              <w:t>5</w:t>
            </w:r>
            <w:r>
              <w:rPr>
                <w:rFonts w:hint="eastAsia" w:ascii="Times New Roman" w:hAnsi="Times New Roman" w:eastAsia="宋体" w:cs="Times New Roman"/>
                <w:b/>
                <w:bCs/>
                <w:color w:val="auto"/>
                <w:kern w:val="2"/>
                <w:sz w:val="24"/>
                <w:szCs w:val="24"/>
                <w:highlight w:val="none"/>
                <w:u w:val="none"/>
                <w:lang w:val="en-US" w:eastAsia="zh-CN" w:bidi="ar-SA"/>
              </w:rPr>
              <w:t>抓斗船施工示意图</w:t>
            </w:r>
          </w:p>
          <w:p w14:paraId="33ED110A">
            <w:pPr>
              <w:pStyle w:val="20"/>
              <w:numPr>
                <w:ilvl w:val="0"/>
                <w:numId w:val="9"/>
              </w:num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施工准备</w:t>
            </w:r>
          </w:p>
          <w:p w14:paraId="6D871CA4">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已知港池坐标控制点，建立工程测量控制网，并根据工程需要建立施工自定义坐标系。挖泥船驻位、定位：在疏浚范围左右两侧设定位浮鼓，用于施工作业船舶的粗定位。挖泥船由锚地通过设置的定位浮鼓驶入施工现场水域，立即按照已经设置得合适的定位浮鼓的位置，带缆于浮鼓上进行粗定位。挖泥船粗定位完成后，通过船用双</w:t>
            </w:r>
            <w:r>
              <w:rPr>
                <w:rFonts w:hint="default" w:ascii="Times New Roman" w:hAnsi="Times New Roman" w:eastAsia="宋体" w:cs="Times New Roman"/>
                <w:color w:val="auto"/>
                <w:sz w:val="24"/>
                <w:szCs w:val="24"/>
                <w:highlight w:val="none"/>
                <w:u w:val="none"/>
                <w:lang w:val="en-US" w:eastAsia="zh-CN"/>
              </w:rPr>
              <w:t>GPS</w:t>
            </w:r>
            <w:r>
              <w:rPr>
                <w:rFonts w:hint="eastAsia" w:ascii="Times New Roman" w:hAnsi="Times New Roman" w:eastAsia="宋体" w:cs="Times New Roman"/>
                <w:color w:val="auto"/>
                <w:sz w:val="24"/>
                <w:szCs w:val="24"/>
                <w:highlight w:val="none"/>
                <w:u w:val="none"/>
                <w:lang w:val="en-US" w:eastAsia="zh-CN"/>
              </w:rPr>
              <w:t>，对挖泥船进行准确定位，并系紧各条缆绳，方可进行挖泥作业。</w:t>
            </w:r>
          </w:p>
          <w:p w14:paraId="154BA1BE">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②疏浚开挖</w:t>
            </w:r>
          </w:p>
          <w:p w14:paraId="44533646">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抓斗船是通过抓斗自重切土挖泥，其过程为张开空泥斗抛入开挖点→闭土切土→提升重斗→转动斗臂将重斗移到泥驳上方→开斗卸泥→反向转动斗臂将空斗抛入开挖点，施工时采用锚缆定位，通过调节锚缆松紧移动船体，自航泥驳靠于抓斗船旁，挖出的泥土卸放靠在一旁的泥驳舱内，泥驳装满后启运至倾倒区。</w:t>
            </w:r>
          </w:p>
          <w:p w14:paraId="74BA2290">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施工时按施工范围采用分区、分条、分层施工，分区根据挖泥船每抛锚一次施工长度，将航道分成若干施工区，根据每一次抛锚长度，每个施工区长约</w:t>
            </w:r>
            <w:r>
              <w:rPr>
                <w:rFonts w:hint="default" w:ascii="Times New Roman" w:hAnsi="Times New Roman" w:eastAsia="宋体" w:cs="Times New Roman"/>
                <w:color w:val="auto"/>
                <w:sz w:val="24"/>
                <w:szCs w:val="24"/>
                <w:highlight w:val="none"/>
                <w:u w:val="none"/>
                <w:lang w:val="en-US" w:eastAsia="zh-CN"/>
              </w:rPr>
              <w:t>100m</w:t>
            </w:r>
            <w:r>
              <w:rPr>
                <w:rFonts w:hint="eastAsia" w:ascii="Times New Roman" w:hAnsi="Times New Roman" w:eastAsia="宋体" w:cs="Times New Roman"/>
                <w:color w:val="auto"/>
                <w:sz w:val="24"/>
                <w:szCs w:val="24"/>
                <w:highlight w:val="none"/>
                <w:u w:val="none"/>
                <w:lang w:val="en-US" w:eastAsia="zh-CN"/>
              </w:rPr>
              <w:t>；分条宽度根据挖泥船每次清挖宽度按平行航道轴线方向布置，每条挖槽宽度根据船舶每次可挖宽度确定；分层根据挖泥船每次能清挖的厚度和施工区岩（泥）层厚度确定分几次开挖，每层开挖厚度约</w:t>
            </w: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2m</w:t>
            </w:r>
            <w:r>
              <w:rPr>
                <w:rFonts w:hint="eastAsia" w:ascii="Times New Roman" w:hAnsi="Times New Roman" w:eastAsia="宋体" w:cs="Times New Roman"/>
                <w:color w:val="auto"/>
                <w:sz w:val="24"/>
                <w:szCs w:val="24"/>
                <w:highlight w:val="none"/>
                <w:u w:val="none"/>
                <w:lang w:val="en-US" w:eastAsia="zh-CN"/>
              </w:rPr>
              <w:t>，直至清挖到设计底标高为止，本项目泥层较薄，可一次开挖至设计标高；分区之间，分条之间必须搭接</w:t>
            </w:r>
            <w:r>
              <w:rPr>
                <w:rFonts w:hint="default" w:ascii="Times New Roman" w:hAnsi="Times New Roman" w:eastAsia="宋体"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2m</w:t>
            </w:r>
            <w:r>
              <w:rPr>
                <w:rFonts w:hint="eastAsia" w:ascii="Times New Roman" w:hAnsi="Times New Roman" w:eastAsia="宋体" w:cs="Times New Roman"/>
                <w:color w:val="auto"/>
                <w:sz w:val="24"/>
                <w:szCs w:val="24"/>
                <w:highlight w:val="none"/>
                <w:u w:val="none"/>
                <w:lang w:val="en-US" w:eastAsia="zh-CN"/>
              </w:rPr>
              <w:t>，确保不漏挖。</w:t>
            </w:r>
          </w:p>
          <w:p w14:paraId="7EB0A91C">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（3）边坡开挖</w:t>
            </w:r>
          </w:p>
          <w:p w14:paraId="6E757B09">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边坡开挖采用阶梯型开挖方式，按上超下欠的原则，分层施工，利用水流与自然塌方，形成设计要求的边坡，如下图所示：</w:t>
            </w:r>
          </w:p>
          <w:p w14:paraId="23CC9868">
            <w:pPr>
              <w:pStyle w:val="20"/>
              <w:spacing w:line="360" w:lineRule="auto"/>
              <w:jc w:val="center"/>
              <w:rPr>
                <w:color w:val="auto"/>
                <w:highlight w:val="none"/>
              </w:rPr>
            </w:pPr>
            <w:r>
              <w:rPr>
                <w:color w:val="auto"/>
                <w:highlight w:val="none"/>
              </w:rPr>
              <w:drawing>
                <wp:inline distT="0" distB="0" distL="114300" distR="114300">
                  <wp:extent cx="4773930" cy="2489200"/>
                  <wp:effectExtent l="0" t="0" r="7620" b="635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pic:cNvPicPr>
                        </pic:nvPicPr>
                        <pic:blipFill>
                          <a:blip r:embed="rId20"/>
                          <a:stretch>
                            <a:fillRect/>
                          </a:stretch>
                        </pic:blipFill>
                        <pic:spPr>
                          <a:xfrm>
                            <a:off x="0" y="0"/>
                            <a:ext cx="4773930" cy="2489200"/>
                          </a:xfrm>
                          <a:prstGeom prst="rect">
                            <a:avLst/>
                          </a:prstGeom>
                          <a:noFill/>
                          <a:ln>
                            <a:noFill/>
                          </a:ln>
                        </pic:spPr>
                      </pic:pic>
                    </a:graphicData>
                  </a:graphic>
                </wp:inline>
              </w:drawing>
            </w:r>
          </w:p>
          <w:p w14:paraId="020C9A1E">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边坡开挖示意图</w:t>
            </w:r>
          </w:p>
          <w:p w14:paraId="64E42862">
            <w:pPr>
              <w:pStyle w:val="2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highlight w:val="none"/>
              </w:rPr>
              <w:drawing>
                <wp:inline distT="0" distB="0" distL="114300" distR="114300">
                  <wp:extent cx="4574540" cy="3848735"/>
                  <wp:effectExtent l="0" t="0" r="16510" b="18415"/>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pic:cNvPicPr>
                        </pic:nvPicPr>
                        <pic:blipFill>
                          <a:blip r:embed="rId21"/>
                          <a:stretch>
                            <a:fillRect/>
                          </a:stretch>
                        </pic:blipFill>
                        <pic:spPr>
                          <a:xfrm>
                            <a:off x="0" y="0"/>
                            <a:ext cx="4574540" cy="3848735"/>
                          </a:xfrm>
                          <a:prstGeom prst="rect">
                            <a:avLst/>
                          </a:prstGeom>
                          <a:noFill/>
                          <a:ln>
                            <a:noFill/>
                          </a:ln>
                        </pic:spPr>
                      </pic:pic>
                    </a:graphicData>
                  </a:graphic>
                </wp:inline>
              </w:drawing>
            </w:r>
          </w:p>
          <w:p w14:paraId="45533E59">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每斗之间重叠宽度示意图</w:t>
            </w:r>
          </w:p>
          <w:p w14:paraId="41D0B36F">
            <w:pPr>
              <w:numPr>
                <w:ilvl w:val="0"/>
                <w:numId w:val="0"/>
              </w:numPr>
              <w:spacing w:line="360" w:lineRule="auto"/>
              <w:textAlignment w:val="baseline"/>
              <w:rPr>
                <w:rFonts w:hint="eastAsia" w:ascii="Times New Roman" w:hAnsi="Times New Roman" w:eastAsia="宋体" w:cs="Times New Roman"/>
                <w:b/>
                <w:color w:val="auto"/>
                <w:sz w:val="28"/>
                <w:szCs w:val="28"/>
                <w:highlight w:val="none"/>
                <w:u w:val="single"/>
                <w:lang w:eastAsia="zh-CN"/>
              </w:rPr>
            </w:pPr>
            <w:r>
              <w:rPr>
                <w:rFonts w:hint="eastAsia" w:ascii="Times New Roman" w:hAnsi="Times New Roman" w:eastAsia="宋体" w:cs="Times New Roman"/>
                <w:b/>
                <w:color w:val="auto"/>
                <w:sz w:val="28"/>
                <w:szCs w:val="28"/>
                <w:highlight w:val="none"/>
                <w:u w:val="single"/>
                <w:lang w:val="en-US" w:eastAsia="zh-CN"/>
              </w:rPr>
              <w:t>2.4.5.2耙吸船</w:t>
            </w:r>
            <w:r>
              <w:rPr>
                <w:rFonts w:hint="eastAsia" w:ascii="Times New Roman" w:hAnsi="Times New Roman" w:eastAsia="宋体" w:cs="Times New Roman"/>
                <w:b/>
                <w:color w:val="auto"/>
                <w:sz w:val="28"/>
                <w:szCs w:val="28"/>
                <w:highlight w:val="none"/>
                <w:u w:val="single"/>
                <w:lang w:eastAsia="zh-CN"/>
              </w:rPr>
              <w:t>施工工艺</w:t>
            </w:r>
          </w:p>
          <w:p w14:paraId="5347EB31">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val="en-US" w:eastAsia="zh-CN"/>
              </w:rPr>
              <w:t>为提高工作效率，减少施工活动对进港船舶及航道过往船只航行影响，16#、</w:t>
            </w:r>
            <w:r>
              <w:rPr>
                <w:rFonts w:hint="eastAsia" w:ascii="Times New Roman" w:hAnsi="Times New Roman" w:eastAsia="宋体" w:cs="Times New Roman"/>
                <w:color w:val="auto"/>
                <w:sz w:val="24"/>
                <w:szCs w:val="24"/>
                <w:highlight w:val="none"/>
                <w:u w:val="none"/>
              </w:rPr>
              <w:t>17#</w:t>
            </w:r>
            <w:r>
              <w:rPr>
                <w:rFonts w:hint="eastAsia" w:ascii="Times New Roman" w:hAnsi="Times New Roman" w:eastAsia="宋体" w:cs="Times New Roman"/>
                <w:color w:val="auto"/>
                <w:sz w:val="24"/>
                <w:szCs w:val="24"/>
                <w:highlight w:val="none"/>
                <w:u w:val="none"/>
                <w:lang w:val="en-US" w:eastAsia="zh-CN"/>
              </w:rPr>
              <w:t>施工采用3</w:t>
            </w:r>
            <w:r>
              <w:rPr>
                <w:rFonts w:hint="eastAsia" w:ascii="Times New Roman" w:hAnsi="Times New Roman" w:eastAsia="宋体" w:cs="Times New Roman"/>
                <w:color w:val="auto"/>
                <w:sz w:val="24"/>
                <w:szCs w:val="24"/>
                <w:highlight w:val="none"/>
                <w:u w:val="none"/>
              </w:rPr>
              <w:t>500m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rPr>
              <w:t>耙吸船</w:t>
            </w:r>
            <w:r>
              <w:rPr>
                <w:rFonts w:hint="eastAsia" w:ascii="Times New Roman" w:hAnsi="Times New Roman" w:eastAsia="宋体" w:cs="Times New Roman"/>
                <w:color w:val="auto"/>
                <w:sz w:val="24"/>
                <w:szCs w:val="24"/>
                <w:highlight w:val="none"/>
                <w:u w:val="none"/>
                <w:lang w:eastAsia="zh-CN"/>
              </w:rPr>
              <w:t>进行清淤工作，</w:t>
            </w:r>
            <w:r>
              <w:rPr>
                <w:rFonts w:hint="eastAsia" w:ascii="Times New Roman" w:hAnsi="Times New Roman" w:eastAsia="宋体" w:cs="Times New Roman"/>
                <w:color w:val="auto"/>
                <w:sz w:val="24"/>
                <w:szCs w:val="24"/>
                <w:highlight w:val="none"/>
                <w:u w:val="none"/>
              </w:rPr>
              <w:t>耙吸船</w:t>
            </w:r>
            <w:r>
              <w:rPr>
                <w:rFonts w:hint="eastAsia" w:ascii="Times New Roman" w:hAnsi="Times New Roman" w:eastAsia="宋体" w:cs="Times New Roman"/>
                <w:color w:val="auto"/>
                <w:sz w:val="24"/>
                <w:szCs w:val="24"/>
                <w:highlight w:val="none"/>
                <w:u w:val="none"/>
                <w:lang w:val="en-US" w:eastAsia="zh-CN"/>
              </w:rPr>
              <w:t>施工具有作业独立性强，对航道通航影响小，航海性能好等优点。</w:t>
            </w:r>
            <w:r>
              <w:rPr>
                <w:rFonts w:hint="eastAsia" w:ascii="Times New Roman" w:hAnsi="Times New Roman" w:eastAsia="宋体" w:cs="Times New Roman"/>
                <w:color w:val="auto"/>
                <w:sz w:val="24"/>
                <w:szCs w:val="24"/>
                <w:highlight w:val="none"/>
                <w:u w:val="none"/>
                <w:lang w:eastAsia="zh-CN"/>
              </w:rPr>
              <w:t>耙吸船施工工艺流程如下：</w:t>
            </w:r>
          </w:p>
          <w:p w14:paraId="591CA2A6">
            <w:pPr>
              <w:pStyle w:val="20"/>
              <w:spacing w:line="360" w:lineRule="auto"/>
              <w:ind w:firstLine="480" w:firstLineChars="200"/>
              <w:jc w:val="center"/>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object>
                <v:shape id="_x0000_i1027" o:spt="75" type="#_x0000_t75" style="height:333.5pt;width:275.3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p>
          <w:p w14:paraId="3E6C97B1">
            <w:pPr>
              <w:pStyle w:val="2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图2-</w:t>
            </w:r>
            <w:r>
              <w:rPr>
                <w:rFonts w:hint="eastAsia" w:ascii="Times New Roman" w:hAnsi="Times New Roman" w:cs="Times New Roman"/>
                <w:b/>
                <w:bCs/>
                <w:color w:val="auto"/>
                <w:sz w:val="24"/>
                <w:szCs w:val="24"/>
                <w:highlight w:val="none"/>
                <w:u w:val="none"/>
                <w:lang w:val="en-US" w:eastAsia="zh-CN"/>
              </w:rPr>
              <w:t>8</w:t>
            </w:r>
            <w:r>
              <w:rPr>
                <w:rFonts w:hint="eastAsia" w:ascii="Times New Roman" w:hAnsi="Times New Roman" w:eastAsia="宋体" w:cs="Times New Roman"/>
                <w:b/>
                <w:bCs/>
                <w:color w:val="auto"/>
                <w:sz w:val="24"/>
                <w:szCs w:val="24"/>
                <w:highlight w:val="none"/>
                <w:u w:val="none"/>
                <w:lang w:val="en-US" w:eastAsia="zh-CN"/>
              </w:rPr>
              <w:t>抓斗挖泥船施工工艺流程图</w:t>
            </w:r>
          </w:p>
          <w:p w14:paraId="3EA600F7">
            <w:pPr>
              <w:pStyle w:val="14"/>
              <w:jc w:val="center"/>
              <w:rPr>
                <w:rFonts w:hint="eastAsia"/>
                <w:color w:val="auto"/>
                <w:sz w:val="24"/>
                <w:szCs w:val="24"/>
                <w:highlight w:val="none"/>
              </w:rPr>
            </w:pPr>
            <w:r>
              <w:rPr>
                <w:rFonts w:ascii="宋体" w:hAnsi="宋体" w:eastAsia="宋体" w:cs="宋体"/>
                <w:color w:val="auto"/>
                <w:sz w:val="24"/>
                <w:szCs w:val="24"/>
                <w:highlight w:val="none"/>
              </w:rPr>
              <w:drawing>
                <wp:inline distT="0" distB="0" distL="114300" distR="114300">
                  <wp:extent cx="3075940" cy="2304415"/>
                  <wp:effectExtent l="0" t="0" r="10160" b="635"/>
                  <wp:docPr id="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IMG_256"/>
                          <pic:cNvPicPr>
                            <a:picLocks noChangeAspect="1"/>
                          </pic:cNvPicPr>
                        </pic:nvPicPr>
                        <pic:blipFill>
                          <a:blip r:embed="rId24"/>
                          <a:stretch>
                            <a:fillRect/>
                          </a:stretch>
                        </pic:blipFill>
                        <pic:spPr>
                          <a:xfrm>
                            <a:off x="0" y="0"/>
                            <a:ext cx="3075940" cy="2304415"/>
                          </a:xfrm>
                          <a:prstGeom prst="rect">
                            <a:avLst/>
                          </a:prstGeom>
                          <a:noFill/>
                          <a:ln>
                            <a:noFill/>
                          </a:ln>
                        </pic:spPr>
                      </pic:pic>
                    </a:graphicData>
                  </a:graphic>
                </wp:inline>
              </w:drawing>
            </w:r>
          </w:p>
          <w:p w14:paraId="4F4E28D8">
            <w:pPr>
              <w:pStyle w:val="14"/>
              <w:jc w:val="center"/>
              <w:rPr>
                <w:rFonts w:hint="default" w:eastAsia="宋体"/>
                <w:b/>
                <w:bCs/>
                <w:color w:val="auto"/>
                <w:sz w:val="21"/>
                <w:szCs w:val="21"/>
                <w:highlight w:val="none"/>
                <w:lang w:val="en-US" w:eastAsia="zh-CN"/>
              </w:rPr>
            </w:pPr>
            <w:r>
              <w:rPr>
                <w:b/>
                <w:bCs/>
                <w:color w:val="auto"/>
                <w:sz w:val="21"/>
                <w:szCs w:val="21"/>
                <w:highlight w:val="none"/>
              </w:rPr>
              <w:t>图</w:t>
            </w:r>
            <w:r>
              <w:rPr>
                <w:rFonts w:hint="eastAsia"/>
                <w:b/>
                <w:bCs/>
                <w:color w:val="auto"/>
                <w:sz w:val="21"/>
                <w:szCs w:val="21"/>
                <w:highlight w:val="none"/>
                <w:lang w:val="en-US" w:eastAsia="zh-CN"/>
              </w:rPr>
              <w:t>2-9</w:t>
            </w:r>
            <w:r>
              <w:rPr>
                <w:rFonts w:hint="eastAsia"/>
                <w:b/>
                <w:bCs/>
                <w:color w:val="auto"/>
                <w:sz w:val="21"/>
                <w:szCs w:val="21"/>
                <w:highlight w:val="none"/>
                <w:lang w:eastAsia="zh-CN"/>
              </w:rPr>
              <w:t>耙吸式挖泥船结构示意图</w:t>
            </w:r>
          </w:p>
          <w:p w14:paraId="04485540">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t>①施工准备</w:t>
            </w:r>
          </w:p>
          <w:p w14:paraId="33FC0F7E">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eastAsia="zh-CN"/>
              </w:rPr>
              <w:t>施工作业前完成疏浚区域勘测，明确疏浚区域水深泥层厚度、土质类型（黏土、砂土、淤泥等），划定挖泥航线和禁挖边界，并在</w:t>
            </w:r>
            <w:r>
              <w:rPr>
                <w:rFonts w:hint="eastAsia" w:ascii="Times New Roman" w:hAnsi="Times New Roman" w:eastAsia="宋体" w:cs="Times New Roman"/>
                <w:color w:val="auto"/>
                <w:sz w:val="24"/>
                <w:szCs w:val="24"/>
                <w:highlight w:val="none"/>
                <w:u w:val="none"/>
                <w:lang w:val="en-US" w:eastAsia="zh-CN"/>
              </w:rPr>
              <w:t>施工水域外围抛设临时浮标，标示施工作业水域范围。施工船舶驶入施工水域后，定位系统（GPS、北斗）校准船位，调整船体姿态使耙吸头对准挖泥带，检查吸泥泵、输泥管路等设备状态。</w:t>
            </w:r>
          </w:p>
          <w:p w14:paraId="27763B0E">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②挖泥作业</w:t>
            </w:r>
          </w:p>
          <w:p w14:paraId="7660B337">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启动设备将两组耙吸头从船身两侧放下，伸入海底泥层（深度根据疏浚要求调整）。耙吸头上的耙齿破碎硬土或松散泥层，同时开启船上的大功率吸泥泵，通过吸泥管路产生负压，将破碎后的泥浆（泥沙与海水混合物）吸入船舱。船舶保持低速匀速航行，沿预设航线连续作业，耙吸头随船移动持续挖吸，确保疏浚面平整</w:t>
            </w:r>
            <w:r>
              <w:rPr>
                <w:rFonts w:hint="eastAsia" w:ascii="Times New Roman" w:hAnsi="Times New Roman" w:eastAsia="宋体" w:cs="Times New Roman"/>
                <w:color w:val="auto"/>
                <w:sz w:val="24"/>
                <w:szCs w:val="24"/>
                <w:highlight w:val="none"/>
                <w:u w:val="none"/>
                <w:lang w:val="en-US" w:eastAsia="zh-CN"/>
              </w:rPr>
              <w:t>，挖泥作业过程中采取分段施工、分带（分条）施工。</w:t>
            </w:r>
          </w:p>
          <w:p w14:paraId="1A0D6C4E">
            <w:pPr>
              <w:pStyle w:val="2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当挖槽长度大于挖泥船挖满一舱泥所需的长度时，进行分段施工。分段长度可根据挖满一舱泥的时间和挖泥船的航速确定，挖泥时间取决于挖泥船的性能、开挖土质的难易、在泥舱中的沉淀情况和泥层厚度。</w:t>
            </w:r>
          </w:p>
          <w:p w14:paraId="57BBCDD2">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耙吸挖泥船单耙挖宽很有限，所以通常用分带施工，所谓分带是指在较宽范围的分带，分带施工有利于耙迹线均匀分布，泥面均匀增深。对较宽的挖槽或挖槽断面的深度一边浅一边深的情况，或为工程施工安排或航行要求，需要某带挖槽先挖深等情况，均可采取分带施工。分带宽度一般为船宽的两倍加</w:t>
            </w:r>
            <w:r>
              <w:rPr>
                <w:rFonts w:hint="default" w:ascii="Times New Roman" w:hAnsi="Times New Roman" w:eastAsia="宋体"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lang w:val="en-US" w:eastAsia="zh-CN"/>
              </w:rPr>
              <w:t>个耙头宽度。为防止漏挖，各相邻施工带施工时搭接不少于</w:t>
            </w:r>
            <w:r>
              <w:rPr>
                <w:rFonts w:hint="default" w:ascii="Times New Roman" w:hAnsi="Times New Roman" w:eastAsia="宋体" w:cs="Times New Roman"/>
                <w:color w:val="auto"/>
                <w:sz w:val="24"/>
                <w:szCs w:val="24"/>
                <w:highlight w:val="none"/>
                <w:u w:val="none"/>
                <w:lang w:val="en-US" w:eastAsia="zh-CN"/>
              </w:rPr>
              <w:t>5m</w:t>
            </w:r>
            <w:r>
              <w:rPr>
                <w:rFonts w:hint="eastAsia" w:ascii="Times New Roman" w:hAnsi="Times New Roman" w:eastAsia="宋体" w:cs="Times New Roman"/>
                <w:color w:val="auto"/>
                <w:sz w:val="24"/>
                <w:szCs w:val="24"/>
                <w:highlight w:val="none"/>
                <w:u w:val="none"/>
                <w:lang w:val="en-US" w:eastAsia="zh-CN"/>
              </w:rPr>
              <w:t>，具体施工带落实到每个班组。</w:t>
            </w:r>
          </w:p>
          <w:p w14:paraId="2163A692">
            <w:pPr>
              <w:pStyle w:val="20"/>
              <w:spacing w:line="360" w:lineRule="auto"/>
              <w:jc w:val="center"/>
              <w:rPr>
                <w:color w:val="auto"/>
                <w:highlight w:val="none"/>
              </w:rPr>
            </w:pPr>
            <w:r>
              <w:rPr>
                <w:color w:val="auto"/>
                <w:highlight w:val="none"/>
              </w:rPr>
              <w:drawing>
                <wp:inline distT="0" distB="0" distL="114300" distR="114300">
                  <wp:extent cx="3522980" cy="1841500"/>
                  <wp:effectExtent l="0" t="0" r="1270" b="6350"/>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25"/>
                          <a:stretch>
                            <a:fillRect/>
                          </a:stretch>
                        </pic:blipFill>
                        <pic:spPr>
                          <a:xfrm>
                            <a:off x="0" y="0"/>
                            <a:ext cx="3522980" cy="1841500"/>
                          </a:xfrm>
                          <a:prstGeom prst="rect">
                            <a:avLst/>
                          </a:prstGeom>
                          <a:noFill/>
                          <a:ln>
                            <a:noFill/>
                          </a:ln>
                        </pic:spPr>
                      </pic:pic>
                    </a:graphicData>
                  </a:graphic>
                </wp:inline>
              </w:drawing>
            </w:r>
          </w:p>
          <w:p w14:paraId="5A073ED9">
            <w:pPr>
              <w:pStyle w:val="14"/>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图2-</w:t>
            </w:r>
            <w:r>
              <w:rPr>
                <w:rFonts w:hint="eastAsia" w:cs="Times New Roman"/>
                <w:b/>
                <w:bCs/>
                <w:color w:val="auto"/>
                <w:sz w:val="21"/>
                <w:szCs w:val="21"/>
                <w:highlight w:val="none"/>
                <w:lang w:val="en-US" w:eastAsia="zh-CN"/>
              </w:rPr>
              <w:t>10</w:t>
            </w:r>
            <w:r>
              <w:rPr>
                <w:rFonts w:hint="eastAsia" w:ascii="Times New Roman" w:hAnsi="Times New Roman" w:eastAsia="宋体" w:cs="Times New Roman"/>
                <w:b/>
                <w:bCs/>
                <w:color w:val="auto"/>
                <w:sz w:val="21"/>
                <w:szCs w:val="21"/>
                <w:highlight w:val="none"/>
                <w:lang w:val="en-US" w:eastAsia="zh-CN"/>
              </w:rPr>
              <w:t>耙吸船分带施工示意图</w:t>
            </w:r>
          </w:p>
          <w:p w14:paraId="18B5F5B6">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③仓内沉淀与溢流控水</w:t>
            </w:r>
          </w:p>
          <w:p w14:paraId="31010509">
            <w:pPr>
              <w:pStyle w:val="2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泥浆进入泥舱后，泥沙在重力作用下快速沉淀，上层含少量泥沙的海水（澄清水）通过50%开启的溢流口排出船外。溢流口的开启幅度可通过自动控制系统微调，始终维持舱内液位稳定，避免泥浆溢出，同时保证储泥效率。</w:t>
            </w:r>
          </w:p>
          <w:p w14:paraId="2672618C">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④满仓停止挖泥起耙</w:t>
            </w:r>
          </w:p>
          <w:p w14:paraId="1A0520C1">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当舱容仪显示达到85%</w:t>
            </w:r>
            <w:r>
              <w:rPr>
                <w:rFonts w:hint="eastAsia" w:ascii="Times New Roman" w:hAnsi="Times New Roman" w:eastAsia="宋体" w:cs="Times New Roman"/>
                <w:color w:val="auto"/>
                <w:sz w:val="24"/>
                <w:szCs w:val="24"/>
                <w:highlight w:val="none"/>
                <w:u w:val="none"/>
                <w:lang w:val="en-US" w:eastAsia="zh-CN"/>
              </w:rPr>
              <w:t>，停止挖泥工作，关闭装舱阀门，调整耙头后收起吸泥耙。</w:t>
            </w:r>
          </w:p>
          <w:p w14:paraId="5B7D8201">
            <w:pPr>
              <w:pStyle w:val="2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⑤疏浚物运输与抛泥作业</w:t>
            </w:r>
          </w:p>
          <w:p w14:paraId="65732EB5">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启动锚机，回收艏锚</w:t>
            </w:r>
            <w:r>
              <w:rPr>
                <w:rFonts w:hint="eastAsia" w:ascii="Times New Roman" w:hAnsi="Times New Roman" w:eastAsia="宋体" w:cs="Times New Roman"/>
                <w:color w:val="auto"/>
                <w:sz w:val="24"/>
                <w:szCs w:val="24"/>
                <w:highlight w:val="none"/>
                <w:u w:val="none"/>
                <w:lang w:val="en-US" w:eastAsia="zh-CN"/>
              </w:rPr>
              <w:t>后根据施工区→金鼓江作业区出口→钦州港主航道→抛泥区B区的抛泥航线将项目疏浚物运输至抛泥区进行抛泥，抛泥过程中，驾驶员保持船速1kn，沿抛泥区内侧缓慢航行（航线：顺时针环形，半径500m），确保淤泥均匀抛卸。</w:t>
            </w:r>
          </w:p>
          <w:p w14:paraId="51472364">
            <w:pPr>
              <w:pStyle w:val="20"/>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⑥返航循环作业</w:t>
            </w:r>
          </w:p>
          <w:p w14:paraId="21969F26">
            <w:pPr>
              <w:pStyle w:val="20"/>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耙吸船调整航向，沿原航线返回施工区</w:t>
            </w:r>
            <w:r>
              <w:rPr>
                <w:rFonts w:hint="eastAsia" w:ascii="Times New Roman" w:hAnsi="Times New Roman" w:eastAsia="宋体" w:cs="Times New Roman"/>
                <w:color w:val="auto"/>
                <w:sz w:val="24"/>
                <w:szCs w:val="24"/>
                <w:highlight w:val="none"/>
                <w:u w:val="none"/>
                <w:lang w:val="en-US" w:eastAsia="zh-CN"/>
              </w:rPr>
              <w:t>。返回到施工区后检查船舶主机运行状态，补充燃油、检查船舶油污水舱等，调整施工区边缘后，抛艏锚固定船位，重复“装舱挖泥→航行抛泥→返回就位”流程，直至当前施工段完成。</w:t>
            </w:r>
          </w:p>
          <w:p w14:paraId="68E31836">
            <w:pPr>
              <w:numPr>
                <w:ilvl w:val="0"/>
                <w:numId w:val="0"/>
              </w:numPr>
              <w:spacing w:line="360" w:lineRule="auto"/>
              <w:textAlignment w:val="baseline"/>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2.4.6</w:t>
            </w:r>
            <w:r>
              <w:rPr>
                <w:rFonts w:hint="eastAsia" w:ascii="Times New Roman" w:hAnsi="Times New Roman" w:eastAsia="宋体" w:cs="Times New Roman"/>
                <w:b/>
                <w:color w:val="auto"/>
                <w:sz w:val="28"/>
                <w:szCs w:val="28"/>
                <w:highlight w:val="none"/>
                <w:lang w:eastAsia="zh-CN"/>
              </w:rPr>
              <w:t>产污情况</w:t>
            </w:r>
          </w:p>
          <w:p w14:paraId="56A02B3F">
            <w:pPr>
              <w:pStyle w:val="20"/>
              <w:spacing w:line="360" w:lineRule="auto"/>
              <w:ind w:firstLine="480" w:firstLineChars="200"/>
              <w:rPr>
                <w:rFonts w:hint="eastAsia" w:ascii="Times New Roman" w:hAnsi="Times New Roman"/>
                <w:color w:val="auto"/>
                <w:sz w:val="24"/>
                <w:szCs w:val="24"/>
                <w:highlight w:val="none"/>
                <w:u w:val="none"/>
                <w:lang w:eastAsia="zh-CN"/>
              </w:rPr>
            </w:pPr>
            <w:r>
              <w:rPr>
                <w:rFonts w:hint="eastAsia" w:ascii="Times New Roman" w:hAnsi="Times New Roman"/>
                <w:color w:val="auto"/>
                <w:sz w:val="24"/>
                <w:szCs w:val="24"/>
                <w:highlight w:val="none"/>
                <w:u w:val="none"/>
                <w:lang w:eastAsia="zh-CN"/>
              </w:rPr>
              <w:t>根据项目施工工艺，施工产生的污染物种类如下：</w:t>
            </w:r>
          </w:p>
          <w:p w14:paraId="6AFC5E91">
            <w:pPr>
              <w:pStyle w:val="20"/>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废水：施工船舶舱底含油污水、施工船舶生活污水、施工悬浮泥沙；</w:t>
            </w:r>
          </w:p>
          <w:p w14:paraId="4CC3C8BE">
            <w:pPr>
              <w:pStyle w:val="20"/>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废气：施工船舶尾气；</w:t>
            </w:r>
          </w:p>
          <w:p w14:paraId="69A6E5A4">
            <w:pPr>
              <w:pStyle w:val="20"/>
              <w:spacing w:line="360" w:lineRule="auto"/>
              <w:ind w:firstLine="480" w:firstLineChars="200"/>
              <w:rPr>
                <w:rFonts w:hint="eastAsia" w:ascii="Times New Roman" w:hAnsi="Times New Roman"/>
                <w:color w:val="auto"/>
                <w:sz w:val="24"/>
                <w:szCs w:val="24"/>
                <w:highlight w:val="none"/>
                <w:u w:val="none"/>
                <w:lang w:val="en-US" w:eastAsia="zh-CN"/>
              </w:rPr>
            </w:pPr>
            <w:r>
              <w:rPr>
                <w:rFonts w:hint="eastAsia" w:ascii="Times New Roman" w:hAnsi="Times New Roman"/>
                <w:color w:val="auto"/>
                <w:sz w:val="24"/>
                <w:szCs w:val="24"/>
                <w:highlight w:val="none"/>
                <w:u w:val="none"/>
                <w:lang w:val="en-US" w:eastAsia="zh-CN"/>
              </w:rPr>
              <w:t>噪声：施工船舶噪声、施工噪声；</w:t>
            </w:r>
          </w:p>
          <w:p w14:paraId="475591D2">
            <w:pPr>
              <w:pStyle w:val="20"/>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u w:val="none"/>
                <w:lang w:val="en-US" w:eastAsia="zh-CN"/>
              </w:rPr>
              <w:t>固废：施工船舶生活垃圾、疏浚物。</w:t>
            </w:r>
          </w:p>
        </w:tc>
      </w:tr>
      <w:tr w14:paraId="0D37B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noWrap w:val="0"/>
            <w:vAlign w:val="center"/>
          </w:tcPr>
          <w:p w14:paraId="7D511FFC">
            <w:pPr>
              <w:pStyle w:val="40"/>
              <w:adjustRightInd w:val="0"/>
              <w:snapToGrid w:val="0"/>
              <w:spacing w:before="0" w:beforeAutospacing="0" w:after="0" w:afterAutospacing="0"/>
              <w:jc w:val="center"/>
              <w:rPr>
                <w:rFonts w:hint="eastAsia" w:cs="宋体"/>
                <w:color w:val="auto"/>
                <w:szCs w:val="21"/>
                <w:highlight w:val="none"/>
              </w:rPr>
            </w:pPr>
            <w:r>
              <w:rPr>
                <w:rFonts w:hint="eastAsia" w:cs="宋体"/>
                <w:color w:val="auto"/>
                <w:szCs w:val="21"/>
                <w:highlight w:val="none"/>
              </w:rPr>
              <w:t>其他</w:t>
            </w:r>
          </w:p>
        </w:tc>
        <w:tc>
          <w:tcPr>
            <w:tcW w:w="8605" w:type="dxa"/>
            <w:noWrap w:val="0"/>
            <w:vAlign w:val="top"/>
          </w:tcPr>
          <w:p w14:paraId="55B9F0F9">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p>
          <w:p w14:paraId="7FFDF502">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p>
          <w:p w14:paraId="169A5B69">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p>
          <w:p w14:paraId="21C5BCDC">
            <w:pPr>
              <w:pStyle w:val="20"/>
              <w:spacing w:line="360" w:lineRule="auto"/>
              <w:ind w:firstLine="480" w:firstLineChars="200"/>
              <w:jc w:val="center"/>
              <w:rPr>
                <w:rFonts w:hint="eastAsia" w:ascii="Times New Roman" w:hAnsi="Times New Roman" w:eastAsia="宋体" w:cs="Times New Roman"/>
                <w:color w:val="auto"/>
                <w:sz w:val="24"/>
                <w:szCs w:val="24"/>
                <w:highlight w:val="none"/>
                <w:u w:val="none"/>
                <w:lang w:eastAsia="zh-CN"/>
              </w:rPr>
            </w:pPr>
            <w:r>
              <w:rPr>
                <w:rFonts w:hint="eastAsia" w:ascii="Times New Roman" w:hAnsi="Times New Roman" w:eastAsia="宋体" w:cs="Times New Roman"/>
                <w:color w:val="auto"/>
                <w:sz w:val="24"/>
                <w:szCs w:val="24"/>
                <w:highlight w:val="none"/>
                <w:u w:val="none"/>
                <w:lang w:eastAsia="zh-CN"/>
              </w:rPr>
              <w:t>无</w:t>
            </w:r>
          </w:p>
          <w:p w14:paraId="675A37D8">
            <w:pPr>
              <w:pStyle w:val="20"/>
              <w:spacing w:line="360" w:lineRule="auto"/>
              <w:ind w:firstLine="480" w:firstLineChars="200"/>
              <w:rPr>
                <w:rFonts w:hint="eastAsia" w:ascii="Times New Roman" w:hAnsi="Times New Roman" w:eastAsia="宋体" w:cs="Times New Roman"/>
                <w:color w:val="auto"/>
                <w:sz w:val="24"/>
                <w:szCs w:val="24"/>
                <w:highlight w:val="none"/>
                <w:u w:val="none"/>
                <w:lang w:eastAsia="zh-CN"/>
              </w:rPr>
            </w:pPr>
          </w:p>
          <w:p w14:paraId="50CEE5D0">
            <w:pPr>
              <w:pStyle w:val="20"/>
              <w:spacing w:line="360" w:lineRule="auto"/>
              <w:ind w:firstLine="420" w:firstLineChars="200"/>
              <w:rPr>
                <w:rFonts w:hint="eastAsia"/>
                <w:color w:val="auto"/>
                <w:highlight w:val="none"/>
              </w:rPr>
            </w:pPr>
          </w:p>
        </w:tc>
      </w:tr>
    </w:tbl>
    <w:p w14:paraId="0144649D">
      <w:pPr>
        <w:pStyle w:val="40"/>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5D974B72">
      <w:pPr>
        <w:pStyle w:val="2"/>
        <w:snapToGrid/>
        <w:spacing w:before="0" w:after="0" w:line="360" w:lineRule="auto"/>
        <w:jc w:val="center"/>
        <w:rPr>
          <w:snapToGrid w:val="0"/>
          <w:color w:val="auto"/>
          <w:highlight w:val="none"/>
        </w:rPr>
      </w:pPr>
      <w:bookmarkStart w:id="29" w:name="_Toc6285"/>
      <w:bookmarkStart w:id="30" w:name="_Toc23347"/>
      <w:bookmarkStart w:id="31" w:name="_Toc15298"/>
      <w:bookmarkStart w:id="32" w:name="_Toc32749"/>
      <w:r>
        <w:rPr>
          <w:color w:val="auto"/>
          <w:highlight w:val="none"/>
        </w:rPr>
        <w:t>三、</w:t>
      </w:r>
      <w:r>
        <w:rPr>
          <w:rFonts w:hint="eastAsia"/>
          <w:color w:val="auto"/>
          <w:highlight w:val="none"/>
        </w:rPr>
        <w:t>生态</w:t>
      </w:r>
      <w:r>
        <w:rPr>
          <w:color w:val="auto"/>
          <w:highlight w:val="none"/>
        </w:rPr>
        <w:t>环境现状、保护目标及评价标准</w:t>
      </w:r>
      <w:bookmarkEnd w:id="29"/>
      <w:bookmarkEnd w:id="30"/>
      <w:bookmarkEnd w:id="31"/>
      <w:bookmarkEnd w:id="32"/>
    </w:p>
    <w:tbl>
      <w:tblPr>
        <w:tblStyle w:val="4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351"/>
      </w:tblGrid>
      <w:tr w14:paraId="25312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389" w:type="pct"/>
            <w:noWrap w:val="0"/>
            <w:vAlign w:val="center"/>
          </w:tcPr>
          <w:p w14:paraId="2583762B">
            <w:pPr>
              <w:adjustRightInd w:val="0"/>
              <w:snapToGrid w:val="0"/>
              <w:jc w:val="center"/>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生态环境</w:t>
            </w:r>
          </w:p>
          <w:p w14:paraId="2228743A">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现状</w:t>
            </w:r>
          </w:p>
        </w:tc>
        <w:tc>
          <w:tcPr>
            <w:tcW w:w="4610" w:type="pct"/>
            <w:noWrap w:val="0"/>
            <w:vAlign w:val="center"/>
          </w:tcPr>
          <w:p w14:paraId="0EBC10BA">
            <w:pPr>
              <w:adjustRightInd w:val="0"/>
              <w:spacing w:line="360" w:lineRule="auto"/>
              <w:textAlignment w:val="baseline"/>
              <w:rPr>
                <w:rFonts w:hint="eastAsia" w:eastAsia="宋体"/>
                <w:b/>
                <w:color w:val="auto"/>
                <w:sz w:val="28"/>
                <w:szCs w:val="28"/>
                <w:highlight w:val="none"/>
                <w:lang w:eastAsia="zh-CN"/>
              </w:rPr>
            </w:pPr>
            <w:r>
              <w:rPr>
                <w:rFonts w:hint="eastAsia"/>
                <w:b/>
                <w:color w:val="auto"/>
                <w:sz w:val="28"/>
                <w:szCs w:val="28"/>
                <w:highlight w:val="none"/>
                <w:lang w:val="en-US" w:eastAsia="zh-CN"/>
              </w:rPr>
              <w:t>3.1.1</w:t>
            </w:r>
            <w:r>
              <w:rPr>
                <w:rFonts w:hint="eastAsia"/>
                <w:b/>
                <w:color w:val="auto"/>
                <w:sz w:val="28"/>
                <w:szCs w:val="28"/>
                <w:highlight w:val="none"/>
                <w:lang w:eastAsia="zh-CN"/>
              </w:rPr>
              <w:t>环境功能区划</w:t>
            </w:r>
          </w:p>
          <w:p w14:paraId="6F4079A1">
            <w:pPr>
              <w:spacing w:line="360" w:lineRule="auto"/>
              <w:ind w:firstLine="482" w:firstLineChars="200"/>
              <w:rPr>
                <w:rFonts w:hint="eastAsia"/>
                <w:color w:val="auto"/>
                <w:sz w:val="24"/>
                <w:highlight w:val="none"/>
                <w:shd w:val="clear" w:color="auto" w:fill="FFFFFF"/>
              </w:rPr>
            </w:pPr>
            <w:r>
              <w:rPr>
                <w:b/>
                <w:bCs/>
                <w:color w:val="auto"/>
                <w:sz w:val="24"/>
                <w:highlight w:val="none"/>
                <w:shd w:val="clear" w:color="auto" w:fill="FFFFFF"/>
              </w:rPr>
              <w:t>1、</w:t>
            </w:r>
            <w:r>
              <w:rPr>
                <w:rFonts w:hint="eastAsia"/>
                <w:b/>
                <w:bCs/>
                <w:color w:val="auto"/>
                <w:sz w:val="24"/>
                <w:highlight w:val="none"/>
                <w:shd w:val="clear" w:color="auto" w:fill="FFFFFF"/>
                <w:lang w:eastAsia="zh-CN"/>
              </w:rPr>
              <w:t>海洋功能区划</w:t>
            </w:r>
          </w:p>
          <w:p w14:paraId="705A2009">
            <w:pPr>
              <w:spacing w:line="360" w:lineRule="auto"/>
              <w:ind w:firstLine="480" w:firstLineChars="200"/>
              <w:rPr>
                <w:rFonts w:ascii="宋体" w:hAnsi="宋体" w:eastAsia="宋体" w:cs="宋体"/>
                <w:color w:val="auto"/>
                <w:sz w:val="24"/>
                <w:szCs w:val="24"/>
                <w:highlight w:val="none"/>
              </w:rPr>
            </w:pPr>
            <w:r>
              <w:rPr>
                <w:rFonts w:hint="eastAsia" w:ascii="Times New Roman" w:hAnsi="Times New Roman" w:eastAsia="宋体" w:cs="Times New Roman"/>
                <w:color w:val="auto"/>
                <w:sz w:val="24"/>
                <w:highlight w:val="none"/>
                <w:lang w:val="en-US" w:eastAsia="zh-CN"/>
              </w:rPr>
              <w:t>《广西壮族自治区海洋功能区划（2011-2020年）》</w:t>
            </w:r>
            <w:r>
              <w:rPr>
                <w:rFonts w:hint="eastAsia" w:ascii="Times New Roman" w:hAnsi="Times New Roman" w:eastAsia="宋体" w:cs="Times New Roman"/>
                <w:color w:val="auto"/>
                <w:sz w:val="24"/>
                <w:highlight w:val="none"/>
              </w:rPr>
              <w:t>（国函〔2012〕</w:t>
            </w:r>
            <w:r>
              <w:rPr>
                <w:rFonts w:hint="default" w:ascii="Times New Roman" w:hAnsi="Times New Roman" w:eastAsia="宋体" w:cs="Times New Roman"/>
                <w:color w:val="auto"/>
                <w:sz w:val="24"/>
                <w:highlight w:val="none"/>
              </w:rPr>
              <w:t xml:space="preserve">166 </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项目所在位置为“A2-9 鹰岭-果子山-金鼓江港口航运区”，港口航运</w:t>
            </w:r>
            <w:r>
              <w:rPr>
                <w:rFonts w:ascii="宋体" w:hAnsi="宋体" w:eastAsia="宋体" w:cs="宋体"/>
                <w:color w:val="auto"/>
                <w:sz w:val="24"/>
                <w:szCs w:val="24"/>
                <w:highlight w:val="none"/>
              </w:rPr>
              <w:t>区内的海域主要用于港口建设、运行和船舶航行及其它直接为海上交通运输服务的活动。港口的岸线利用、集输运体系等要与临港城市的城市总体规划做好衔接；港口基础设施及临港配套设施建设用围填海应优化工程平面设计，尽量降低其对海洋生态环境、水动力和地形地貌的影响，集约高效利用岸线和海域空间。海岸基本功能区主要用于近岸港口陆域、码头、港池等航运设施建设，重点保障铁山港区、北海港区、钦州港区、防城港区等的发展需要；近海基本功能区主要用于港外航道、锚地等航运用海。在已经开发利用的港区、锚地、航道以及规定的航路及其保护范围内，禁止开展与航运无关、有碍航行安全的活动；严禁</w:t>
            </w:r>
            <w:r>
              <w:rPr>
                <w:rFonts w:hint="eastAsia" w:ascii="宋体" w:hAnsi="宋体" w:eastAsia="宋体" w:cs="宋体"/>
                <w:color w:val="auto"/>
                <w:sz w:val="24"/>
                <w:szCs w:val="24"/>
                <w:highlight w:val="none"/>
                <w:lang w:eastAsia="zh-CN"/>
              </w:rPr>
              <w:t>其他</w:t>
            </w:r>
            <w:r>
              <w:rPr>
                <w:rFonts w:ascii="宋体" w:hAnsi="宋体" w:eastAsia="宋体" w:cs="宋体"/>
                <w:color w:val="auto"/>
                <w:sz w:val="24"/>
                <w:szCs w:val="24"/>
                <w:highlight w:val="none"/>
              </w:rPr>
              <w:t>海岸工程或海洋工程占用深水岸线资源；在未开发利用的港区内，无碍港口功能发挥的海洋开发活动尤其是渔业开发活动可暂时</w:t>
            </w:r>
            <w:r>
              <w:rPr>
                <w:rFonts w:hint="eastAsia" w:ascii="宋体" w:hAnsi="宋体" w:eastAsia="宋体" w:cs="宋体"/>
                <w:color w:val="auto"/>
                <w:sz w:val="24"/>
                <w:szCs w:val="24"/>
                <w:highlight w:val="none"/>
                <w:lang w:eastAsia="zh-CN"/>
              </w:rPr>
              <w:t>予以</w:t>
            </w:r>
            <w:r>
              <w:rPr>
                <w:rFonts w:ascii="宋体" w:hAnsi="宋体" w:eastAsia="宋体" w:cs="宋体"/>
                <w:color w:val="auto"/>
                <w:sz w:val="24"/>
                <w:szCs w:val="24"/>
                <w:highlight w:val="none"/>
              </w:rPr>
              <w:t>保留，但上述开发利用活动在港口开展建设时，应逐步予以撤出。港口航运区要加强污染防治管理，配备相应的污染物接收设施和防 污染设备、器材，制定完善的防污染管理制度。港口区执行不劣于四类的海水水质标准，航道区和锚地水域执行不劣于三类的海水水质标准。在邻近海洋生态敏感区新建的港口、航道和锚地执行不劣于现状海水水质标准。区内的海岛可用于港口基础设施建设，严格限制填海连岛。</w:t>
            </w:r>
          </w:p>
          <w:p w14:paraId="28CA96D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shd w:val="clear" w:color="auto" w:fill="FFFFFF"/>
                <w:lang w:val="en-US" w:eastAsia="zh-CN"/>
              </w:rPr>
              <w:t>本项目为钦州港金谷港区金鼓江作业区16#、17#泊位码头回旋水域与金鼓江航道重叠区域清淤疏浚工程，项目建设将改善码头回旋水域及金鼓江航道水深条件，有利于港口船舶航行，促进港口功能的发挥。项目施工过程中产生悬浮泥沙会使区域水质中的SS浓度暂时性升高，待施工结束后悬浮泥沙自然沉降，悬浮泥沙对区域水质的影响也随之消失，项目建设符合“</w:t>
            </w:r>
            <w:r>
              <w:rPr>
                <w:rFonts w:hint="eastAsia" w:ascii="Times New Roman" w:hAnsi="Times New Roman" w:eastAsia="宋体" w:cs="Times New Roman"/>
                <w:color w:val="auto"/>
                <w:sz w:val="24"/>
                <w:highlight w:val="none"/>
                <w:lang w:val="en-US" w:eastAsia="zh-CN"/>
              </w:rPr>
              <w:t>A2-9 鹰岭-果子山-金鼓江港口航运区</w:t>
            </w:r>
            <w:r>
              <w:rPr>
                <w:rFonts w:hint="eastAsia"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lang w:val="en-US" w:eastAsia="zh-CN"/>
              </w:rPr>
              <w:t>相关管理要求。</w:t>
            </w:r>
          </w:p>
          <w:p w14:paraId="6B30B505">
            <w:pPr>
              <w:numPr>
                <w:ilvl w:val="0"/>
                <w:numId w:val="10"/>
              </w:numPr>
              <w:spacing w:line="360" w:lineRule="auto"/>
              <w:ind w:firstLine="482" w:firstLineChars="200"/>
              <w:rPr>
                <w:rFonts w:hint="eastAsia"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海洋环境功能区划</w:t>
            </w:r>
          </w:p>
          <w:p w14:paraId="1BBF4B2F">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，本项目位于</w:t>
            </w:r>
            <w:r>
              <w:rPr>
                <w:rFonts w:ascii="宋体" w:hAnsi="宋体" w:eastAsia="宋体" w:cs="宋体"/>
                <w:color w:val="auto"/>
                <w:sz w:val="24"/>
                <w:szCs w:val="24"/>
                <w:highlight w:val="none"/>
              </w:rPr>
              <w:t>钦州港大榄坪港口、工业区</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GX055D IV</w:t>
            </w:r>
            <w:r>
              <w:rPr>
                <w:rFonts w:hint="eastAsia" w:ascii="宋体" w:hAnsi="宋体" w:eastAsia="宋体" w:cs="宋体"/>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，面积12平方公里，主导功能为港口、工业用海，属四类环境功能区，水质保护目标为海水水质标准第四类。周围设0.5公里水质过渡带，水质保护目标为海水水质标准第三类。</w:t>
            </w:r>
          </w:p>
          <w:p w14:paraId="2F207803">
            <w:pPr>
              <w:numPr>
                <w:ilvl w:val="0"/>
                <w:numId w:val="10"/>
              </w:numPr>
              <w:spacing w:line="360" w:lineRule="auto"/>
              <w:ind w:firstLine="482" w:firstLineChars="200"/>
              <w:rPr>
                <w:rFonts w:hint="default"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声环境功能区划</w:t>
            </w:r>
          </w:p>
          <w:p w14:paraId="05B02D0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w:t>
            </w:r>
            <w:r>
              <w:rPr>
                <w:rFonts w:hint="eastAsia" w:ascii="Times New Roman" w:hAnsi="Times New Roman" w:eastAsia="宋体" w:cs="Times New Roman"/>
                <w:color w:val="auto"/>
                <w:sz w:val="24"/>
                <w:highlight w:val="none"/>
                <w:shd w:val="clear" w:color="auto" w:fill="FFFFFF"/>
                <w:lang w:val="en-US" w:eastAsia="zh-CN"/>
              </w:rPr>
              <w:t>钦州港金谷港区金鼓江作业区16#、17#泊位东面回旋水域与金鼓江航道重叠区域，</w:t>
            </w:r>
            <w:r>
              <w:rPr>
                <w:rFonts w:hint="eastAsia" w:ascii="Times New Roman" w:hAnsi="Times New Roman" w:eastAsia="宋体" w:cs="Times New Roman"/>
                <w:color w:val="auto"/>
                <w:sz w:val="24"/>
                <w:highlight w:val="none"/>
                <w:lang w:val="en-US" w:eastAsia="zh-CN"/>
              </w:rPr>
              <w:t>根据《钦州市中心城区声环境功能区划（2018-2035年）》，</w:t>
            </w:r>
            <w:r>
              <w:rPr>
                <w:rFonts w:hint="eastAsia" w:cs="Times New Roman"/>
                <w:color w:val="auto"/>
                <w:sz w:val="24"/>
                <w:highlight w:val="none"/>
                <w:u w:val="single"/>
                <w:lang w:val="en-US" w:eastAsia="zh-CN"/>
              </w:rPr>
              <w:t>金鼓江海运航线划定为4a类声环境功能区</w:t>
            </w:r>
            <w:r>
              <w:rPr>
                <w:rFonts w:hint="eastAsia" w:ascii="Times New Roman" w:hAnsi="Times New Roman" w:eastAsia="宋体" w:cs="Times New Roman"/>
                <w:color w:val="auto"/>
                <w:sz w:val="24"/>
                <w:highlight w:val="none"/>
                <w:u w:val="single"/>
                <w:shd w:val="clear" w:color="auto" w:fill="FFFFFF"/>
                <w:lang w:val="en-US" w:eastAsia="zh-CN"/>
              </w:rPr>
              <w:t>，</w:t>
            </w:r>
            <w:r>
              <w:rPr>
                <w:rFonts w:hint="eastAsia" w:cs="Times New Roman"/>
                <w:color w:val="auto"/>
                <w:sz w:val="24"/>
                <w:highlight w:val="none"/>
                <w:u w:val="single"/>
                <w:shd w:val="clear" w:color="auto" w:fill="FFFFFF"/>
                <w:lang w:val="en-US" w:eastAsia="zh-CN"/>
              </w:rPr>
              <w:t>本次回旋水域维护性疏浚区与金鼓江航道重叠</w:t>
            </w:r>
            <w:r>
              <w:rPr>
                <w:rFonts w:hint="eastAsia" w:ascii="Times New Roman" w:hAnsi="Times New Roman" w:eastAsia="宋体" w:cs="Times New Roman"/>
                <w:color w:val="auto"/>
                <w:sz w:val="24"/>
                <w:highlight w:val="none"/>
                <w:shd w:val="clear" w:color="auto" w:fill="FFFFFF"/>
                <w:lang w:val="en-US" w:eastAsia="zh-CN"/>
              </w:rPr>
              <w:t>，因此，工程区域</w:t>
            </w:r>
            <w:r>
              <w:rPr>
                <w:rFonts w:hint="eastAsia" w:cs="Times New Roman"/>
                <w:color w:val="auto"/>
                <w:sz w:val="24"/>
                <w:highlight w:val="none"/>
                <w:shd w:val="clear" w:color="auto" w:fill="FFFFFF"/>
                <w:lang w:val="en-US" w:eastAsia="zh-CN"/>
              </w:rPr>
              <w:t>为</w:t>
            </w:r>
            <w:r>
              <w:rPr>
                <w:rFonts w:hint="eastAsia" w:cs="Times New Roman"/>
                <w:color w:val="auto"/>
                <w:sz w:val="24"/>
                <w:highlight w:val="none"/>
                <w:u w:val="single"/>
                <w:lang w:val="en-US" w:eastAsia="zh-CN"/>
              </w:rPr>
              <w:t>4a类声环境功能区，执行《声环境质量标准》（GB3096-2008）4a类环境噪声限值</w:t>
            </w:r>
            <w:r>
              <w:rPr>
                <w:rFonts w:hint="eastAsia" w:ascii="Times New Roman" w:hAnsi="Times New Roman" w:eastAsia="宋体" w:cs="Times New Roman"/>
                <w:color w:val="auto"/>
                <w:sz w:val="24"/>
                <w:highlight w:val="none"/>
                <w:lang w:val="en-US" w:eastAsia="zh-CN"/>
              </w:rPr>
              <w:t>。</w:t>
            </w:r>
          </w:p>
          <w:p w14:paraId="2C23A80E">
            <w:pPr>
              <w:numPr>
                <w:ilvl w:val="0"/>
                <w:numId w:val="10"/>
              </w:numPr>
              <w:spacing w:line="360" w:lineRule="auto"/>
              <w:ind w:firstLine="482" w:firstLineChars="200"/>
              <w:rPr>
                <w:rFonts w:hint="eastAsia"/>
                <w:b/>
                <w:bCs/>
                <w:color w:val="auto"/>
                <w:sz w:val="24"/>
                <w:highlight w:val="none"/>
                <w:shd w:val="clear" w:color="auto" w:fill="FFFFFF"/>
              </w:rPr>
            </w:pPr>
            <w:r>
              <w:rPr>
                <w:rFonts w:hint="eastAsia"/>
                <w:b/>
                <w:bCs/>
                <w:color w:val="auto"/>
                <w:sz w:val="24"/>
                <w:highlight w:val="none"/>
                <w:shd w:val="clear" w:color="auto" w:fill="FFFFFF"/>
                <w:lang w:eastAsia="zh-CN"/>
              </w:rPr>
              <w:t>环境空气功能区划</w:t>
            </w:r>
          </w:p>
          <w:p w14:paraId="60E96534">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本项目位于钦州港金谷港区金鼓江作业区16#、17#泊位</w:t>
            </w:r>
            <w:r>
              <w:rPr>
                <w:rFonts w:hint="eastAsia" w:ascii="Times New Roman" w:hAnsi="Times New Roman" w:eastAsia="宋体" w:cs="Times New Roman"/>
                <w:color w:val="auto"/>
                <w:sz w:val="24"/>
                <w:highlight w:val="none"/>
                <w:shd w:val="clear" w:color="auto" w:fill="FFFFFF"/>
                <w:lang w:val="en-US" w:eastAsia="zh-CN"/>
              </w:rPr>
              <w:t>东面回旋水域与金鼓江航道重叠区域</w:t>
            </w:r>
            <w:r>
              <w:rPr>
                <w:rFonts w:hint="eastAsia" w:ascii="Times New Roman" w:hAnsi="Times New Roman" w:eastAsia="宋体" w:cs="Times New Roman"/>
                <w:color w:val="auto"/>
                <w:sz w:val="24"/>
                <w:highlight w:val="none"/>
                <w:lang w:val="en-US" w:eastAsia="zh-CN"/>
              </w:rPr>
              <w:t>，项目所在区域未进行环境空气功能区划，根据</w:t>
            </w:r>
            <w:r>
              <w:rPr>
                <w:rFonts w:hint="eastAsia" w:ascii="Times New Roman" w:hAnsi="Times New Roman" w:eastAsia="宋体" w:cs="Times New Roman"/>
                <w:color w:val="auto"/>
                <w:sz w:val="24"/>
                <w:highlight w:val="none"/>
                <w:u w:val="single"/>
                <w:lang w:val="en-US" w:eastAsia="zh-CN"/>
              </w:rPr>
              <w:t>《环境空气质量标准》（GB3095-2026）</w:t>
            </w:r>
            <w:r>
              <w:rPr>
                <w:rFonts w:hint="eastAsia" w:ascii="Times New Roman" w:hAnsi="Times New Roman" w:eastAsia="宋体" w:cs="Times New Roman"/>
                <w:color w:val="auto"/>
                <w:sz w:val="24"/>
                <w:highlight w:val="none"/>
                <w:lang w:val="en-US" w:eastAsia="zh-CN"/>
              </w:rPr>
              <w:t>环境空气功能区分类，项目所在区域不属于自然保护区、风景名胜区和其他需要特殊保护的区域，本项目属于其中的“工业区”环境空气质量功能区划分为二类环境空气功能区。</w:t>
            </w:r>
          </w:p>
          <w:p w14:paraId="1843F3CD">
            <w:pPr>
              <w:numPr>
                <w:ilvl w:val="0"/>
                <w:numId w:val="10"/>
              </w:numPr>
              <w:spacing w:line="360" w:lineRule="auto"/>
              <w:ind w:firstLine="482" w:firstLineChars="200"/>
              <w:rPr>
                <w:rFonts w:hint="eastAsia" w:ascii="Times New Roman" w:hAnsi="Times New Roman" w:eastAsia="宋体" w:cs="Times New Roman"/>
                <w:b/>
                <w:bCs/>
                <w:color w:val="auto"/>
                <w:sz w:val="24"/>
                <w:highlight w:val="none"/>
                <w:shd w:val="clear" w:color="auto" w:fill="FFFFFF"/>
                <w:lang w:val="en-US" w:eastAsia="zh-CN"/>
              </w:rPr>
            </w:pPr>
            <w:r>
              <w:rPr>
                <w:rFonts w:hint="eastAsia" w:ascii="Times New Roman" w:hAnsi="Times New Roman" w:eastAsia="宋体" w:cs="Times New Roman"/>
                <w:b/>
                <w:bCs/>
                <w:color w:val="auto"/>
                <w:sz w:val="24"/>
                <w:highlight w:val="none"/>
                <w:shd w:val="clear" w:color="auto" w:fill="FFFFFF"/>
                <w:lang w:val="en-US" w:eastAsia="zh-CN"/>
              </w:rPr>
              <w:t>生态功能区划</w:t>
            </w:r>
          </w:p>
          <w:p w14:paraId="72923276">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highlight w:val="none"/>
                <w:lang w:val="en-US" w:eastAsia="zh-CN"/>
              </w:rPr>
              <w:t>本项目位于钦州港金谷港区金鼓江作业区16#、17#泊位</w:t>
            </w:r>
            <w:r>
              <w:rPr>
                <w:rFonts w:hint="eastAsia" w:cs="Times New Roman"/>
                <w:color w:val="auto"/>
                <w:sz w:val="24"/>
                <w:highlight w:val="none"/>
                <w:lang w:val="en-US" w:eastAsia="zh-CN"/>
              </w:rPr>
              <w:t>东面</w:t>
            </w:r>
            <w:r>
              <w:rPr>
                <w:rFonts w:hint="eastAsia" w:ascii="Times New Roman" w:hAnsi="Times New Roman" w:eastAsia="宋体" w:cs="Times New Roman"/>
                <w:color w:val="auto"/>
                <w:sz w:val="24"/>
                <w:highlight w:val="none"/>
                <w:shd w:val="clear" w:color="auto" w:fill="FFFFFF"/>
                <w:lang w:val="en-US" w:eastAsia="zh-CN"/>
              </w:rPr>
              <w:t>回旋水域与金鼓江航道重叠区域</w:t>
            </w:r>
            <w:r>
              <w:rPr>
                <w:rFonts w:hint="eastAsia" w:ascii="Times New Roman" w:hAnsi="Times New Roman" w:eastAsia="宋体" w:cs="Times New Roman"/>
                <w:color w:val="auto"/>
                <w:sz w:val="24"/>
                <w:highlight w:val="none"/>
                <w:lang w:val="en-US" w:eastAsia="zh-CN"/>
              </w:rPr>
              <w:t>，根据《钦州市生态功能区划》，项目所在位置属于Ⅲ-1 钦州中心城市功能区，不属于重点生态功能区。</w:t>
            </w:r>
          </w:p>
          <w:p w14:paraId="48D78D2E">
            <w:pPr>
              <w:spacing w:line="360" w:lineRule="auto"/>
              <w:ind w:left="-28"/>
              <w:jc w:val="left"/>
              <w:textAlignment w:val="baseline"/>
              <w:rPr>
                <w:rFonts w:hint="eastAsia"/>
                <w:color w:val="auto"/>
                <w:sz w:val="24"/>
                <w:highlight w:val="none"/>
                <w:shd w:val="clear" w:color="auto" w:fill="FFFFFF"/>
              </w:rPr>
            </w:pPr>
            <w:r>
              <w:rPr>
                <w:rFonts w:hint="eastAsia"/>
                <w:b/>
                <w:color w:val="auto"/>
                <w:sz w:val="28"/>
                <w:szCs w:val="28"/>
                <w:highlight w:val="none"/>
                <w:lang w:val="en-US" w:eastAsia="zh-CN"/>
              </w:rPr>
              <w:t>3.1.2</w:t>
            </w:r>
            <w:r>
              <w:rPr>
                <w:b/>
                <w:color w:val="auto"/>
                <w:sz w:val="28"/>
                <w:szCs w:val="28"/>
                <w:highlight w:val="none"/>
              </w:rPr>
              <w:t>环境空气质量现状</w:t>
            </w:r>
          </w:p>
          <w:p w14:paraId="10657CCE">
            <w:pPr>
              <w:spacing w:line="360" w:lineRule="auto"/>
              <w:ind w:right="-57" w:rightChars="-27" w:firstLine="480" w:firstLineChars="200"/>
              <w:jc w:val="left"/>
              <w:rPr>
                <w:color w:val="auto"/>
                <w:sz w:val="24"/>
                <w:highlight w:val="none"/>
                <w:u w:val="single"/>
                <w:shd w:val="clear" w:color="auto" w:fill="FFFFFF"/>
              </w:rPr>
            </w:pPr>
            <w:r>
              <w:rPr>
                <w:rFonts w:hint="eastAsia"/>
                <w:color w:val="auto"/>
                <w:sz w:val="24"/>
                <w:highlight w:val="none"/>
                <w:shd w:val="clear" w:color="auto" w:fill="FFFFFF"/>
              </w:rPr>
              <w:t>本项目</w:t>
            </w:r>
            <w:r>
              <w:rPr>
                <w:rFonts w:hint="eastAsia"/>
                <w:color w:val="auto"/>
                <w:sz w:val="24"/>
                <w:highlight w:val="none"/>
                <w:shd w:val="clear" w:color="auto" w:fill="FFFFFF"/>
                <w:lang w:eastAsia="zh-CN"/>
              </w:rPr>
              <w:t>所在区域为港口区域</w:t>
            </w:r>
            <w:r>
              <w:rPr>
                <w:rFonts w:hint="eastAsia"/>
                <w:color w:val="auto"/>
                <w:sz w:val="24"/>
                <w:highlight w:val="none"/>
                <w:shd w:val="clear" w:color="auto" w:fill="FFFFFF"/>
              </w:rPr>
              <w:t>，</w:t>
            </w:r>
            <w:r>
              <w:rPr>
                <w:rFonts w:hint="eastAsia"/>
                <w:color w:val="auto"/>
                <w:sz w:val="24"/>
                <w:highlight w:val="none"/>
                <w:shd w:val="clear" w:color="auto" w:fill="FFFFFF"/>
                <w:lang w:eastAsia="zh-CN"/>
              </w:rPr>
              <w:t>区域未划定环境空气功能区，</w:t>
            </w:r>
            <w:r>
              <w:rPr>
                <w:rFonts w:hint="eastAsia"/>
                <w:color w:val="auto"/>
                <w:sz w:val="24"/>
                <w:highlight w:val="none"/>
                <w:shd w:val="clear" w:color="auto" w:fill="FFFFFF"/>
              </w:rPr>
              <w:t>根据《环境空气质量标准》(GB3095-</w:t>
            </w:r>
            <w:r>
              <w:rPr>
                <w:rFonts w:hint="eastAsia"/>
                <w:color w:val="auto"/>
                <w:sz w:val="24"/>
                <w:highlight w:val="none"/>
                <w:shd w:val="clear" w:color="auto" w:fill="FFFFFF"/>
                <w:lang w:val="en-US" w:eastAsia="zh-CN"/>
              </w:rPr>
              <w:t>2026</w:t>
            </w:r>
            <w:r>
              <w:rPr>
                <w:rFonts w:hint="eastAsia"/>
                <w:color w:val="auto"/>
                <w:sz w:val="24"/>
                <w:highlight w:val="none"/>
                <w:shd w:val="clear" w:color="auto" w:fill="FFFFFF"/>
              </w:rPr>
              <w:t>)进行划分，</w:t>
            </w:r>
            <w:r>
              <w:rPr>
                <w:color w:val="auto"/>
                <w:sz w:val="24"/>
                <w:highlight w:val="none"/>
                <w:shd w:val="clear" w:color="auto" w:fill="FFFFFF"/>
              </w:rPr>
              <w:t>项目所在区域环境空气属于二类功能区，环境空气执行</w:t>
            </w:r>
            <w:r>
              <w:rPr>
                <w:color w:val="auto"/>
                <w:sz w:val="24"/>
                <w:highlight w:val="none"/>
                <w:u w:val="single"/>
                <w:shd w:val="clear" w:color="auto" w:fill="FFFFFF"/>
              </w:rPr>
              <w:t>《环境空气质量标准》（GB3095-</w:t>
            </w:r>
            <w:r>
              <w:rPr>
                <w:rFonts w:hint="eastAsia"/>
                <w:color w:val="auto"/>
                <w:sz w:val="24"/>
                <w:highlight w:val="none"/>
                <w:u w:val="single"/>
                <w:shd w:val="clear" w:color="auto" w:fill="FFFFFF"/>
                <w:lang w:val="en-US" w:eastAsia="zh-CN"/>
              </w:rPr>
              <w:t>2026</w:t>
            </w:r>
            <w:r>
              <w:rPr>
                <w:color w:val="auto"/>
                <w:sz w:val="24"/>
                <w:highlight w:val="none"/>
                <w:u w:val="single"/>
                <w:shd w:val="clear" w:color="auto" w:fill="FFFFFF"/>
              </w:rPr>
              <w:t>）</w:t>
            </w:r>
            <w:r>
              <w:rPr>
                <w:rFonts w:hint="eastAsia"/>
                <w:color w:val="auto"/>
                <w:sz w:val="24"/>
                <w:highlight w:val="none"/>
                <w:u w:val="single"/>
                <w:shd w:val="clear" w:color="auto" w:fill="FFFFFF"/>
                <w:lang w:val="en-US" w:eastAsia="zh-CN"/>
              </w:rPr>
              <w:t>过渡阶段</w:t>
            </w:r>
            <w:r>
              <w:rPr>
                <w:color w:val="auto"/>
                <w:sz w:val="24"/>
                <w:highlight w:val="none"/>
                <w:u w:val="single"/>
                <w:shd w:val="clear" w:color="auto" w:fill="FFFFFF"/>
              </w:rPr>
              <w:t>二级标准。</w:t>
            </w:r>
          </w:p>
          <w:p w14:paraId="1CC9620D">
            <w:pPr>
              <w:spacing w:line="360" w:lineRule="auto"/>
              <w:ind w:firstLine="482" w:firstLineChars="200"/>
              <w:rPr>
                <w:b/>
                <w:bCs/>
                <w:color w:val="auto"/>
                <w:sz w:val="24"/>
                <w:highlight w:val="none"/>
                <w:shd w:val="clear" w:color="auto" w:fill="FFFFFF"/>
              </w:rPr>
            </w:pPr>
          </w:p>
          <w:p w14:paraId="5049540F">
            <w:pPr>
              <w:spacing w:line="360" w:lineRule="auto"/>
              <w:ind w:firstLine="482" w:firstLineChars="200"/>
              <w:rPr>
                <w:b/>
                <w:bCs/>
                <w:color w:val="auto"/>
                <w:sz w:val="24"/>
                <w:highlight w:val="none"/>
                <w:shd w:val="clear" w:color="auto" w:fill="FFFFFF"/>
              </w:rPr>
            </w:pPr>
            <w:r>
              <w:rPr>
                <w:b/>
                <w:bCs/>
                <w:color w:val="auto"/>
                <w:sz w:val="24"/>
                <w:highlight w:val="none"/>
                <w:shd w:val="clear" w:color="auto" w:fill="FFFFFF"/>
              </w:rPr>
              <w:t>1、项目所在区域达标判</w:t>
            </w:r>
            <w:r>
              <w:rPr>
                <w:rFonts w:hint="eastAsia"/>
                <w:b/>
                <w:bCs/>
                <w:color w:val="auto"/>
                <w:sz w:val="24"/>
                <w:highlight w:val="none"/>
                <w:shd w:val="clear" w:color="auto" w:fill="FFFFFF"/>
              </w:rPr>
              <w:t>定</w:t>
            </w:r>
          </w:p>
          <w:p w14:paraId="1B5F9932">
            <w:pPr>
              <w:spacing w:line="360" w:lineRule="auto"/>
              <w:ind w:right="-57" w:rightChars="-27" w:firstLine="480" w:firstLineChars="200"/>
              <w:jc w:val="left"/>
              <w:rPr>
                <w:rFonts w:hint="eastAsia"/>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lang w:val="en-US" w:eastAsia="zh-CN"/>
              </w:rPr>
              <w:t>根据广西壮族自治区生态环境厅《自治区生态环境厅关于通报</w:t>
            </w:r>
            <w:r>
              <w:rPr>
                <w:rFonts w:hint="eastAsia" w:ascii="Times New Roman" w:hAnsi="Times New Roman" w:eastAsia="宋体" w:cs="Times New Roman"/>
                <w:color w:val="auto"/>
                <w:sz w:val="24"/>
                <w:highlight w:val="none"/>
                <w:shd w:val="clear" w:color="auto" w:fill="FFFFFF"/>
                <w:lang w:val="en-US" w:eastAsia="zh-CN"/>
              </w:rPr>
              <w:t>2024</w:t>
            </w:r>
            <w:r>
              <w:rPr>
                <w:rFonts w:hint="default" w:ascii="Times New Roman" w:hAnsi="Times New Roman" w:eastAsia="宋体" w:cs="Times New Roman"/>
                <w:color w:val="auto"/>
                <w:sz w:val="24"/>
                <w:highlight w:val="none"/>
                <w:shd w:val="clear" w:color="auto" w:fill="FFFFFF"/>
                <w:lang w:val="en-US" w:eastAsia="zh-CN"/>
              </w:rPr>
              <w:t>年设区城市及各县（市、区）环境空气质量的函》（桂环函〔</w:t>
            </w:r>
            <w:r>
              <w:rPr>
                <w:rFonts w:hint="eastAsia" w:ascii="Times New Roman" w:hAnsi="Times New Roman" w:eastAsia="宋体" w:cs="Times New Roman"/>
                <w:color w:val="auto"/>
                <w:sz w:val="24"/>
                <w:highlight w:val="none"/>
                <w:shd w:val="clear" w:color="auto" w:fill="FFFFFF"/>
                <w:lang w:val="en-US" w:eastAsia="zh-CN"/>
              </w:rPr>
              <w:t>2025</w:t>
            </w:r>
            <w:r>
              <w:rPr>
                <w:rFonts w:hint="default" w:ascii="Times New Roman" w:hAnsi="Times New Roman" w:eastAsia="宋体" w:cs="Times New Roman"/>
                <w:color w:val="auto"/>
                <w:sz w:val="24"/>
                <w:highlight w:val="none"/>
                <w:shd w:val="clear" w:color="auto" w:fill="FFFFFF"/>
                <w:lang w:val="en-US" w:eastAsia="zh-CN"/>
              </w:rPr>
              <w:t>〕</w:t>
            </w:r>
            <w:r>
              <w:rPr>
                <w:rFonts w:hint="eastAsia" w:ascii="Times New Roman" w:hAnsi="Times New Roman" w:eastAsia="宋体" w:cs="Times New Roman"/>
                <w:color w:val="auto"/>
                <w:sz w:val="24"/>
                <w:highlight w:val="none"/>
                <w:shd w:val="clear" w:color="auto" w:fill="FFFFFF"/>
                <w:lang w:val="en-US" w:eastAsia="zh-CN"/>
              </w:rPr>
              <w:t>66</w:t>
            </w:r>
            <w:r>
              <w:rPr>
                <w:rFonts w:hint="default" w:ascii="Times New Roman" w:hAnsi="Times New Roman" w:eastAsia="宋体" w:cs="Times New Roman"/>
                <w:color w:val="auto"/>
                <w:sz w:val="24"/>
                <w:highlight w:val="none"/>
                <w:shd w:val="clear" w:color="auto" w:fill="FFFFFF"/>
                <w:lang w:val="en-US" w:eastAsia="zh-CN"/>
              </w:rPr>
              <w:t>号），项目所在区域钦州市SO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、NO</w:t>
            </w:r>
            <w:r>
              <w:rPr>
                <w:rFonts w:hint="default" w:ascii="Times New Roman" w:hAnsi="Times New Roman" w:eastAsia="宋体" w:cs="Times New Roman"/>
                <w:color w:val="auto"/>
                <w:sz w:val="24"/>
                <w:highlight w:val="none"/>
                <w:shd w:val="clear" w:color="auto" w:fill="FFFFFF"/>
                <w:vertAlign w:val="subscript"/>
                <w:lang w:val="en-US" w:eastAsia="zh-CN"/>
              </w:rPr>
              <w:t>2</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10</w:t>
            </w:r>
            <w:r>
              <w:rPr>
                <w:rFonts w:hint="default" w:ascii="Times New Roman" w:hAnsi="Times New Roman" w:eastAsia="宋体" w:cs="Times New Roman"/>
                <w:color w:val="auto"/>
                <w:sz w:val="24"/>
                <w:highlight w:val="none"/>
                <w:shd w:val="clear" w:color="auto" w:fill="FFFFFF"/>
                <w:lang w:val="en-US" w:eastAsia="zh-CN"/>
              </w:rPr>
              <w:t>、PM</w:t>
            </w:r>
            <w:r>
              <w:rPr>
                <w:rFonts w:hint="default" w:ascii="Times New Roman" w:hAnsi="Times New Roman" w:eastAsia="宋体" w:cs="Times New Roman"/>
                <w:color w:val="auto"/>
                <w:sz w:val="24"/>
                <w:highlight w:val="none"/>
                <w:shd w:val="clear" w:color="auto" w:fill="FFFFFF"/>
                <w:vertAlign w:val="subscript"/>
                <w:lang w:val="en-US" w:eastAsia="zh-CN"/>
              </w:rPr>
              <w:t>2.5</w:t>
            </w:r>
            <w:r>
              <w:rPr>
                <w:rFonts w:hint="default" w:ascii="Times New Roman" w:hAnsi="Times New Roman" w:eastAsia="宋体" w:cs="Times New Roman"/>
                <w:color w:val="auto"/>
                <w:sz w:val="24"/>
                <w:highlight w:val="none"/>
                <w:shd w:val="clear" w:color="auto" w:fill="FFFFFF"/>
                <w:lang w:val="en-US" w:eastAsia="zh-CN"/>
              </w:rPr>
              <w:t>、CO、O</w:t>
            </w:r>
            <w:r>
              <w:rPr>
                <w:rFonts w:hint="default" w:ascii="Times New Roman" w:hAnsi="Times New Roman" w:eastAsia="宋体" w:cs="Times New Roman"/>
                <w:color w:val="auto"/>
                <w:sz w:val="24"/>
                <w:highlight w:val="none"/>
                <w:shd w:val="clear" w:color="auto" w:fill="FFFFFF"/>
                <w:vertAlign w:val="subscript"/>
                <w:lang w:val="en-US" w:eastAsia="zh-CN"/>
              </w:rPr>
              <w:t>3</w:t>
            </w:r>
            <w:r>
              <w:rPr>
                <w:rFonts w:hint="default" w:ascii="Times New Roman" w:hAnsi="Times New Roman" w:eastAsia="宋体" w:cs="Times New Roman"/>
                <w:color w:val="auto"/>
                <w:sz w:val="24"/>
                <w:highlight w:val="none"/>
                <w:shd w:val="clear" w:color="auto" w:fill="FFFFFF"/>
                <w:lang w:val="en-US" w:eastAsia="zh-CN"/>
              </w:rPr>
              <w:t>环境质量现状均满足《环境空气质量标准》</w:t>
            </w:r>
            <w:r>
              <w:rPr>
                <w:rFonts w:hint="default" w:ascii="Times New Roman" w:hAnsi="Times New Roman" w:eastAsia="宋体" w:cs="Times New Roman"/>
                <w:color w:val="auto"/>
                <w:sz w:val="24"/>
                <w:highlight w:val="none"/>
                <w:u w:val="single"/>
                <w:shd w:val="clear" w:color="auto" w:fill="FFFFFF"/>
                <w:lang w:val="en-US" w:eastAsia="zh-CN"/>
              </w:rPr>
              <w:t>（GB3095-</w:t>
            </w:r>
            <w:r>
              <w:rPr>
                <w:rFonts w:hint="eastAsia" w:ascii="Times New Roman" w:hAnsi="Times New Roman" w:eastAsia="宋体" w:cs="Times New Roman"/>
                <w:color w:val="auto"/>
                <w:sz w:val="24"/>
                <w:highlight w:val="none"/>
                <w:u w:val="single"/>
                <w:shd w:val="clear" w:color="auto" w:fill="FFFFFF"/>
                <w:lang w:val="en-US" w:eastAsia="zh-CN"/>
              </w:rPr>
              <w:t>2026</w:t>
            </w:r>
            <w:r>
              <w:rPr>
                <w:rFonts w:hint="default" w:ascii="Times New Roman" w:hAnsi="Times New Roman" w:eastAsia="宋体" w:cs="Times New Roman"/>
                <w:color w:val="auto"/>
                <w:sz w:val="24"/>
                <w:highlight w:val="none"/>
                <w:u w:val="single"/>
                <w:shd w:val="clear" w:color="auto" w:fill="FFFFFF"/>
                <w:lang w:val="en-US" w:eastAsia="zh-CN"/>
              </w:rPr>
              <w:t>）</w:t>
            </w:r>
            <w:r>
              <w:rPr>
                <w:rFonts w:hint="eastAsia" w:ascii="Times New Roman" w:hAnsi="Times New Roman" w:eastAsia="宋体" w:cs="Times New Roman"/>
                <w:color w:val="auto"/>
                <w:sz w:val="24"/>
                <w:highlight w:val="none"/>
                <w:u w:val="single"/>
                <w:shd w:val="clear" w:color="auto" w:fill="FFFFFF"/>
                <w:lang w:val="en-US" w:eastAsia="zh-CN"/>
              </w:rPr>
              <w:t>过渡阶段浓度限值</w:t>
            </w:r>
            <w:r>
              <w:rPr>
                <w:rFonts w:hint="default" w:ascii="Times New Roman" w:hAnsi="Times New Roman" w:eastAsia="宋体" w:cs="Times New Roman"/>
                <w:color w:val="auto"/>
                <w:sz w:val="24"/>
                <w:highlight w:val="none"/>
                <w:u w:val="single"/>
                <w:shd w:val="clear" w:color="auto" w:fill="FFFFFF"/>
                <w:lang w:val="en-US" w:eastAsia="zh-CN"/>
              </w:rPr>
              <w:t>二级标准</w:t>
            </w:r>
            <w:r>
              <w:rPr>
                <w:rFonts w:hint="eastAsia" w:ascii="Times New Roman" w:hAnsi="Times New Roman" w:eastAsia="宋体" w:cs="Times New Roman"/>
                <w:color w:val="auto"/>
                <w:sz w:val="24"/>
                <w:highlight w:val="none"/>
                <w:u w:val="single"/>
                <w:shd w:val="clear" w:color="auto" w:fill="FFFFFF"/>
                <w:lang w:val="en-US" w:eastAsia="zh-CN"/>
              </w:rPr>
              <w:t>，</w:t>
            </w:r>
            <w:r>
              <w:rPr>
                <w:rFonts w:hint="default" w:ascii="Times New Roman" w:hAnsi="Times New Roman" w:eastAsia="宋体" w:cs="Times New Roman"/>
                <w:color w:val="auto"/>
                <w:sz w:val="24"/>
                <w:highlight w:val="none"/>
                <w:shd w:val="clear" w:color="auto" w:fill="FFFFFF"/>
                <w:lang w:val="en-US" w:eastAsia="zh-CN"/>
              </w:rPr>
              <w:t>项目区域环境空气质量为达标区</w:t>
            </w:r>
            <w:r>
              <w:rPr>
                <w:rFonts w:hint="eastAsia"/>
                <w:color w:val="auto"/>
                <w:sz w:val="24"/>
                <w:highlight w:val="none"/>
                <w:shd w:val="clear" w:color="auto" w:fill="FFFFFF"/>
              </w:rPr>
              <w:t>，区域空气质量见下表。</w:t>
            </w:r>
          </w:p>
          <w:p w14:paraId="246FD0E9">
            <w:pPr>
              <w:widowControl/>
              <w:jc w:val="center"/>
              <w:rPr>
                <w:b/>
                <w:color w:val="auto"/>
                <w:szCs w:val="21"/>
                <w:highlight w:val="none"/>
                <w:lang w:bidi="ar"/>
              </w:rPr>
            </w:pPr>
            <w:r>
              <w:rPr>
                <w:b/>
                <w:color w:val="auto"/>
                <w:szCs w:val="21"/>
                <w:highlight w:val="none"/>
                <w:lang w:bidi="ar"/>
              </w:rPr>
              <w:t>表</w:t>
            </w:r>
            <w:r>
              <w:rPr>
                <w:rFonts w:hint="eastAsia"/>
                <w:b/>
                <w:color w:val="auto"/>
                <w:szCs w:val="21"/>
                <w:highlight w:val="none"/>
                <w:lang w:val="en-US" w:eastAsia="zh-CN" w:bidi="ar"/>
              </w:rPr>
              <w:t>3.1-1</w:t>
            </w:r>
            <w:r>
              <w:rPr>
                <w:b/>
                <w:color w:val="auto"/>
                <w:szCs w:val="21"/>
                <w:highlight w:val="none"/>
                <w:lang w:bidi="ar"/>
              </w:rPr>
              <w:t xml:space="preserve"> 区域空气质量现状评价表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5"/>
              <w:gridCol w:w="2601"/>
              <w:gridCol w:w="1365"/>
              <w:gridCol w:w="958"/>
              <w:gridCol w:w="937"/>
              <w:gridCol w:w="1168"/>
            </w:tblGrid>
            <w:tr w14:paraId="18EC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35" w:type="dxa"/>
                  <w:noWrap w:val="0"/>
                  <w:vAlign w:val="center"/>
                </w:tcPr>
                <w:p w14:paraId="1A715410">
                  <w:pPr>
                    <w:snapToGrid w:val="0"/>
                    <w:jc w:val="center"/>
                    <w:rPr>
                      <w:color w:val="auto"/>
                      <w:szCs w:val="21"/>
                      <w:highlight w:val="none"/>
                    </w:rPr>
                  </w:pPr>
                  <w:r>
                    <w:rPr>
                      <w:color w:val="auto"/>
                      <w:szCs w:val="21"/>
                      <w:highlight w:val="none"/>
                    </w:rPr>
                    <w:t>污染物</w:t>
                  </w:r>
                </w:p>
              </w:tc>
              <w:tc>
                <w:tcPr>
                  <w:tcW w:w="2601" w:type="dxa"/>
                  <w:noWrap w:val="0"/>
                  <w:vAlign w:val="center"/>
                </w:tcPr>
                <w:p w14:paraId="292D436B">
                  <w:pPr>
                    <w:snapToGrid w:val="0"/>
                    <w:jc w:val="center"/>
                    <w:rPr>
                      <w:color w:val="auto"/>
                      <w:szCs w:val="21"/>
                      <w:highlight w:val="none"/>
                    </w:rPr>
                  </w:pPr>
                  <w:r>
                    <w:rPr>
                      <w:color w:val="auto"/>
                      <w:szCs w:val="21"/>
                      <w:highlight w:val="none"/>
                    </w:rPr>
                    <w:t>年评价指标</w:t>
                  </w:r>
                </w:p>
              </w:tc>
              <w:tc>
                <w:tcPr>
                  <w:tcW w:w="1365" w:type="dxa"/>
                  <w:noWrap w:val="0"/>
                  <w:vAlign w:val="center"/>
                </w:tcPr>
                <w:p w14:paraId="43807482">
                  <w:pPr>
                    <w:snapToGrid w:val="0"/>
                    <w:jc w:val="center"/>
                    <w:rPr>
                      <w:color w:val="auto"/>
                      <w:szCs w:val="21"/>
                      <w:highlight w:val="none"/>
                    </w:rPr>
                  </w:pPr>
                  <w:r>
                    <w:rPr>
                      <w:color w:val="auto"/>
                      <w:szCs w:val="21"/>
                      <w:highlight w:val="none"/>
                    </w:rPr>
                    <w:t>现状浓度</w:t>
                  </w:r>
                </w:p>
                <w:p w14:paraId="1EC817A9">
                  <w:pPr>
                    <w:snapToGrid w:val="0"/>
                    <w:jc w:val="center"/>
                    <w:rPr>
                      <w:color w:val="auto"/>
                      <w:szCs w:val="21"/>
                      <w:highlight w:val="none"/>
                    </w:rPr>
                  </w:pPr>
                  <w:r>
                    <w:rPr>
                      <w:color w:val="auto"/>
                      <w:szCs w:val="21"/>
                      <w:highlight w:val="none"/>
                    </w:rPr>
                    <w:t>(μg/m</w:t>
                  </w:r>
                  <w:r>
                    <w:rPr>
                      <w:color w:val="auto"/>
                      <w:szCs w:val="21"/>
                      <w:highlight w:val="none"/>
                      <w:vertAlign w:val="superscript"/>
                    </w:rPr>
                    <w:t>3</w:t>
                  </w:r>
                  <w:r>
                    <w:rPr>
                      <w:color w:val="auto"/>
                      <w:szCs w:val="21"/>
                      <w:highlight w:val="none"/>
                    </w:rPr>
                    <w:t>)</w:t>
                  </w:r>
                </w:p>
              </w:tc>
              <w:tc>
                <w:tcPr>
                  <w:tcW w:w="958" w:type="dxa"/>
                  <w:noWrap w:val="0"/>
                  <w:vAlign w:val="center"/>
                </w:tcPr>
                <w:p w14:paraId="37A1AFB9">
                  <w:pPr>
                    <w:snapToGrid w:val="0"/>
                    <w:jc w:val="center"/>
                    <w:rPr>
                      <w:color w:val="auto"/>
                      <w:szCs w:val="21"/>
                      <w:highlight w:val="none"/>
                    </w:rPr>
                  </w:pPr>
                  <w:r>
                    <w:rPr>
                      <w:color w:val="auto"/>
                      <w:szCs w:val="21"/>
                      <w:highlight w:val="none"/>
                    </w:rPr>
                    <w:t>标准值</w:t>
                  </w:r>
                </w:p>
                <w:p w14:paraId="013D3B4E">
                  <w:pPr>
                    <w:snapToGrid w:val="0"/>
                    <w:jc w:val="center"/>
                    <w:rPr>
                      <w:color w:val="auto"/>
                      <w:szCs w:val="21"/>
                      <w:highlight w:val="none"/>
                    </w:rPr>
                  </w:pPr>
                  <w:r>
                    <w:rPr>
                      <w:color w:val="auto"/>
                      <w:szCs w:val="21"/>
                      <w:highlight w:val="none"/>
                    </w:rPr>
                    <w:t>(μg/m</w:t>
                  </w:r>
                  <w:r>
                    <w:rPr>
                      <w:color w:val="auto"/>
                      <w:szCs w:val="21"/>
                      <w:highlight w:val="none"/>
                      <w:vertAlign w:val="superscript"/>
                    </w:rPr>
                    <w:t>3</w:t>
                  </w:r>
                  <w:r>
                    <w:rPr>
                      <w:color w:val="auto"/>
                      <w:szCs w:val="21"/>
                      <w:highlight w:val="none"/>
                    </w:rPr>
                    <w:t>)</w:t>
                  </w:r>
                </w:p>
              </w:tc>
              <w:tc>
                <w:tcPr>
                  <w:tcW w:w="937" w:type="dxa"/>
                  <w:noWrap w:val="0"/>
                  <w:vAlign w:val="center"/>
                </w:tcPr>
                <w:p w14:paraId="637B1338">
                  <w:pPr>
                    <w:snapToGrid w:val="0"/>
                    <w:jc w:val="center"/>
                    <w:rPr>
                      <w:color w:val="auto"/>
                      <w:szCs w:val="21"/>
                      <w:highlight w:val="none"/>
                    </w:rPr>
                  </w:pPr>
                  <w:r>
                    <w:rPr>
                      <w:color w:val="auto"/>
                      <w:szCs w:val="21"/>
                      <w:highlight w:val="none"/>
                    </w:rPr>
                    <w:t>占标率</w:t>
                  </w:r>
                </w:p>
                <w:p w14:paraId="3E93D010">
                  <w:pPr>
                    <w:snapToGrid w:val="0"/>
                    <w:jc w:val="center"/>
                    <w:rPr>
                      <w:color w:val="auto"/>
                      <w:szCs w:val="21"/>
                      <w:highlight w:val="none"/>
                    </w:rPr>
                  </w:pPr>
                  <w:r>
                    <w:rPr>
                      <w:color w:val="auto"/>
                      <w:szCs w:val="21"/>
                      <w:highlight w:val="none"/>
                    </w:rPr>
                    <w:t>（%）</w:t>
                  </w:r>
                </w:p>
              </w:tc>
              <w:tc>
                <w:tcPr>
                  <w:tcW w:w="1168" w:type="dxa"/>
                  <w:noWrap w:val="0"/>
                  <w:vAlign w:val="center"/>
                </w:tcPr>
                <w:p w14:paraId="7E604D9C">
                  <w:pPr>
                    <w:snapToGrid w:val="0"/>
                    <w:jc w:val="center"/>
                    <w:rPr>
                      <w:color w:val="auto"/>
                      <w:szCs w:val="21"/>
                      <w:highlight w:val="none"/>
                    </w:rPr>
                  </w:pPr>
                  <w:r>
                    <w:rPr>
                      <w:color w:val="auto"/>
                      <w:szCs w:val="21"/>
                      <w:highlight w:val="none"/>
                    </w:rPr>
                    <w:t>达标情况</w:t>
                  </w:r>
                </w:p>
              </w:tc>
            </w:tr>
            <w:tr w14:paraId="1933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3153F446">
                  <w:pPr>
                    <w:snapToGrid w:val="0"/>
                    <w:jc w:val="center"/>
                    <w:rPr>
                      <w:color w:val="auto"/>
                      <w:szCs w:val="21"/>
                      <w:highlight w:val="none"/>
                      <w:u w:val="none"/>
                    </w:rPr>
                  </w:pPr>
                  <w:r>
                    <w:rPr>
                      <w:color w:val="auto"/>
                      <w:szCs w:val="21"/>
                      <w:highlight w:val="none"/>
                      <w:u w:val="none"/>
                    </w:rPr>
                    <w:t>SO</w:t>
                  </w:r>
                  <w:r>
                    <w:rPr>
                      <w:color w:val="auto"/>
                      <w:szCs w:val="21"/>
                      <w:highlight w:val="none"/>
                      <w:u w:val="none"/>
                      <w:vertAlign w:val="subscript"/>
                    </w:rPr>
                    <w:t>2</w:t>
                  </w:r>
                </w:p>
              </w:tc>
              <w:tc>
                <w:tcPr>
                  <w:tcW w:w="2601" w:type="dxa"/>
                  <w:noWrap w:val="0"/>
                  <w:vAlign w:val="center"/>
                </w:tcPr>
                <w:p w14:paraId="40838328">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1D92C915">
                  <w:pPr>
                    <w:snapToGrid w:val="0"/>
                    <w:jc w:val="center"/>
                    <w:rPr>
                      <w:rFonts w:hint="eastAsia" w:eastAsia="宋体"/>
                      <w:color w:val="auto"/>
                      <w:szCs w:val="21"/>
                      <w:highlight w:val="none"/>
                      <w:u w:val="none"/>
                      <w:lang w:eastAsia="zh-CN"/>
                    </w:rPr>
                  </w:pPr>
                  <w:r>
                    <w:rPr>
                      <w:rFonts w:hint="eastAsia"/>
                      <w:color w:val="auto"/>
                      <w:szCs w:val="21"/>
                      <w:highlight w:val="none"/>
                      <w:u w:val="none"/>
                      <w:lang w:val="en-US" w:eastAsia="zh-CN"/>
                    </w:rPr>
                    <w:t>8</w:t>
                  </w:r>
                </w:p>
              </w:tc>
              <w:tc>
                <w:tcPr>
                  <w:tcW w:w="958" w:type="dxa"/>
                  <w:noWrap w:val="0"/>
                  <w:vAlign w:val="center"/>
                </w:tcPr>
                <w:p w14:paraId="4BC7B237">
                  <w:pPr>
                    <w:snapToGrid w:val="0"/>
                    <w:jc w:val="center"/>
                    <w:rPr>
                      <w:color w:val="auto"/>
                      <w:szCs w:val="21"/>
                      <w:highlight w:val="none"/>
                      <w:u w:val="none"/>
                    </w:rPr>
                  </w:pPr>
                  <w:r>
                    <w:rPr>
                      <w:color w:val="auto"/>
                      <w:szCs w:val="21"/>
                      <w:highlight w:val="none"/>
                      <w:u w:val="none"/>
                    </w:rPr>
                    <w:t>60</w:t>
                  </w:r>
                </w:p>
              </w:tc>
              <w:tc>
                <w:tcPr>
                  <w:tcW w:w="937" w:type="dxa"/>
                  <w:noWrap w:val="0"/>
                  <w:vAlign w:val="center"/>
                </w:tcPr>
                <w:p w14:paraId="7F464001">
                  <w:pPr>
                    <w:widowControl/>
                    <w:jc w:val="center"/>
                    <w:textAlignment w:val="center"/>
                    <w:rPr>
                      <w:color w:val="auto"/>
                      <w:highlight w:val="none"/>
                      <w:u w:val="none"/>
                    </w:rPr>
                  </w:pPr>
                  <w:r>
                    <w:rPr>
                      <w:rFonts w:hint="default" w:ascii="Times New Roman" w:hAnsi="Times New Roman" w:cs="Times New Roman"/>
                      <w:color w:val="auto"/>
                      <w:sz w:val="21"/>
                      <w:szCs w:val="21"/>
                      <w:highlight w:val="none"/>
                      <w:u w:val="none"/>
                    </w:rPr>
                    <w:t>13.33</w:t>
                  </w:r>
                </w:p>
              </w:tc>
              <w:tc>
                <w:tcPr>
                  <w:tcW w:w="1168" w:type="dxa"/>
                  <w:noWrap w:val="0"/>
                  <w:vAlign w:val="center"/>
                </w:tcPr>
                <w:p w14:paraId="349B4A15">
                  <w:pPr>
                    <w:snapToGrid w:val="0"/>
                    <w:jc w:val="center"/>
                    <w:rPr>
                      <w:color w:val="auto"/>
                      <w:szCs w:val="21"/>
                      <w:highlight w:val="none"/>
                      <w:u w:val="none"/>
                    </w:rPr>
                  </w:pPr>
                  <w:r>
                    <w:rPr>
                      <w:color w:val="auto"/>
                      <w:szCs w:val="21"/>
                      <w:highlight w:val="none"/>
                      <w:u w:val="none"/>
                    </w:rPr>
                    <w:t>达标</w:t>
                  </w:r>
                </w:p>
              </w:tc>
            </w:tr>
            <w:tr w14:paraId="69E9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54568FB0">
                  <w:pPr>
                    <w:snapToGrid w:val="0"/>
                    <w:jc w:val="center"/>
                    <w:rPr>
                      <w:color w:val="auto"/>
                      <w:szCs w:val="21"/>
                      <w:highlight w:val="none"/>
                      <w:u w:val="none"/>
                    </w:rPr>
                  </w:pPr>
                  <w:r>
                    <w:rPr>
                      <w:color w:val="auto"/>
                      <w:szCs w:val="21"/>
                      <w:highlight w:val="none"/>
                      <w:u w:val="none"/>
                    </w:rPr>
                    <w:t>NO</w:t>
                  </w:r>
                  <w:r>
                    <w:rPr>
                      <w:color w:val="auto"/>
                      <w:szCs w:val="21"/>
                      <w:highlight w:val="none"/>
                      <w:u w:val="none"/>
                      <w:vertAlign w:val="subscript"/>
                    </w:rPr>
                    <w:t>2</w:t>
                  </w:r>
                </w:p>
              </w:tc>
              <w:tc>
                <w:tcPr>
                  <w:tcW w:w="2601" w:type="dxa"/>
                  <w:noWrap w:val="0"/>
                  <w:vAlign w:val="center"/>
                </w:tcPr>
                <w:p w14:paraId="32A34523">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751AE407">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19</w:t>
                  </w:r>
                </w:p>
              </w:tc>
              <w:tc>
                <w:tcPr>
                  <w:tcW w:w="958" w:type="dxa"/>
                  <w:noWrap w:val="0"/>
                  <w:vAlign w:val="center"/>
                </w:tcPr>
                <w:p w14:paraId="01FB4ECD">
                  <w:pPr>
                    <w:snapToGrid w:val="0"/>
                    <w:jc w:val="center"/>
                    <w:rPr>
                      <w:color w:val="auto"/>
                      <w:szCs w:val="21"/>
                      <w:highlight w:val="none"/>
                      <w:u w:val="none"/>
                    </w:rPr>
                  </w:pPr>
                  <w:r>
                    <w:rPr>
                      <w:color w:val="auto"/>
                      <w:szCs w:val="21"/>
                      <w:highlight w:val="none"/>
                      <w:u w:val="none"/>
                    </w:rPr>
                    <w:t>40</w:t>
                  </w:r>
                </w:p>
              </w:tc>
              <w:tc>
                <w:tcPr>
                  <w:tcW w:w="937" w:type="dxa"/>
                  <w:noWrap w:val="0"/>
                  <w:vAlign w:val="center"/>
                </w:tcPr>
                <w:p w14:paraId="44057EF0">
                  <w:pPr>
                    <w:widowControl/>
                    <w:jc w:val="center"/>
                    <w:textAlignment w:val="center"/>
                    <w:rPr>
                      <w:color w:val="auto"/>
                      <w:highlight w:val="none"/>
                      <w:u w:val="none"/>
                    </w:rPr>
                  </w:pPr>
                  <w:r>
                    <w:rPr>
                      <w:rFonts w:hint="default" w:ascii="Times New Roman" w:hAnsi="Times New Roman" w:cs="Times New Roman"/>
                      <w:color w:val="auto"/>
                      <w:sz w:val="21"/>
                      <w:szCs w:val="21"/>
                      <w:highlight w:val="none"/>
                      <w:u w:val="none"/>
                    </w:rPr>
                    <w:t>47.50</w:t>
                  </w:r>
                </w:p>
              </w:tc>
              <w:tc>
                <w:tcPr>
                  <w:tcW w:w="1168" w:type="dxa"/>
                  <w:noWrap w:val="0"/>
                  <w:vAlign w:val="center"/>
                </w:tcPr>
                <w:p w14:paraId="7E9A455A">
                  <w:pPr>
                    <w:snapToGrid w:val="0"/>
                    <w:jc w:val="center"/>
                    <w:rPr>
                      <w:color w:val="auto"/>
                      <w:szCs w:val="21"/>
                      <w:highlight w:val="none"/>
                      <w:u w:val="none"/>
                    </w:rPr>
                  </w:pPr>
                  <w:r>
                    <w:rPr>
                      <w:color w:val="auto"/>
                      <w:szCs w:val="21"/>
                      <w:highlight w:val="none"/>
                      <w:u w:val="none"/>
                    </w:rPr>
                    <w:t>达标</w:t>
                  </w:r>
                </w:p>
              </w:tc>
            </w:tr>
            <w:tr w14:paraId="2040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629ACB8C">
                  <w:pPr>
                    <w:snapToGrid w:val="0"/>
                    <w:jc w:val="center"/>
                    <w:rPr>
                      <w:color w:val="auto"/>
                      <w:szCs w:val="21"/>
                      <w:highlight w:val="none"/>
                      <w:u w:val="none"/>
                    </w:rPr>
                  </w:pPr>
                  <w:r>
                    <w:rPr>
                      <w:color w:val="auto"/>
                      <w:szCs w:val="21"/>
                      <w:highlight w:val="none"/>
                      <w:u w:val="none"/>
                    </w:rPr>
                    <w:t>CO</w:t>
                  </w:r>
                </w:p>
              </w:tc>
              <w:tc>
                <w:tcPr>
                  <w:tcW w:w="2601" w:type="dxa"/>
                  <w:noWrap w:val="0"/>
                  <w:vAlign w:val="center"/>
                </w:tcPr>
                <w:p w14:paraId="56A83004">
                  <w:pPr>
                    <w:snapToGrid w:val="0"/>
                    <w:jc w:val="center"/>
                    <w:rPr>
                      <w:color w:val="auto"/>
                      <w:szCs w:val="21"/>
                      <w:highlight w:val="none"/>
                      <w:u w:val="none"/>
                    </w:rPr>
                  </w:pPr>
                  <w:r>
                    <w:rPr>
                      <w:color w:val="auto"/>
                      <w:szCs w:val="21"/>
                      <w:highlight w:val="none"/>
                      <w:u w:val="none"/>
                    </w:rPr>
                    <w:t>24</w:t>
                  </w:r>
                  <w:r>
                    <w:rPr>
                      <w:rFonts w:hint="eastAsia"/>
                      <w:color w:val="auto"/>
                      <w:szCs w:val="21"/>
                      <w:highlight w:val="none"/>
                      <w:u w:val="none"/>
                    </w:rPr>
                    <w:t>小时平均</w:t>
                  </w:r>
                </w:p>
              </w:tc>
              <w:tc>
                <w:tcPr>
                  <w:tcW w:w="1365" w:type="dxa"/>
                  <w:noWrap w:val="0"/>
                  <w:vAlign w:val="center"/>
                </w:tcPr>
                <w:p w14:paraId="24043930">
                  <w:pPr>
                    <w:snapToGrid w:val="0"/>
                    <w:jc w:val="center"/>
                    <w:rPr>
                      <w:color w:val="auto"/>
                      <w:szCs w:val="21"/>
                      <w:highlight w:val="none"/>
                      <w:u w:val="none"/>
                    </w:rPr>
                  </w:pPr>
                  <w:r>
                    <w:rPr>
                      <w:rFonts w:hint="eastAsia"/>
                      <w:color w:val="auto"/>
                      <w:szCs w:val="21"/>
                      <w:highlight w:val="none"/>
                      <w:u w:val="none"/>
                    </w:rPr>
                    <w:t>1100</w:t>
                  </w:r>
                </w:p>
              </w:tc>
              <w:tc>
                <w:tcPr>
                  <w:tcW w:w="958" w:type="dxa"/>
                  <w:noWrap w:val="0"/>
                  <w:vAlign w:val="center"/>
                </w:tcPr>
                <w:p w14:paraId="3F9A9B9C">
                  <w:pPr>
                    <w:snapToGrid w:val="0"/>
                    <w:jc w:val="center"/>
                    <w:rPr>
                      <w:color w:val="auto"/>
                      <w:szCs w:val="21"/>
                      <w:highlight w:val="none"/>
                      <w:u w:val="none"/>
                    </w:rPr>
                  </w:pPr>
                  <w:r>
                    <w:rPr>
                      <w:color w:val="auto"/>
                      <w:szCs w:val="21"/>
                      <w:highlight w:val="none"/>
                      <w:u w:val="none"/>
                    </w:rPr>
                    <w:t>4000</w:t>
                  </w:r>
                </w:p>
              </w:tc>
              <w:tc>
                <w:tcPr>
                  <w:tcW w:w="937" w:type="dxa"/>
                  <w:noWrap w:val="0"/>
                  <w:vAlign w:val="center"/>
                </w:tcPr>
                <w:p w14:paraId="2BCFC76B">
                  <w:pPr>
                    <w:widowControl/>
                    <w:jc w:val="center"/>
                    <w:textAlignment w:val="center"/>
                    <w:rPr>
                      <w:color w:val="auto"/>
                      <w:highlight w:val="none"/>
                      <w:u w:val="none"/>
                    </w:rPr>
                  </w:pPr>
                  <w:r>
                    <w:rPr>
                      <w:rFonts w:hint="eastAsia" w:ascii="Times New Roman" w:cs="Times New Roman"/>
                      <w:color w:val="auto"/>
                      <w:sz w:val="21"/>
                      <w:szCs w:val="21"/>
                      <w:highlight w:val="none"/>
                      <w:u w:val="none"/>
                      <w:lang w:val="en-US" w:eastAsia="zh-CN"/>
                    </w:rPr>
                    <w:t>70.28</w:t>
                  </w:r>
                </w:p>
              </w:tc>
              <w:tc>
                <w:tcPr>
                  <w:tcW w:w="1168" w:type="dxa"/>
                  <w:noWrap w:val="0"/>
                  <w:vAlign w:val="center"/>
                </w:tcPr>
                <w:p w14:paraId="5B14F76C">
                  <w:pPr>
                    <w:snapToGrid w:val="0"/>
                    <w:jc w:val="center"/>
                    <w:rPr>
                      <w:color w:val="auto"/>
                      <w:szCs w:val="21"/>
                      <w:highlight w:val="none"/>
                      <w:u w:val="none"/>
                    </w:rPr>
                  </w:pPr>
                  <w:r>
                    <w:rPr>
                      <w:color w:val="auto"/>
                      <w:szCs w:val="21"/>
                      <w:highlight w:val="none"/>
                      <w:u w:val="none"/>
                    </w:rPr>
                    <w:t>达标</w:t>
                  </w:r>
                </w:p>
              </w:tc>
            </w:tr>
            <w:tr w14:paraId="2BF6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3ED8A5E0">
                  <w:pPr>
                    <w:snapToGrid w:val="0"/>
                    <w:jc w:val="center"/>
                    <w:rPr>
                      <w:color w:val="auto"/>
                      <w:szCs w:val="21"/>
                      <w:highlight w:val="none"/>
                      <w:u w:val="none"/>
                    </w:rPr>
                  </w:pPr>
                  <w:r>
                    <w:rPr>
                      <w:color w:val="auto"/>
                      <w:szCs w:val="21"/>
                      <w:highlight w:val="none"/>
                      <w:u w:val="none"/>
                    </w:rPr>
                    <w:t>O</w:t>
                  </w:r>
                  <w:r>
                    <w:rPr>
                      <w:color w:val="auto"/>
                      <w:szCs w:val="21"/>
                      <w:highlight w:val="none"/>
                      <w:u w:val="none"/>
                      <w:vertAlign w:val="subscript"/>
                    </w:rPr>
                    <w:t>3</w:t>
                  </w:r>
                </w:p>
              </w:tc>
              <w:tc>
                <w:tcPr>
                  <w:tcW w:w="2601" w:type="dxa"/>
                  <w:noWrap w:val="0"/>
                  <w:vAlign w:val="center"/>
                </w:tcPr>
                <w:p w14:paraId="457E1680">
                  <w:pPr>
                    <w:snapToGrid w:val="0"/>
                    <w:jc w:val="center"/>
                    <w:rPr>
                      <w:color w:val="auto"/>
                      <w:szCs w:val="21"/>
                      <w:highlight w:val="none"/>
                      <w:u w:val="none"/>
                    </w:rPr>
                  </w:pPr>
                  <w:r>
                    <w:rPr>
                      <w:color w:val="auto"/>
                      <w:szCs w:val="21"/>
                      <w:highlight w:val="none"/>
                      <w:u w:val="none"/>
                    </w:rPr>
                    <w:t>日最大8小时平均</w:t>
                  </w:r>
                </w:p>
              </w:tc>
              <w:tc>
                <w:tcPr>
                  <w:tcW w:w="1365" w:type="dxa"/>
                  <w:noWrap w:val="0"/>
                  <w:vAlign w:val="center"/>
                </w:tcPr>
                <w:p w14:paraId="0DBE4BF3">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125</w:t>
                  </w:r>
                </w:p>
              </w:tc>
              <w:tc>
                <w:tcPr>
                  <w:tcW w:w="958" w:type="dxa"/>
                  <w:noWrap w:val="0"/>
                  <w:vAlign w:val="center"/>
                </w:tcPr>
                <w:p w14:paraId="1AFF369F">
                  <w:pPr>
                    <w:snapToGrid w:val="0"/>
                    <w:jc w:val="center"/>
                    <w:rPr>
                      <w:color w:val="auto"/>
                      <w:szCs w:val="21"/>
                      <w:highlight w:val="none"/>
                      <w:u w:val="none"/>
                    </w:rPr>
                  </w:pPr>
                  <w:r>
                    <w:rPr>
                      <w:color w:val="auto"/>
                      <w:szCs w:val="21"/>
                      <w:highlight w:val="none"/>
                      <w:u w:val="none"/>
                    </w:rPr>
                    <w:t>160</w:t>
                  </w:r>
                </w:p>
              </w:tc>
              <w:tc>
                <w:tcPr>
                  <w:tcW w:w="937" w:type="dxa"/>
                  <w:noWrap w:val="0"/>
                  <w:vAlign w:val="center"/>
                </w:tcPr>
                <w:p w14:paraId="14029225">
                  <w:pPr>
                    <w:widowControl/>
                    <w:jc w:val="center"/>
                    <w:textAlignment w:val="center"/>
                    <w:rPr>
                      <w:color w:val="auto"/>
                      <w:highlight w:val="none"/>
                      <w:u w:val="none"/>
                    </w:rPr>
                  </w:pPr>
                  <w:r>
                    <w:rPr>
                      <w:rFonts w:hint="eastAsia" w:ascii="Times New Roman" w:cs="Times New Roman"/>
                      <w:color w:val="auto"/>
                      <w:sz w:val="21"/>
                      <w:szCs w:val="21"/>
                      <w:highlight w:val="none"/>
                      <w:u w:val="none"/>
                      <w:lang w:val="en-US" w:eastAsia="zh-CN"/>
                    </w:rPr>
                    <w:t>67.14</w:t>
                  </w:r>
                </w:p>
              </w:tc>
              <w:tc>
                <w:tcPr>
                  <w:tcW w:w="1168" w:type="dxa"/>
                  <w:noWrap w:val="0"/>
                  <w:vAlign w:val="center"/>
                </w:tcPr>
                <w:p w14:paraId="01C16204">
                  <w:pPr>
                    <w:snapToGrid w:val="0"/>
                    <w:jc w:val="center"/>
                    <w:rPr>
                      <w:color w:val="auto"/>
                      <w:szCs w:val="21"/>
                      <w:highlight w:val="none"/>
                      <w:u w:val="none"/>
                    </w:rPr>
                  </w:pPr>
                  <w:r>
                    <w:rPr>
                      <w:color w:val="auto"/>
                      <w:szCs w:val="21"/>
                      <w:highlight w:val="none"/>
                      <w:u w:val="none"/>
                    </w:rPr>
                    <w:t>达标</w:t>
                  </w:r>
                </w:p>
              </w:tc>
            </w:tr>
            <w:tr w14:paraId="1B75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935" w:type="dxa"/>
                  <w:noWrap w:val="0"/>
                  <w:vAlign w:val="center"/>
                </w:tcPr>
                <w:p w14:paraId="1C1C0951">
                  <w:pPr>
                    <w:snapToGrid w:val="0"/>
                    <w:jc w:val="center"/>
                    <w:rPr>
                      <w:color w:val="auto"/>
                      <w:szCs w:val="21"/>
                      <w:highlight w:val="none"/>
                      <w:u w:val="none"/>
                    </w:rPr>
                  </w:pPr>
                  <w:r>
                    <w:rPr>
                      <w:color w:val="auto"/>
                      <w:szCs w:val="21"/>
                      <w:highlight w:val="none"/>
                      <w:u w:val="none"/>
                    </w:rPr>
                    <w:t>PM</w:t>
                  </w:r>
                  <w:r>
                    <w:rPr>
                      <w:color w:val="auto"/>
                      <w:szCs w:val="21"/>
                      <w:highlight w:val="none"/>
                      <w:u w:val="none"/>
                      <w:vertAlign w:val="subscript"/>
                    </w:rPr>
                    <w:t>10</w:t>
                  </w:r>
                </w:p>
              </w:tc>
              <w:tc>
                <w:tcPr>
                  <w:tcW w:w="2601" w:type="dxa"/>
                  <w:noWrap w:val="0"/>
                  <w:vAlign w:val="center"/>
                </w:tcPr>
                <w:p w14:paraId="730F79D0">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68D2294A">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47</w:t>
                  </w:r>
                </w:p>
              </w:tc>
              <w:tc>
                <w:tcPr>
                  <w:tcW w:w="958" w:type="dxa"/>
                  <w:noWrap w:val="0"/>
                  <w:vAlign w:val="center"/>
                </w:tcPr>
                <w:p w14:paraId="2EA7E0C7">
                  <w:pPr>
                    <w:snapToGrid w:val="0"/>
                    <w:jc w:val="center"/>
                    <w:rPr>
                      <w:rFonts w:hint="default" w:eastAsia="宋体"/>
                      <w:color w:val="auto"/>
                      <w:szCs w:val="21"/>
                      <w:highlight w:val="none"/>
                      <w:u w:val="single"/>
                      <w:lang w:val="en-US" w:eastAsia="zh-CN"/>
                    </w:rPr>
                  </w:pPr>
                  <w:r>
                    <w:rPr>
                      <w:rFonts w:hint="eastAsia"/>
                      <w:color w:val="auto"/>
                      <w:szCs w:val="21"/>
                      <w:highlight w:val="none"/>
                      <w:u w:val="single"/>
                      <w:lang w:val="en-US" w:eastAsia="zh-CN"/>
                    </w:rPr>
                    <w:t>60</w:t>
                  </w:r>
                </w:p>
              </w:tc>
              <w:tc>
                <w:tcPr>
                  <w:tcW w:w="937" w:type="dxa"/>
                  <w:noWrap w:val="0"/>
                  <w:vAlign w:val="center"/>
                </w:tcPr>
                <w:p w14:paraId="3A27AE6D">
                  <w:pPr>
                    <w:widowControl/>
                    <w:jc w:val="center"/>
                    <w:textAlignment w:val="center"/>
                    <w:rPr>
                      <w:rFonts w:hint="default" w:eastAsia="宋体"/>
                      <w:color w:val="auto"/>
                      <w:highlight w:val="none"/>
                      <w:u w:val="single"/>
                      <w:lang w:val="en-US" w:eastAsia="zh-CN"/>
                    </w:rPr>
                  </w:pPr>
                  <w:r>
                    <w:rPr>
                      <w:rFonts w:hint="eastAsia" w:ascii="Times New Roman" w:hAnsi="Times New Roman" w:cs="Times New Roman"/>
                      <w:color w:val="auto"/>
                      <w:sz w:val="21"/>
                      <w:szCs w:val="21"/>
                      <w:highlight w:val="none"/>
                      <w:u w:val="single"/>
                      <w:lang w:val="en-US" w:eastAsia="zh-CN"/>
                    </w:rPr>
                    <w:t>78.33</w:t>
                  </w:r>
                </w:p>
              </w:tc>
              <w:tc>
                <w:tcPr>
                  <w:tcW w:w="1168" w:type="dxa"/>
                  <w:noWrap w:val="0"/>
                  <w:vAlign w:val="center"/>
                </w:tcPr>
                <w:p w14:paraId="0CEA5D07">
                  <w:pPr>
                    <w:snapToGrid w:val="0"/>
                    <w:jc w:val="center"/>
                    <w:rPr>
                      <w:color w:val="auto"/>
                      <w:szCs w:val="21"/>
                      <w:highlight w:val="none"/>
                      <w:u w:val="none"/>
                    </w:rPr>
                  </w:pPr>
                  <w:r>
                    <w:rPr>
                      <w:color w:val="auto"/>
                      <w:szCs w:val="21"/>
                      <w:highlight w:val="none"/>
                      <w:u w:val="none"/>
                    </w:rPr>
                    <w:t>达标</w:t>
                  </w:r>
                </w:p>
              </w:tc>
            </w:tr>
            <w:tr w14:paraId="7FFB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dxa"/>
                  <w:noWrap w:val="0"/>
                  <w:vAlign w:val="center"/>
                </w:tcPr>
                <w:p w14:paraId="18E3EB10">
                  <w:pPr>
                    <w:snapToGrid w:val="0"/>
                    <w:jc w:val="center"/>
                    <w:rPr>
                      <w:color w:val="auto"/>
                      <w:szCs w:val="21"/>
                      <w:highlight w:val="none"/>
                      <w:u w:val="none"/>
                    </w:rPr>
                  </w:pPr>
                  <w:r>
                    <w:rPr>
                      <w:color w:val="auto"/>
                      <w:szCs w:val="21"/>
                      <w:highlight w:val="none"/>
                      <w:u w:val="none"/>
                    </w:rPr>
                    <w:t>PM</w:t>
                  </w:r>
                  <w:r>
                    <w:rPr>
                      <w:color w:val="auto"/>
                      <w:szCs w:val="21"/>
                      <w:highlight w:val="none"/>
                      <w:u w:val="none"/>
                      <w:vertAlign w:val="subscript"/>
                    </w:rPr>
                    <w:t>2.5</w:t>
                  </w:r>
                </w:p>
              </w:tc>
              <w:tc>
                <w:tcPr>
                  <w:tcW w:w="2601" w:type="dxa"/>
                  <w:noWrap w:val="0"/>
                  <w:vAlign w:val="center"/>
                </w:tcPr>
                <w:p w14:paraId="14A1DBE6">
                  <w:pPr>
                    <w:snapToGrid w:val="0"/>
                    <w:jc w:val="center"/>
                    <w:rPr>
                      <w:color w:val="auto"/>
                      <w:szCs w:val="21"/>
                      <w:highlight w:val="none"/>
                      <w:u w:val="none"/>
                    </w:rPr>
                  </w:pPr>
                  <w:r>
                    <w:rPr>
                      <w:color w:val="auto"/>
                      <w:szCs w:val="21"/>
                      <w:highlight w:val="none"/>
                      <w:u w:val="none"/>
                    </w:rPr>
                    <w:t>年平均质量浓度</w:t>
                  </w:r>
                </w:p>
              </w:tc>
              <w:tc>
                <w:tcPr>
                  <w:tcW w:w="1365" w:type="dxa"/>
                  <w:noWrap w:val="0"/>
                  <w:vAlign w:val="center"/>
                </w:tcPr>
                <w:p w14:paraId="1A5273D9">
                  <w:pPr>
                    <w:snapToGrid w:val="0"/>
                    <w:jc w:val="center"/>
                    <w:rPr>
                      <w:rFonts w:hint="default" w:eastAsia="宋体"/>
                      <w:color w:val="auto"/>
                      <w:szCs w:val="21"/>
                      <w:highlight w:val="none"/>
                      <w:u w:val="none"/>
                      <w:lang w:val="en-US" w:eastAsia="zh-CN"/>
                    </w:rPr>
                  </w:pPr>
                  <w:r>
                    <w:rPr>
                      <w:rFonts w:hint="eastAsia"/>
                      <w:color w:val="auto"/>
                      <w:szCs w:val="21"/>
                      <w:highlight w:val="none"/>
                      <w:u w:val="none"/>
                      <w:lang w:val="en-US" w:eastAsia="zh-CN"/>
                    </w:rPr>
                    <w:t>24.6</w:t>
                  </w:r>
                </w:p>
              </w:tc>
              <w:tc>
                <w:tcPr>
                  <w:tcW w:w="958" w:type="dxa"/>
                  <w:noWrap w:val="0"/>
                  <w:vAlign w:val="center"/>
                </w:tcPr>
                <w:p w14:paraId="617F8580">
                  <w:pPr>
                    <w:snapToGrid w:val="0"/>
                    <w:jc w:val="center"/>
                    <w:rPr>
                      <w:rFonts w:hint="default" w:eastAsia="宋体"/>
                      <w:color w:val="auto"/>
                      <w:szCs w:val="21"/>
                      <w:highlight w:val="none"/>
                      <w:u w:val="single"/>
                      <w:lang w:val="en-US" w:eastAsia="zh-CN"/>
                    </w:rPr>
                  </w:pPr>
                  <w:r>
                    <w:rPr>
                      <w:rFonts w:hint="eastAsia"/>
                      <w:color w:val="auto"/>
                      <w:szCs w:val="21"/>
                      <w:highlight w:val="none"/>
                      <w:u w:val="single"/>
                      <w:lang w:val="en-US" w:eastAsia="zh-CN"/>
                    </w:rPr>
                    <w:t>30</w:t>
                  </w:r>
                </w:p>
              </w:tc>
              <w:tc>
                <w:tcPr>
                  <w:tcW w:w="937" w:type="dxa"/>
                  <w:noWrap w:val="0"/>
                  <w:vAlign w:val="center"/>
                </w:tcPr>
                <w:p w14:paraId="22676E22">
                  <w:pPr>
                    <w:widowControl/>
                    <w:jc w:val="center"/>
                    <w:textAlignment w:val="center"/>
                    <w:rPr>
                      <w:rFonts w:hint="default"/>
                      <w:color w:val="auto"/>
                      <w:highlight w:val="none"/>
                      <w:u w:val="single"/>
                      <w:lang w:val="en-US"/>
                    </w:rPr>
                  </w:pPr>
                  <w:r>
                    <w:rPr>
                      <w:rFonts w:hint="eastAsia" w:ascii="Times New Roman" w:cs="Times New Roman"/>
                      <w:color w:val="auto"/>
                      <w:sz w:val="21"/>
                      <w:szCs w:val="21"/>
                      <w:highlight w:val="none"/>
                      <w:u w:val="single"/>
                      <w:lang w:val="en-US" w:eastAsia="zh-CN"/>
                    </w:rPr>
                    <w:t>82.00</w:t>
                  </w:r>
                </w:p>
              </w:tc>
              <w:tc>
                <w:tcPr>
                  <w:tcW w:w="1168" w:type="dxa"/>
                  <w:noWrap w:val="0"/>
                  <w:vAlign w:val="center"/>
                </w:tcPr>
                <w:p w14:paraId="4D465674">
                  <w:pPr>
                    <w:snapToGrid w:val="0"/>
                    <w:jc w:val="center"/>
                    <w:rPr>
                      <w:color w:val="auto"/>
                      <w:szCs w:val="21"/>
                      <w:highlight w:val="none"/>
                      <w:u w:val="none"/>
                    </w:rPr>
                  </w:pPr>
                  <w:r>
                    <w:rPr>
                      <w:color w:val="auto"/>
                      <w:szCs w:val="21"/>
                      <w:highlight w:val="none"/>
                      <w:u w:val="none"/>
                    </w:rPr>
                    <w:t>达标</w:t>
                  </w:r>
                </w:p>
              </w:tc>
            </w:tr>
          </w:tbl>
          <w:p w14:paraId="1F1A26E5">
            <w:pPr>
              <w:spacing w:line="360" w:lineRule="auto"/>
              <w:ind w:left="-28"/>
              <w:jc w:val="left"/>
              <w:textAlignment w:val="baseline"/>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t>3.1.3海洋环境质量现状</w:t>
            </w:r>
          </w:p>
          <w:p w14:paraId="67078BE6">
            <w:pPr>
              <w:numPr>
                <w:ilvl w:val="0"/>
                <w:numId w:val="11"/>
              </w:numPr>
              <w:spacing w:line="360" w:lineRule="auto"/>
              <w:ind w:firstLine="480" w:firstLineChars="200"/>
              <w:textAlignment w:val="baseline"/>
              <w:rPr>
                <w:rFonts w:hint="eastAsia"/>
                <w:color w:val="auto"/>
                <w:sz w:val="24"/>
                <w:highlight w:val="none"/>
                <w:lang w:val="en-US" w:eastAsia="zh-CN"/>
              </w:rPr>
            </w:pPr>
            <w:r>
              <w:rPr>
                <w:rFonts w:hint="eastAsia"/>
                <w:color w:val="auto"/>
                <w:sz w:val="24"/>
                <w:highlight w:val="none"/>
                <w:lang w:val="en-US" w:eastAsia="zh-CN"/>
              </w:rPr>
              <w:t>调查概况</w:t>
            </w:r>
          </w:p>
          <w:p w14:paraId="651AD2A6">
            <w:pPr>
              <w:spacing w:line="360" w:lineRule="auto"/>
              <w:ind w:firstLine="480" w:firstLineChars="200"/>
              <w:textAlignment w:val="baseline"/>
              <w:rPr>
                <w:rFonts w:hint="eastAsia"/>
                <w:color w:val="auto"/>
                <w:sz w:val="24"/>
                <w:highlight w:val="none"/>
                <w:u w:val="single"/>
                <w:lang w:val="en-US" w:eastAsia="zh-CN"/>
              </w:rPr>
            </w:pPr>
            <w:r>
              <w:rPr>
                <w:rFonts w:hint="eastAsia"/>
                <w:color w:val="auto"/>
                <w:sz w:val="24"/>
                <w:highlight w:val="none"/>
                <w:lang w:val="en-US" w:eastAsia="zh-CN"/>
              </w:rPr>
              <w:t>本次调查引用《钦州港正新散货码头扩建项目环境影响报告书》中</w:t>
            </w:r>
            <w:r>
              <w:rPr>
                <w:rFonts w:hint="eastAsia"/>
                <w:color w:val="auto"/>
                <w:sz w:val="24"/>
                <w:highlight w:val="none"/>
                <w:u w:val="single"/>
                <w:lang w:val="en-US" w:eastAsia="zh-CN"/>
              </w:rPr>
              <w:t>，本项目周边站点的海洋生态环境质量现状监测结果。</w:t>
            </w:r>
          </w:p>
          <w:p w14:paraId="61E787D3">
            <w:pPr>
              <w:numPr>
                <w:ilvl w:val="0"/>
                <w:numId w:val="11"/>
              </w:numPr>
              <w:spacing w:line="360" w:lineRule="auto"/>
              <w:ind w:firstLine="480" w:firstLineChars="200"/>
              <w:textAlignment w:val="baseline"/>
              <w:rPr>
                <w:rFonts w:hint="default"/>
                <w:color w:val="auto"/>
                <w:sz w:val="24"/>
                <w:highlight w:val="none"/>
                <w:lang w:val="en-US" w:eastAsia="zh-CN"/>
              </w:rPr>
            </w:pPr>
            <w:r>
              <w:rPr>
                <w:rFonts w:hint="eastAsia"/>
                <w:color w:val="auto"/>
                <w:sz w:val="24"/>
                <w:highlight w:val="none"/>
                <w:lang w:val="en-US" w:eastAsia="zh-CN"/>
              </w:rPr>
              <w:t>调查站位</w:t>
            </w:r>
          </w:p>
          <w:p w14:paraId="0794ABFA">
            <w:pPr>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调查按照《海洋调查规范》《海洋监测规范》</w:t>
            </w:r>
            <w:r>
              <w:rPr>
                <w:rFonts w:hint="eastAsia" w:cs="Times New Roman"/>
                <w:color w:val="auto"/>
                <w:sz w:val="24"/>
                <w:highlight w:val="none"/>
                <w:lang w:eastAsia="zh-CN"/>
              </w:rPr>
              <w:t>等</w:t>
            </w:r>
            <w:r>
              <w:rPr>
                <w:rFonts w:hint="eastAsia" w:ascii="Times New Roman" w:hAnsi="Times New Roman" w:eastAsia="宋体" w:cs="Times New Roman"/>
                <w:color w:val="auto"/>
                <w:sz w:val="24"/>
                <w:highlight w:val="none"/>
              </w:rPr>
              <w:t>有关标准要求，本次评价选取重点站位及因子进行分析。</w:t>
            </w:r>
            <w:r>
              <w:rPr>
                <w:rFonts w:hint="eastAsia" w:ascii="Times New Roman" w:hAnsi="Times New Roman" w:eastAsia="宋体" w:cs="Times New Roman"/>
                <w:color w:val="auto"/>
                <w:sz w:val="24"/>
                <w:highlight w:val="none"/>
                <w:lang w:val="en-US" w:eastAsia="zh-CN"/>
              </w:rPr>
              <w:t>各调查点位的监测布点图详见附图。</w:t>
            </w:r>
          </w:p>
          <w:p w14:paraId="0E56A0E6">
            <w:pPr>
              <w:keepNext/>
              <w:keepLines/>
              <w:widowControl w:val="0"/>
              <w:numPr>
                <w:ilvl w:val="0"/>
                <w:numId w:val="0"/>
              </w:numPr>
              <w:tabs>
                <w:tab w:val="left" w:pos="0"/>
              </w:tabs>
              <w:adjustRightInd w:val="0"/>
              <w:snapToGrid w:val="0"/>
              <w:spacing w:line="360" w:lineRule="auto"/>
              <w:ind w:leftChars="0"/>
              <w:jc w:val="center"/>
              <w:outlineLvl w:val="4"/>
              <w:rPr>
                <w:rFonts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表3.1-2秋季调查站位</w:t>
            </w:r>
            <w:r>
              <w:rPr>
                <w:rFonts w:ascii="Times New Roman" w:hAnsi="Times New Roman" w:eastAsia="宋体" w:cs="Times New Roman"/>
                <w:b/>
                <w:bCs/>
                <w:color w:val="auto"/>
                <w:kern w:val="2"/>
                <w:sz w:val="21"/>
                <w:szCs w:val="21"/>
                <w:highlight w:val="none"/>
                <w:u w:val="none"/>
                <w:lang w:val="en-US" w:eastAsia="zh-CN" w:bidi="ar-SA"/>
              </w:rPr>
              <w:t>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7"/>
              <w:gridCol w:w="673"/>
              <w:gridCol w:w="1755"/>
              <w:gridCol w:w="1633"/>
              <w:gridCol w:w="465"/>
              <w:gridCol w:w="540"/>
              <w:gridCol w:w="1896"/>
              <w:gridCol w:w="713"/>
            </w:tblGrid>
            <w:tr w14:paraId="2255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75" w:type="pct"/>
                  <w:vMerge w:val="restart"/>
                  <w:noWrap w:val="0"/>
                  <w:vAlign w:val="center"/>
                </w:tcPr>
                <w:p w14:paraId="5D3080D7">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序号</w:t>
                  </w:r>
                </w:p>
              </w:tc>
              <w:tc>
                <w:tcPr>
                  <w:tcW w:w="414" w:type="pct"/>
                  <w:vMerge w:val="restart"/>
                  <w:noWrap w:val="0"/>
                  <w:vAlign w:val="center"/>
                </w:tcPr>
                <w:p w14:paraId="1339D6DD">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站位</w:t>
                  </w:r>
                </w:p>
              </w:tc>
              <w:tc>
                <w:tcPr>
                  <w:tcW w:w="2085" w:type="pct"/>
                  <w:gridSpan w:val="2"/>
                  <w:noWrap w:val="0"/>
                  <w:vAlign w:val="center"/>
                </w:tcPr>
                <w:p w14:paraId="4ED59C99">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位置</w:t>
                  </w:r>
                </w:p>
              </w:tc>
              <w:tc>
                <w:tcPr>
                  <w:tcW w:w="2224" w:type="pct"/>
                  <w:gridSpan w:val="4"/>
                  <w:noWrap w:val="0"/>
                  <w:vAlign w:val="center"/>
                </w:tcPr>
                <w:p w14:paraId="67F0A9B7">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调查监测内容</w:t>
                  </w:r>
                </w:p>
              </w:tc>
            </w:tr>
            <w:tr w14:paraId="152C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75" w:type="pct"/>
                  <w:vMerge w:val="continue"/>
                  <w:noWrap w:val="0"/>
                  <w:vAlign w:val="center"/>
                </w:tcPr>
                <w:p w14:paraId="34493EE3">
                  <w:pPr>
                    <w:spacing w:line="240" w:lineRule="auto"/>
                    <w:ind w:firstLine="0" w:firstLineChars="0"/>
                    <w:jc w:val="center"/>
                    <w:rPr>
                      <w:rFonts w:ascii="Times New Roman" w:hAnsi="Times New Roman" w:eastAsia="宋体" w:cs="Times New Roman"/>
                      <w:b/>
                      <w:bCs/>
                      <w:color w:val="auto"/>
                      <w:sz w:val="21"/>
                      <w:szCs w:val="21"/>
                      <w:highlight w:val="none"/>
                      <w:u w:val="none"/>
                    </w:rPr>
                  </w:pPr>
                </w:p>
              </w:tc>
              <w:tc>
                <w:tcPr>
                  <w:tcW w:w="414" w:type="pct"/>
                  <w:vMerge w:val="continue"/>
                  <w:noWrap w:val="0"/>
                  <w:vAlign w:val="center"/>
                </w:tcPr>
                <w:p w14:paraId="17C96A61">
                  <w:pPr>
                    <w:spacing w:line="240" w:lineRule="auto"/>
                    <w:ind w:firstLine="0" w:firstLineChars="0"/>
                    <w:jc w:val="center"/>
                    <w:rPr>
                      <w:rFonts w:ascii="Times New Roman" w:hAnsi="Times New Roman" w:eastAsia="宋体" w:cs="Times New Roman"/>
                      <w:b/>
                      <w:bCs/>
                      <w:color w:val="auto"/>
                      <w:sz w:val="21"/>
                      <w:szCs w:val="21"/>
                      <w:highlight w:val="none"/>
                      <w:u w:val="none"/>
                    </w:rPr>
                  </w:pPr>
                </w:p>
              </w:tc>
              <w:tc>
                <w:tcPr>
                  <w:tcW w:w="1080" w:type="pct"/>
                  <w:noWrap w:val="0"/>
                  <w:vAlign w:val="center"/>
                </w:tcPr>
                <w:p w14:paraId="7726C5D3">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经度</w:t>
                  </w:r>
                </w:p>
              </w:tc>
              <w:tc>
                <w:tcPr>
                  <w:tcW w:w="1005" w:type="pct"/>
                  <w:noWrap w:val="0"/>
                  <w:vAlign w:val="center"/>
                </w:tcPr>
                <w:p w14:paraId="0B60036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纬度</w:t>
                  </w:r>
                </w:p>
              </w:tc>
              <w:tc>
                <w:tcPr>
                  <w:tcW w:w="286" w:type="pct"/>
                  <w:noWrap w:val="0"/>
                  <w:vAlign w:val="center"/>
                </w:tcPr>
                <w:p w14:paraId="59D781A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水质</w:t>
                  </w:r>
                </w:p>
              </w:tc>
              <w:tc>
                <w:tcPr>
                  <w:tcW w:w="332" w:type="pct"/>
                  <w:noWrap w:val="0"/>
                  <w:vAlign w:val="center"/>
                </w:tcPr>
                <w:p w14:paraId="448C8A39">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沉积物</w:t>
                  </w:r>
                </w:p>
              </w:tc>
              <w:tc>
                <w:tcPr>
                  <w:tcW w:w="1167" w:type="pct"/>
                  <w:noWrap w:val="0"/>
                  <w:vAlign w:val="center"/>
                </w:tcPr>
                <w:p w14:paraId="4E7852F9">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叶绿素-a</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浮游植物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浮游动</w:t>
                  </w:r>
                  <w:r>
                    <w:rPr>
                      <w:rFonts w:hint="eastAsia" w:ascii="Times New Roman" w:hAnsi="Times New Roman" w:eastAsia="宋体" w:cs="Times New Roman"/>
                      <w:b/>
                      <w:bCs/>
                      <w:color w:val="auto"/>
                      <w:sz w:val="21"/>
                      <w:szCs w:val="21"/>
                      <w:highlight w:val="none"/>
                      <w:u w:val="none"/>
                      <w:lang w:val="en-US" w:eastAsia="zh-CN"/>
                    </w:rPr>
                    <w:t>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底栖生物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游泳动物</w:t>
                  </w:r>
                  <w:r>
                    <w:rPr>
                      <w:rFonts w:hint="eastAsia" w:ascii="Times New Roman" w:hAnsi="Times New Roman" w:eastAsia="宋体" w:cs="Times New Roman"/>
                      <w:b/>
                      <w:bCs/>
                      <w:color w:val="auto"/>
                      <w:sz w:val="21"/>
                      <w:szCs w:val="21"/>
                      <w:highlight w:val="none"/>
                      <w:u w:val="none"/>
                    </w:rPr>
                    <w:t>、</w:t>
                  </w:r>
                  <w:r>
                    <w:rPr>
                      <w:rFonts w:ascii="Times New Roman" w:hAnsi="Times New Roman" w:eastAsia="宋体" w:cs="Times New Roman"/>
                      <w:b/>
                      <w:bCs/>
                      <w:color w:val="auto"/>
                      <w:sz w:val="21"/>
                      <w:szCs w:val="21"/>
                      <w:highlight w:val="none"/>
                      <w:u w:val="none"/>
                    </w:rPr>
                    <w:t>鱼卵仔鱼</w:t>
                  </w:r>
                  <w:r>
                    <w:rPr>
                      <w:rFonts w:hint="eastAsia" w:ascii="Times New Roman" w:hAnsi="Times New Roman" w:eastAsia="宋体" w:cs="Times New Roman"/>
                      <w:b/>
                      <w:bCs/>
                      <w:color w:val="auto"/>
                      <w:sz w:val="21"/>
                      <w:szCs w:val="21"/>
                      <w:highlight w:val="none"/>
                      <w:u w:val="none"/>
                    </w:rPr>
                    <w:t>、生物质量</w:t>
                  </w:r>
                </w:p>
              </w:tc>
              <w:tc>
                <w:tcPr>
                  <w:tcW w:w="438" w:type="pct"/>
                  <w:noWrap w:val="0"/>
                  <w:vAlign w:val="center"/>
                </w:tcPr>
                <w:p w14:paraId="0ECEBD2D">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潮间带生物</w:t>
                  </w:r>
                </w:p>
              </w:tc>
            </w:tr>
            <w:tr w14:paraId="4988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5" w:type="pct"/>
                  <w:noWrap w:val="0"/>
                  <w:vAlign w:val="center"/>
                </w:tcPr>
                <w:p w14:paraId="2582F769">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eastAsia="zh-CN"/>
                    </w:rPr>
                    <w:t>1</w:t>
                  </w:r>
                </w:p>
              </w:tc>
              <w:tc>
                <w:tcPr>
                  <w:tcW w:w="414" w:type="pct"/>
                  <w:noWrap w:val="0"/>
                  <w:vAlign w:val="center"/>
                </w:tcPr>
                <w:p w14:paraId="51CD243F">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23#</w:t>
                  </w:r>
                </w:p>
              </w:tc>
              <w:tc>
                <w:tcPr>
                  <w:tcW w:w="1080" w:type="pct"/>
                  <w:noWrap w:val="0"/>
                  <w:vAlign w:val="center"/>
                </w:tcPr>
                <w:p w14:paraId="2A79B3F9">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108°35′7.</w:t>
                  </w:r>
                  <w:r>
                    <w:rPr>
                      <w:rFonts w:hint="eastAsia" w:ascii="Times New Roman" w:hAnsi="Times New Roman" w:eastAsia="宋体" w:cs="Times New Roman"/>
                      <w:color w:val="auto"/>
                      <w:sz w:val="21"/>
                      <w:szCs w:val="21"/>
                      <w:highlight w:val="none"/>
                      <w:u w:val="single"/>
                      <w:lang w:val="en-US" w:eastAsia="zh-CN"/>
                    </w:rPr>
                    <w:t>17</w:t>
                  </w:r>
                  <w:r>
                    <w:rPr>
                      <w:rFonts w:ascii="Times New Roman" w:hAnsi="Times New Roman" w:eastAsia="宋体" w:cs="Times New Roman"/>
                      <w:color w:val="auto"/>
                      <w:sz w:val="21"/>
                      <w:szCs w:val="21"/>
                      <w:highlight w:val="none"/>
                      <w:u w:val="single"/>
                    </w:rPr>
                    <w:t>"</w:t>
                  </w:r>
                </w:p>
              </w:tc>
              <w:tc>
                <w:tcPr>
                  <w:tcW w:w="1005" w:type="pct"/>
                  <w:noWrap w:val="0"/>
                  <w:vAlign w:val="center"/>
                </w:tcPr>
                <w:p w14:paraId="49E2EA2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21°39′1.</w:t>
                  </w:r>
                  <w:r>
                    <w:rPr>
                      <w:rFonts w:hint="eastAsia" w:ascii="Times New Roman" w:hAnsi="Times New Roman" w:eastAsia="宋体" w:cs="Times New Roman"/>
                      <w:color w:val="auto"/>
                      <w:sz w:val="21"/>
                      <w:szCs w:val="21"/>
                      <w:highlight w:val="none"/>
                      <w:u w:val="single"/>
                      <w:lang w:val="en-US" w:eastAsia="zh-CN"/>
                    </w:rPr>
                    <w:t>64</w:t>
                  </w:r>
                  <w:r>
                    <w:rPr>
                      <w:rFonts w:ascii="Times New Roman" w:hAnsi="Times New Roman" w:eastAsia="宋体" w:cs="Times New Roman"/>
                      <w:color w:val="auto"/>
                      <w:sz w:val="21"/>
                      <w:szCs w:val="21"/>
                      <w:highlight w:val="none"/>
                      <w:u w:val="single"/>
                    </w:rPr>
                    <w:t>"</w:t>
                  </w:r>
                </w:p>
              </w:tc>
              <w:tc>
                <w:tcPr>
                  <w:tcW w:w="286" w:type="pct"/>
                  <w:noWrap w:val="0"/>
                  <w:vAlign w:val="center"/>
                </w:tcPr>
                <w:p w14:paraId="3869F76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332" w:type="pct"/>
                  <w:noWrap w:val="0"/>
                  <w:vAlign w:val="center"/>
                </w:tcPr>
                <w:p w14:paraId="7B584F28">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1167" w:type="pct"/>
                  <w:noWrap w:val="0"/>
                  <w:vAlign w:val="center"/>
                </w:tcPr>
                <w:p w14:paraId="253DBF2F">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438" w:type="pct"/>
                  <w:noWrap w:val="0"/>
                  <w:vAlign w:val="center"/>
                </w:tcPr>
                <w:p w14:paraId="41654594">
                  <w:pPr>
                    <w:spacing w:line="240" w:lineRule="auto"/>
                    <w:ind w:firstLine="0" w:firstLineChars="0"/>
                    <w:jc w:val="center"/>
                    <w:rPr>
                      <w:rFonts w:ascii="Times New Roman" w:hAnsi="Times New Roman" w:eastAsia="宋体" w:cs="Times New Roman"/>
                      <w:color w:val="auto"/>
                      <w:sz w:val="21"/>
                      <w:szCs w:val="21"/>
                      <w:highlight w:val="none"/>
                      <w:u w:val="single"/>
                    </w:rPr>
                  </w:pPr>
                </w:p>
              </w:tc>
            </w:tr>
            <w:tr w14:paraId="6439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5" w:type="pct"/>
                  <w:noWrap w:val="0"/>
                  <w:vAlign w:val="center"/>
                </w:tcPr>
                <w:p w14:paraId="66D1C9AD">
                  <w:pPr>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w:t>
                  </w:r>
                </w:p>
              </w:tc>
              <w:tc>
                <w:tcPr>
                  <w:tcW w:w="414" w:type="pct"/>
                  <w:noWrap w:val="0"/>
                  <w:vAlign w:val="center"/>
                </w:tcPr>
                <w:p w14:paraId="2C4D32A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29#</w:t>
                  </w:r>
                </w:p>
              </w:tc>
              <w:tc>
                <w:tcPr>
                  <w:tcW w:w="1080" w:type="pct"/>
                  <w:noWrap w:val="0"/>
                  <w:vAlign w:val="center"/>
                </w:tcPr>
                <w:p w14:paraId="26403BFE">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108°</w:t>
                  </w:r>
                  <w:r>
                    <w:rPr>
                      <w:rFonts w:hint="eastAsia" w:ascii="Times New Roman" w:hAnsi="Times New Roman" w:eastAsia="宋体" w:cs="Times New Roman"/>
                      <w:color w:val="auto"/>
                      <w:sz w:val="21"/>
                      <w:szCs w:val="21"/>
                      <w:highlight w:val="none"/>
                      <w:u w:val="single"/>
                      <w:lang w:val="en-US" w:eastAsia="zh-CN"/>
                    </w:rPr>
                    <w:t>50</w:t>
                  </w:r>
                  <w:r>
                    <w:rPr>
                      <w:rFonts w:ascii="Times New Roman" w:hAnsi="Times New Roman" w:eastAsia="宋体" w:cs="Times New Roman"/>
                      <w:color w:val="auto"/>
                      <w:sz w:val="21"/>
                      <w:szCs w:val="21"/>
                      <w:highlight w:val="none"/>
                      <w:u w:val="single"/>
                    </w:rPr>
                    <w:t>′2</w:t>
                  </w:r>
                  <w:r>
                    <w:rPr>
                      <w:rFonts w:hint="eastAsia" w:ascii="Times New Roman" w:hAnsi="Times New Roman" w:eastAsia="宋体" w:cs="Times New Roman"/>
                      <w:color w:val="auto"/>
                      <w:sz w:val="21"/>
                      <w:szCs w:val="21"/>
                      <w:highlight w:val="none"/>
                      <w:u w:val="single"/>
                      <w:lang w:val="en-US" w:eastAsia="zh-CN"/>
                    </w:rPr>
                    <w:t>3.84</w:t>
                  </w:r>
                  <w:r>
                    <w:rPr>
                      <w:rFonts w:ascii="Times New Roman" w:hAnsi="Times New Roman" w:eastAsia="宋体" w:cs="Times New Roman"/>
                      <w:color w:val="auto"/>
                      <w:sz w:val="21"/>
                      <w:szCs w:val="21"/>
                      <w:highlight w:val="none"/>
                      <w:u w:val="single"/>
                    </w:rPr>
                    <w:t>"</w:t>
                  </w:r>
                </w:p>
              </w:tc>
              <w:tc>
                <w:tcPr>
                  <w:tcW w:w="1005" w:type="pct"/>
                  <w:noWrap w:val="0"/>
                  <w:vAlign w:val="center"/>
                </w:tcPr>
                <w:p w14:paraId="15D2FD14">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21°43′3</w:t>
                  </w:r>
                  <w:r>
                    <w:rPr>
                      <w:rFonts w:hint="eastAsia" w:ascii="Times New Roman" w:hAnsi="Times New Roman" w:eastAsia="宋体" w:cs="Times New Roman"/>
                      <w:color w:val="auto"/>
                      <w:sz w:val="21"/>
                      <w:szCs w:val="21"/>
                      <w:highlight w:val="none"/>
                      <w:u w:val="single"/>
                      <w:lang w:val="en-US" w:eastAsia="zh-CN"/>
                    </w:rPr>
                    <w:t>2.34</w:t>
                  </w:r>
                  <w:r>
                    <w:rPr>
                      <w:rFonts w:ascii="Times New Roman" w:hAnsi="Times New Roman" w:eastAsia="宋体" w:cs="Times New Roman"/>
                      <w:color w:val="auto"/>
                      <w:sz w:val="21"/>
                      <w:szCs w:val="21"/>
                      <w:highlight w:val="none"/>
                      <w:u w:val="single"/>
                    </w:rPr>
                    <w:t>"</w:t>
                  </w:r>
                </w:p>
              </w:tc>
              <w:tc>
                <w:tcPr>
                  <w:tcW w:w="286" w:type="pct"/>
                  <w:noWrap w:val="0"/>
                  <w:vAlign w:val="center"/>
                </w:tcPr>
                <w:p w14:paraId="080E52CE">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332" w:type="pct"/>
                  <w:noWrap w:val="0"/>
                  <w:vAlign w:val="center"/>
                </w:tcPr>
                <w:p w14:paraId="1420670C">
                  <w:pPr>
                    <w:spacing w:line="240" w:lineRule="auto"/>
                    <w:ind w:firstLine="0" w:firstLineChars="0"/>
                    <w:jc w:val="center"/>
                    <w:rPr>
                      <w:rFonts w:ascii="Times New Roman" w:hAnsi="Times New Roman" w:eastAsia="宋体" w:cs="Times New Roman"/>
                      <w:color w:val="auto"/>
                      <w:sz w:val="21"/>
                      <w:szCs w:val="21"/>
                      <w:highlight w:val="none"/>
                      <w:u w:val="single"/>
                    </w:rPr>
                  </w:pPr>
                </w:p>
              </w:tc>
              <w:tc>
                <w:tcPr>
                  <w:tcW w:w="1167" w:type="pct"/>
                  <w:noWrap w:val="0"/>
                  <w:vAlign w:val="center"/>
                </w:tcPr>
                <w:p w14:paraId="456FDFE8">
                  <w:pPr>
                    <w:spacing w:line="240" w:lineRule="auto"/>
                    <w:ind w:firstLine="0" w:firstLineChars="0"/>
                    <w:jc w:val="center"/>
                    <w:rPr>
                      <w:rFonts w:ascii="Times New Roman" w:hAnsi="Times New Roman" w:eastAsia="宋体" w:cs="Times New Roman"/>
                      <w:color w:val="auto"/>
                      <w:sz w:val="21"/>
                      <w:szCs w:val="21"/>
                      <w:highlight w:val="none"/>
                      <w:u w:val="single"/>
                    </w:rPr>
                  </w:pPr>
                </w:p>
              </w:tc>
              <w:tc>
                <w:tcPr>
                  <w:tcW w:w="438" w:type="pct"/>
                  <w:noWrap w:val="0"/>
                  <w:vAlign w:val="center"/>
                </w:tcPr>
                <w:p w14:paraId="469ABB3C">
                  <w:pPr>
                    <w:spacing w:line="240" w:lineRule="auto"/>
                    <w:ind w:firstLine="0" w:firstLineChars="0"/>
                    <w:jc w:val="center"/>
                    <w:rPr>
                      <w:rFonts w:ascii="Times New Roman" w:hAnsi="Times New Roman" w:eastAsia="宋体" w:cs="Times New Roman"/>
                      <w:color w:val="auto"/>
                      <w:sz w:val="21"/>
                      <w:szCs w:val="21"/>
                      <w:highlight w:val="none"/>
                      <w:u w:val="single"/>
                    </w:rPr>
                  </w:pPr>
                </w:p>
              </w:tc>
            </w:tr>
            <w:tr w14:paraId="0B78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5" w:type="pct"/>
                  <w:noWrap w:val="0"/>
                  <w:vAlign w:val="center"/>
                </w:tcPr>
                <w:p w14:paraId="2EE4C56A">
                  <w:pPr>
                    <w:spacing w:line="240" w:lineRule="auto"/>
                    <w:ind w:firstLine="0" w:firstLineChars="0"/>
                    <w:jc w:val="center"/>
                    <w:rPr>
                      <w:rFonts w:hint="eastAsia"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val="en-US" w:eastAsia="zh-CN"/>
                    </w:rPr>
                    <w:t>3</w:t>
                  </w:r>
                </w:p>
              </w:tc>
              <w:tc>
                <w:tcPr>
                  <w:tcW w:w="414" w:type="pct"/>
                  <w:noWrap w:val="0"/>
                  <w:vAlign w:val="center"/>
                </w:tcPr>
                <w:p w14:paraId="731E1167">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30#</w:t>
                  </w:r>
                </w:p>
              </w:tc>
              <w:tc>
                <w:tcPr>
                  <w:tcW w:w="1080" w:type="pct"/>
                  <w:noWrap w:val="0"/>
                  <w:vAlign w:val="center"/>
                </w:tcPr>
                <w:p w14:paraId="71A3C5DA">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108°37′51.</w:t>
                  </w:r>
                  <w:r>
                    <w:rPr>
                      <w:rFonts w:hint="eastAsia" w:ascii="Times New Roman" w:hAnsi="Times New Roman" w:eastAsia="宋体" w:cs="Times New Roman"/>
                      <w:color w:val="auto"/>
                      <w:sz w:val="21"/>
                      <w:szCs w:val="21"/>
                      <w:highlight w:val="none"/>
                      <w:u w:val="single"/>
                      <w:lang w:val="en-US" w:eastAsia="zh-CN"/>
                    </w:rPr>
                    <w:t>91</w:t>
                  </w:r>
                  <w:r>
                    <w:rPr>
                      <w:rFonts w:ascii="Times New Roman" w:hAnsi="Times New Roman" w:eastAsia="宋体" w:cs="Times New Roman"/>
                      <w:color w:val="auto"/>
                      <w:sz w:val="21"/>
                      <w:szCs w:val="21"/>
                      <w:highlight w:val="none"/>
                      <w:u w:val="single"/>
                    </w:rPr>
                    <w:t>"</w:t>
                  </w:r>
                </w:p>
              </w:tc>
              <w:tc>
                <w:tcPr>
                  <w:tcW w:w="1005" w:type="pct"/>
                  <w:noWrap w:val="0"/>
                  <w:vAlign w:val="center"/>
                </w:tcPr>
                <w:p w14:paraId="5A6DEFA6">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21°41′3</w:t>
                  </w:r>
                  <w:r>
                    <w:rPr>
                      <w:rFonts w:hint="eastAsia" w:ascii="Times New Roman" w:hAnsi="Times New Roman" w:eastAsia="宋体" w:cs="Times New Roman"/>
                      <w:color w:val="auto"/>
                      <w:sz w:val="21"/>
                      <w:szCs w:val="21"/>
                      <w:highlight w:val="none"/>
                      <w:u w:val="single"/>
                      <w:lang w:val="en-US" w:eastAsia="zh-CN"/>
                    </w:rPr>
                    <w:t>8.94</w:t>
                  </w:r>
                  <w:r>
                    <w:rPr>
                      <w:rFonts w:ascii="Times New Roman" w:hAnsi="Times New Roman" w:eastAsia="宋体" w:cs="Times New Roman"/>
                      <w:color w:val="auto"/>
                      <w:sz w:val="21"/>
                      <w:szCs w:val="21"/>
                      <w:highlight w:val="none"/>
                      <w:u w:val="single"/>
                    </w:rPr>
                    <w:t>"</w:t>
                  </w:r>
                </w:p>
              </w:tc>
              <w:tc>
                <w:tcPr>
                  <w:tcW w:w="286" w:type="pct"/>
                  <w:noWrap w:val="0"/>
                  <w:vAlign w:val="center"/>
                </w:tcPr>
                <w:p w14:paraId="20D492B4">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332" w:type="pct"/>
                  <w:noWrap w:val="0"/>
                  <w:vAlign w:val="center"/>
                </w:tcPr>
                <w:p w14:paraId="3D88446E">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1167" w:type="pct"/>
                  <w:noWrap w:val="0"/>
                  <w:vAlign w:val="center"/>
                </w:tcPr>
                <w:p w14:paraId="731DA4E1">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438" w:type="pct"/>
                  <w:noWrap w:val="0"/>
                  <w:vAlign w:val="center"/>
                </w:tcPr>
                <w:p w14:paraId="5A2CA11C">
                  <w:pPr>
                    <w:spacing w:line="240" w:lineRule="auto"/>
                    <w:ind w:firstLine="0" w:firstLineChars="0"/>
                    <w:jc w:val="center"/>
                    <w:rPr>
                      <w:rFonts w:ascii="Times New Roman" w:hAnsi="Times New Roman" w:eastAsia="宋体" w:cs="Times New Roman"/>
                      <w:color w:val="auto"/>
                      <w:sz w:val="21"/>
                      <w:szCs w:val="21"/>
                      <w:highlight w:val="none"/>
                      <w:u w:val="single"/>
                    </w:rPr>
                  </w:pPr>
                </w:p>
              </w:tc>
            </w:tr>
            <w:tr w14:paraId="02DD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5" w:type="pct"/>
                  <w:noWrap w:val="0"/>
                  <w:vAlign w:val="center"/>
                </w:tcPr>
                <w:p w14:paraId="429AAC94">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hint="eastAsia" w:cs="Times New Roman"/>
                      <w:color w:val="auto"/>
                      <w:sz w:val="21"/>
                      <w:szCs w:val="21"/>
                      <w:highlight w:val="none"/>
                      <w:u w:val="single"/>
                      <w:lang w:val="en-US" w:eastAsia="zh-CN"/>
                    </w:rPr>
                    <w:t>4</w:t>
                  </w:r>
                </w:p>
              </w:tc>
              <w:tc>
                <w:tcPr>
                  <w:tcW w:w="414" w:type="pct"/>
                  <w:noWrap w:val="0"/>
                  <w:vAlign w:val="center"/>
                </w:tcPr>
                <w:p w14:paraId="0337F1C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31#</w:t>
                  </w:r>
                </w:p>
              </w:tc>
              <w:tc>
                <w:tcPr>
                  <w:tcW w:w="1080" w:type="pct"/>
                  <w:noWrap w:val="0"/>
                  <w:vAlign w:val="center"/>
                </w:tcPr>
                <w:p w14:paraId="35D964FA">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108°37′11.</w:t>
                  </w:r>
                  <w:r>
                    <w:rPr>
                      <w:rFonts w:hint="eastAsia" w:ascii="Times New Roman" w:hAnsi="Times New Roman" w:eastAsia="宋体" w:cs="Times New Roman"/>
                      <w:color w:val="auto"/>
                      <w:sz w:val="21"/>
                      <w:szCs w:val="21"/>
                      <w:highlight w:val="none"/>
                      <w:u w:val="single"/>
                      <w:lang w:val="en-US" w:eastAsia="zh-CN"/>
                    </w:rPr>
                    <w:t>41</w:t>
                  </w:r>
                  <w:r>
                    <w:rPr>
                      <w:rFonts w:ascii="Times New Roman" w:hAnsi="Times New Roman" w:eastAsia="宋体" w:cs="Times New Roman"/>
                      <w:color w:val="auto"/>
                      <w:sz w:val="21"/>
                      <w:szCs w:val="21"/>
                      <w:highlight w:val="none"/>
                      <w:u w:val="single"/>
                    </w:rPr>
                    <w:t>"</w:t>
                  </w:r>
                </w:p>
              </w:tc>
              <w:tc>
                <w:tcPr>
                  <w:tcW w:w="1005" w:type="pct"/>
                  <w:noWrap w:val="0"/>
                  <w:vAlign w:val="center"/>
                </w:tcPr>
                <w:p w14:paraId="7D663AF3">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21°39′</w:t>
                  </w:r>
                  <w:r>
                    <w:rPr>
                      <w:rFonts w:hint="eastAsia" w:ascii="Times New Roman" w:hAnsi="Times New Roman" w:eastAsia="宋体" w:cs="Times New Roman"/>
                      <w:color w:val="auto"/>
                      <w:sz w:val="21"/>
                      <w:szCs w:val="21"/>
                      <w:highlight w:val="none"/>
                      <w:u w:val="single"/>
                      <w:lang w:val="en-US" w:eastAsia="zh-CN"/>
                    </w:rPr>
                    <w:t>7.82</w:t>
                  </w:r>
                  <w:r>
                    <w:rPr>
                      <w:rFonts w:ascii="Times New Roman" w:hAnsi="Times New Roman" w:eastAsia="宋体" w:cs="Times New Roman"/>
                      <w:color w:val="auto"/>
                      <w:sz w:val="21"/>
                      <w:szCs w:val="21"/>
                      <w:highlight w:val="none"/>
                      <w:u w:val="single"/>
                    </w:rPr>
                    <w:t>"</w:t>
                  </w:r>
                </w:p>
              </w:tc>
              <w:tc>
                <w:tcPr>
                  <w:tcW w:w="286" w:type="pct"/>
                  <w:noWrap w:val="0"/>
                  <w:vAlign w:val="center"/>
                </w:tcPr>
                <w:p w14:paraId="6475D8A1">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332" w:type="pct"/>
                  <w:noWrap w:val="0"/>
                  <w:vAlign w:val="center"/>
                </w:tcPr>
                <w:p w14:paraId="336AEEDC">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1167" w:type="pct"/>
                  <w:noWrap w:val="0"/>
                  <w:vAlign w:val="center"/>
                </w:tcPr>
                <w:p w14:paraId="000948E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438" w:type="pct"/>
                  <w:noWrap w:val="0"/>
                  <w:vAlign w:val="center"/>
                </w:tcPr>
                <w:p w14:paraId="13BD986A">
                  <w:pPr>
                    <w:spacing w:line="240" w:lineRule="auto"/>
                    <w:ind w:firstLine="0" w:firstLineChars="0"/>
                    <w:jc w:val="center"/>
                    <w:rPr>
                      <w:rFonts w:ascii="Times New Roman" w:hAnsi="Times New Roman" w:eastAsia="宋体" w:cs="Times New Roman"/>
                      <w:color w:val="auto"/>
                      <w:sz w:val="21"/>
                      <w:szCs w:val="21"/>
                      <w:highlight w:val="none"/>
                      <w:u w:val="single"/>
                    </w:rPr>
                  </w:pPr>
                </w:p>
              </w:tc>
            </w:tr>
            <w:tr w14:paraId="1342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5" w:type="pct"/>
                  <w:noWrap w:val="0"/>
                  <w:vAlign w:val="center"/>
                </w:tcPr>
                <w:p w14:paraId="477192DB">
                  <w:pPr>
                    <w:spacing w:line="240" w:lineRule="auto"/>
                    <w:ind w:firstLine="0" w:firstLineChars="0"/>
                    <w:jc w:val="center"/>
                    <w:rPr>
                      <w:rFonts w:hint="eastAsia"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5</w:t>
                  </w:r>
                </w:p>
              </w:tc>
              <w:tc>
                <w:tcPr>
                  <w:tcW w:w="414" w:type="pct"/>
                  <w:noWrap w:val="0"/>
                  <w:vAlign w:val="center"/>
                </w:tcPr>
                <w:p w14:paraId="7AA5E855">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35#</w:t>
                  </w:r>
                </w:p>
              </w:tc>
              <w:tc>
                <w:tcPr>
                  <w:tcW w:w="1080" w:type="pct"/>
                  <w:noWrap w:val="0"/>
                  <w:vAlign w:val="center"/>
                </w:tcPr>
                <w:p w14:paraId="63E82E75">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108°39′1</w:t>
                  </w:r>
                  <w:r>
                    <w:rPr>
                      <w:rFonts w:hint="eastAsia" w:ascii="Times New Roman" w:hAnsi="Times New Roman" w:eastAsia="宋体" w:cs="Times New Roman"/>
                      <w:color w:val="auto"/>
                      <w:sz w:val="21"/>
                      <w:szCs w:val="21"/>
                      <w:highlight w:val="none"/>
                      <w:u w:val="single"/>
                      <w:lang w:val="en-US" w:eastAsia="zh-CN"/>
                    </w:rPr>
                    <w:t>9.10</w:t>
                  </w:r>
                  <w:r>
                    <w:rPr>
                      <w:rFonts w:ascii="Times New Roman" w:hAnsi="Times New Roman" w:eastAsia="宋体" w:cs="Times New Roman"/>
                      <w:color w:val="auto"/>
                      <w:sz w:val="21"/>
                      <w:szCs w:val="21"/>
                      <w:highlight w:val="none"/>
                      <w:u w:val="single"/>
                    </w:rPr>
                    <w:t>"</w:t>
                  </w:r>
                </w:p>
              </w:tc>
              <w:tc>
                <w:tcPr>
                  <w:tcW w:w="1005" w:type="pct"/>
                  <w:noWrap w:val="0"/>
                  <w:vAlign w:val="center"/>
                </w:tcPr>
                <w:p w14:paraId="15953CEB">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21°39′16.</w:t>
                  </w:r>
                  <w:r>
                    <w:rPr>
                      <w:rFonts w:hint="eastAsia" w:ascii="Times New Roman" w:hAnsi="Times New Roman" w:eastAsia="宋体" w:cs="Times New Roman"/>
                      <w:color w:val="auto"/>
                      <w:sz w:val="21"/>
                      <w:szCs w:val="21"/>
                      <w:highlight w:val="none"/>
                      <w:u w:val="single"/>
                      <w:lang w:val="en-US" w:eastAsia="zh-CN"/>
                    </w:rPr>
                    <w:t>09</w:t>
                  </w:r>
                  <w:r>
                    <w:rPr>
                      <w:rFonts w:ascii="Times New Roman" w:hAnsi="Times New Roman" w:eastAsia="宋体" w:cs="Times New Roman"/>
                      <w:color w:val="auto"/>
                      <w:sz w:val="21"/>
                      <w:szCs w:val="21"/>
                      <w:highlight w:val="none"/>
                      <w:u w:val="single"/>
                    </w:rPr>
                    <w:t>"</w:t>
                  </w:r>
                </w:p>
              </w:tc>
              <w:tc>
                <w:tcPr>
                  <w:tcW w:w="286" w:type="pct"/>
                  <w:noWrap w:val="0"/>
                  <w:vAlign w:val="center"/>
                </w:tcPr>
                <w:p w14:paraId="58C3770E">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332" w:type="pct"/>
                  <w:noWrap w:val="0"/>
                  <w:vAlign w:val="center"/>
                </w:tcPr>
                <w:p w14:paraId="40C79BE4">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1167" w:type="pct"/>
                  <w:noWrap w:val="0"/>
                  <w:vAlign w:val="center"/>
                </w:tcPr>
                <w:p w14:paraId="1EBDDF21">
                  <w:pPr>
                    <w:spacing w:line="240" w:lineRule="auto"/>
                    <w:ind w:firstLine="0" w:firstLineChars="0"/>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u w:val="single"/>
                    </w:rPr>
                    <w:t>√</w:t>
                  </w:r>
                </w:p>
              </w:tc>
              <w:tc>
                <w:tcPr>
                  <w:tcW w:w="438" w:type="pct"/>
                  <w:noWrap w:val="0"/>
                  <w:vAlign w:val="center"/>
                </w:tcPr>
                <w:p w14:paraId="150A1D0B">
                  <w:pPr>
                    <w:spacing w:line="240" w:lineRule="auto"/>
                    <w:ind w:firstLine="0" w:firstLineChars="0"/>
                    <w:jc w:val="center"/>
                    <w:rPr>
                      <w:rFonts w:ascii="Times New Roman" w:hAnsi="Times New Roman" w:eastAsia="宋体" w:cs="Times New Roman"/>
                      <w:color w:val="auto"/>
                      <w:sz w:val="21"/>
                      <w:szCs w:val="21"/>
                      <w:highlight w:val="none"/>
                      <w:u w:val="single"/>
                    </w:rPr>
                  </w:pPr>
                </w:p>
              </w:tc>
            </w:tr>
          </w:tbl>
          <w:p w14:paraId="4FD8F34C">
            <w:pPr>
              <w:numPr>
                <w:ilvl w:val="0"/>
                <w:numId w:val="11"/>
              </w:numPr>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监测项目</w:t>
            </w:r>
          </w:p>
          <w:p w14:paraId="3EE35E1F">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eastAsia="zh-CN"/>
              </w:rPr>
              <w:t>调查监测内容包括海水水质、海洋沉积物及海洋生物生态等，详见下表。</w:t>
            </w:r>
          </w:p>
          <w:p w14:paraId="11921FE6">
            <w:pPr>
              <w:keepNext/>
              <w:keepLines/>
              <w:widowControl w:val="0"/>
              <w:numPr>
                <w:ilvl w:val="0"/>
                <w:numId w:val="0"/>
              </w:numPr>
              <w:tabs>
                <w:tab w:val="left" w:pos="0"/>
              </w:tabs>
              <w:bidi w:val="0"/>
              <w:adjustRightInd w:val="0"/>
              <w:snapToGrid w:val="0"/>
              <w:spacing w:line="360" w:lineRule="auto"/>
              <w:ind w:leftChars="0"/>
              <w:jc w:val="center"/>
              <w:outlineLvl w:val="4"/>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表3.1-3监测项目</w:t>
            </w:r>
            <w:r>
              <w:rPr>
                <w:rFonts w:ascii="Times New Roman" w:hAnsi="Times New Roman" w:eastAsia="宋体" w:cs="Times New Roman"/>
                <w:b/>
                <w:bCs/>
                <w:color w:val="auto"/>
                <w:kern w:val="2"/>
                <w:sz w:val="21"/>
                <w:szCs w:val="21"/>
                <w:highlight w:val="none"/>
                <w:lang w:val="en-US" w:eastAsia="zh-CN" w:bidi="ar-SA"/>
              </w:rPr>
              <w:t>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417"/>
              <w:gridCol w:w="5467"/>
              <w:gridCol w:w="744"/>
            </w:tblGrid>
            <w:tr w14:paraId="2188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306" w:type="pct"/>
                  <w:noWrap w:val="0"/>
                  <w:vAlign w:val="center"/>
                </w:tcPr>
                <w:p w14:paraId="4FC6E65E">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序号</w:t>
                  </w:r>
                </w:p>
              </w:tc>
              <w:tc>
                <w:tcPr>
                  <w:tcW w:w="872" w:type="pct"/>
                  <w:noWrap w:val="0"/>
                  <w:vAlign w:val="center"/>
                </w:tcPr>
                <w:p w14:paraId="777064FC">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监测类别</w:t>
                  </w:r>
                </w:p>
              </w:tc>
              <w:tc>
                <w:tcPr>
                  <w:tcW w:w="3364" w:type="pct"/>
                  <w:noWrap w:val="0"/>
                  <w:vAlign w:val="center"/>
                </w:tcPr>
                <w:p w14:paraId="31B8CD2D">
                  <w:pPr>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监测项目</w:t>
                  </w:r>
                </w:p>
              </w:tc>
              <w:tc>
                <w:tcPr>
                  <w:tcW w:w="457" w:type="pct"/>
                  <w:noWrap w:val="0"/>
                  <w:vAlign w:val="center"/>
                </w:tcPr>
                <w:p w14:paraId="6E1EA9DA">
                  <w:pPr>
                    <w:spacing w:line="240" w:lineRule="auto"/>
                    <w:ind w:firstLine="0" w:firstLineChars="0"/>
                    <w:jc w:val="center"/>
                    <w:rPr>
                      <w:rFonts w:hint="eastAsia"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数量</w:t>
                  </w:r>
                </w:p>
              </w:tc>
            </w:tr>
            <w:tr w14:paraId="11DE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4"/>
                  <w:noWrap w:val="0"/>
                  <w:vAlign w:val="center"/>
                </w:tcPr>
                <w:p w14:paraId="36778B3F">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秋季</w:t>
                  </w:r>
                </w:p>
              </w:tc>
            </w:tr>
            <w:tr w14:paraId="18D5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 w:type="pct"/>
                  <w:noWrap w:val="0"/>
                  <w:vAlign w:val="center"/>
                </w:tcPr>
                <w:p w14:paraId="774DE0AA">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1</w:t>
                  </w:r>
                </w:p>
              </w:tc>
              <w:tc>
                <w:tcPr>
                  <w:tcW w:w="872" w:type="pct"/>
                  <w:noWrap w:val="0"/>
                  <w:vAlign w:val="center"/>
                </w:tcPr>
                <w:p w14:paraId="390B7A37">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水质</w:t>
                  </w:r>
                </w:p>
              </w:tc>
              <w:tc>
                <w:tcPr>
                  <w:tcW w:w="3364" w:type="pct"/>
                  <w:noWrap w:val="0"/>
                  <w:vAlign w:val="center"/>
                </w:tcPr>
                <w:p w14:paraId="3A74AF1D">
                  <w:pPr>
                    <w:spacing w:line="240" w:lineRule="auto"/>
                    <w:ind w:firstLine="0" w:firstLineChars="0"/>
                    <w:rPr>
                      <w:rFonts w:hint="eastAsia"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水温、盐度、悬浮物、透明度、pH、溶解氧、化学需氧量、硝酸盐、亚硝酸盐、氨</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lang w:val="en-US" w:eastAsia="zh-CN"/>
                    </w:rPr>
                    <w:t>铵盐</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w:t>
                  </w:r>
                  <w:r>
                    <w:rPr>
                      <w:rFonts w:hint="eastAsia" w:ascii="Times New Roman" w:hAnsi="Times New Roman" w:eastAsia="宋体" w:cs="Times New Roman"/>
                      <w:color w:val="auto"/>
                      <w:sz w:val="21"/>
                      <w:szCs w:val="21"/>
                      <w:highlight w:val="none"/>
                      <w:u w:val="none"/>
                      <w:lang w:val="en-US" w:eastAsia="zh-CN"/>
                    </w:rPr>
                    <w:t>活性磷酸盐</w:t>
                  </w:r>
                  <w:r>
                    <w:rPr>
                      <w:rFonts w:hint="eastAsia" w:ascii="Times New Roman" w:hAnsi="Times New Roman" w:eastAsia="宋体" w:cs="Times New Roman"/>
                      <w:color w:val="auto"/>
                      <w:sz w:val="21"/>
                      <w:szCs w:val="21"/>
                      <w:highlight w:val="none"/>
                      <w:u w:val="none"/>
                    </w:rPr>
                    <w:t>、活性硅酸盐、汞、铜、锌、铅、镉、</w:t>
                  </w:r>
                  <w:r>
                    <w:rPr>
                      <w:rFonts w:hint="eastAsia" w:ascii="Times New Roman" w:hAnsi="Times New Roman" w:eastAsia="宋体" w:cs="Times New Roman"/>
                      <w:color w:val="auto"/>
                      <w:sz w:val="21"/>
                      <w:szCs w:val="21"/>
                      <w:highlight w:val="none"/>
                      <w:u w:val="none"/>
                      <w:lang w:val="en-US" w:eastAsia="zh-CN"/>
                    </w:rPr>
                    <w:t>总</w:t>
                  </w:r>
                  <w:r>
                    <w:rPr>
                      <w:rFonts w:hint="eastAsia" w:ascii="Times New Roman" w:hAnsi="Times New Roman" w:eastAsia="宋体" w:cs="Times New Roman"/>
                      <w:color w:val="auto"/>
                      <w:sz w:val="21"/>
                      <w:szCs w:val="21"/>
                      <w:highlight w:val="none"/>
                      <w:u w:val="none"/>
                    </w:rPr>
                    <w:t>铬、砷、油类、TOC</w:t>
                  </w:r>
                </w:p>
              </w:tc>
              <w:tc>
                <w:tcPr>
                  <w:tcW w:w="457" w:type="pct"/>
                  <w:noWrap w:val="0"/>
                  <w:vAlign w:val="center"/>
                </w:tcPr>
                <w:p w14:paraId="1F5B3299">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21</w:t>
                  </w:r>
                </w:p>
              </w:tc>
            </w:tr>
            <w:tr w14:paraId="601C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 w:type="pct"/>
                  <w:noWrap w:val="0"/>
                  <w:vAlign w:val="center"/>
                </w:tcPr>
                <w:p w14:paraId="1BC4C07C">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w:t>
                  </w:r>
                </w:p>
              </w:tc>
              <w:tc>
                <w:tcPr>
                  <w:tcW w:w="872" w:type="pct"/>
                  <w:noWrap w:val="0"/>
                  <w:vAlign w:val="center"/>
                </w:tcPr>
                <w:p w14:paraId="7E1B255A">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沉积物</w:t>
                  </w:r>
                </w:p>
              </w:tc>
              <w:tc>
                <w:tcPr>
                  <w:tcW w:w="3364" w:type="pct"/>
                  <w:noWrap w:val="0"/>
                  <w:vAlign w:val="center"/>
                </w:tcPr>
                <w:p w14:paraId="252BC12A">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Eh、硫化物、有机碳、总汞、铜、铅、锌、镉、铬、砷、油类、粒度</w:t>
                  </w:r>
                </w:p>
              </w:tc>
              <w:tc>
                <w:tcPr>
                  <w:tcW w:w="457" w:type="pct"/>
                  <w:noWrap w:val="0"/>
                  <w:vAlign w:val="center"/>
                </w:tcPr>
                <w:p w14:paraId="32614CD3">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12</w:t>
                  </w:r>
                </w:p>
              </w:tc>
            </w:tr>
            <w:tr w14:paraId="5E55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 w:type="pct"/>
                  <w:noWrap w:val="0"/>
                  <w:vAlign w:val="center"/>
                </w:tcPr>
                <w:p w14:paraId="662DE483">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3</w:t>
                  </w:r>
                </w:p>
              </w:tc>
              <w:tc>
                <w:tcPr>
                  <w:tcW w:w="872" w:type="pct"/>
                  <w:noWrap w:val="0"/>
                  <w:vAlign w:val="center"/>
                </w:tcPr>
                <w:p w14:paraId="2D9B3345">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海洋生态</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生物生态和生物资源</w:t>
                  </w:r>
                </w:p>
              </w:tc>
              <w:tc>
                <w:tcPr>
                  <w:tcW w:w="3364" w:type="pct"/>
                  <w:noWrap w:val="0"/>
                  <w:vAlign w:val="center"/>
                </w:tcPr>
                <w:p w14:paraId="6B2156DD">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叶绿素</w:t>
                  </w:r>
                  <w:r>
                    <w:rPr>
                      <w:rFonts w:hint="eastAsia" w:ascii="Times New Roman" w:hAnsi="Times New Roman" w:eastAsia="宋体" w:cs="Times New Roman"/>
                      <w:color w:val="auto"/>
                      <w:sz w:val="21"/>
                      <w:szCs w:val="21"/>
                      <w:highlight w:val="none"/>
                      <w:u w:val="none"/>
                      <w:lang w:val="en-US" w:eastAsia="zh-CN"/>
                    </w:rPr>
                    <w:t>-</w:t>
                  </w:r>
                  <w:r>
                    <w:rPr>
                      <w:rFonts w:ascii="Times New Roman" w:hAnsi="Times New Roman" w:eastAsia="宋体" w:cs="Times New Roman"/>
                      <w:color w:val="auto"/>
                      <w:sz w:val="21"/>
                      <w:szCs w:val="21"/>
                      <w:highlight w:val="none"/>
                      <w:u w:val="none"/>
                    </w:rPr>
                    <w:t>a、浮游植物、浮游动物、底栖生物</w:t>
                  </w:r>
                  <w:r>
                    <w:rPr>
                      <w:rFonts w:hint="eastAsia" w:ascii="Times New Roman" w:hAnsi="Times New Roman" w:eastAsia="宋体" w:cs="Times New Roman"/>
                      <w:color w:val="auto"/>
                      <w:sz w:val="21"/>
                      <w:szCs w:val="21"/>
                      <w:highlight w:val="none"/>
                      <w:u w:val="none"/>
                    </w:rPr>
                    <w:t>、潮间带生物、游泳动物、</w:t>
                  </w:r>
                  <w:r>
                    <w:rPr>
                      <w:rFonts w:ascii="Times New Roman" w:hAnsi="Times New Roman" w:eastAsia="宋体" w:cs="Times New Roman"/>
                      <w:color w:val="auto"/>
                      <w:sz w:val="21"/>
                      <w:szCs w:val="21"/>
                      <w:highlight w:val="none"/>
                      <w:u w:val="none"/>
                    </w:rPr>
                    <w:t>鱼卵仔鱼</w:t>
                  </w:r>
                </w:p>
              </w:tc>
              <w:tc>
                <w:tcPr>
                  <w:tcW w:w="457" w:type="pct"/>
                  <w:noWrap w:val="0"/>
                  <w:vAlign w:val="center"/>
                </w:tcPr>
                <w:p w14:paraId="47D7EC11">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7</w:t>
                  </w:r>
                </w:p>
              </w:tc>
            </w:tr>
            <w:tr w14:paraId="0936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 w:type="pct"/>
                  <w:noWrap w:val="0"/>
                  <w:vAlign w:val="center"/>
                </w:tcPr>
                <w:p w14:paraId="629A1186">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4</w:t>
                  </w:r>
                </w:p>
              </w:tc>
              <w:tc>
                <w:tcPr>
                  <w:tcW w:w="872" w:type="pct"/>
                  <w:noWrap w:val="0"/>
                  <w:vAlign w:val="center"/>
                </w:tcPr>
                <w:p w14:paraId="046086EC">
                  <w:pPr>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海洋生态</w:t>
                  </w:r>
                  <w:r>
                    <w:rPr>
                      <w:rFonts w:hint="eastAsia" w:ascii="Times New Roman" w:hAnsi="Times New Roman" w:eastAsia="宋体" w:cs="Times New Roman"/>
                      <w:color w:val="auto"/>
                      <w:sz w:val="21"/>
                      <w:szCs w:val="21"/>
                      <w:highlight w:val="none"/>
                      <w:u w:val="none"/>
                      <w:lang w:eastAsia="zh-CN"/>
                    </w:rPr>
                    <w:t>－</w:t>
                  </w:r>
                  <w:r>
                    <w:rPr>
                      <w:rFonts w:hint="eastAsia" w:ascii="Times New Roman" w:hAnsi="Times New Roman" w:eastAsia="宋体" w:cs="Times New Roman"/>
                      <w:color w:val="auto"/>
                      <w:sz w:val="21"/>
                      <w:szCs w:val="21"/>
                      <w:highlight w:val="none"/>
                      <w:u w:val="none"/>
                    </w:rPr>
                    <w:t>生物质量</w:t>
                  </w:r>
                </w:p>
              </w:tc>
              <w:tc>
                <w:tcPr>
                  <w:tcW w:w="3364" w:type="pct"/>
                  <w:noWrap w:val="0"/>
                  <w:vAlign w:val="center"/>
                </w:tcPr>
                <w:p w14:paraId="21F622B7">
                  <w:pPr>
                    <w:spacing w:line="240" w:lineRule="auto"/>
                    <w:ind w:firstLine="0" w:firstLineChars="0"/>
                    <w:jc w:val="center"/>
                    <w:rPr>
                      <w:rFonts w:hint="eastAsia" w:ascii="Times New Roman" w:hAnsi="Times New Roman" w:eastAsia="宋体" w:cs="Times New Roman"/>
                      <w:color w:val="auto"/>
                      <w:sz w:val="21"/>
                      <w:szCs w:val="21"/>
                      <w:highlight w:val="none"/>
                      <w:u w:val="none"/>
                      <w:lang w:eastAsia="zh-CN"/>
                    </w:rPr>
                  </w:pPr>
                  <w:r>
                    <w:rPr>
                      <w:rFonts w:ascii="Times New Roman" w:hAnsi="Times New Roman" w:eastAsia="宋体" w:cs="Times New Roman"/>
                      <w:color w:val="auto"/>
                      <w:sz w:val="21"/>
                      <w:szCs w:val="21"/>
                      <w:highlight w:val="none"/>
                      <w:u w:val="none"/>
                    </w:rPr>
                    <w:t>铜、锌、铅、镉、总汞、砷、</w:t>
                  </w:r>
                  <w:r>
                    <w:rPr>
                      <w:rFonts w:hint="eastAsia" w:ascii="Times New Roman" w:hAnsi="Times New Roman" w:eastAsia="宋体" w:cs="Times New Roman"/>
                      <w:color w:val="auto"/>
                      <w:sz w:val="21"/>
                      <w:szCs w:val="21"/>
                      <w:highlight w:val="none"/>
                      <w:u w:val="none"/>
                      <w:lang w:val="en-US" w:eastAsia="zh-CN"/>
                    </w:rPr>
                    <w:t>石油烃</w:t>
                  </w:r>
                </w:p>
              </w:tc>
              <w:tc>
                <w:tcPr>
                  <w:tcW w:w="457" w:type="pct"/>
                  <w:noWrap w:val="0"/>
                  <w:vAlign w:val="center"/>
                </w:tcPr>
                <w:p w14:paraId="3B4CC6FE">
                  <w:pPr>
                    <w:spacing w:line="240" w:lineRule="auto"/>
                    <w:ind w:firstLine="0" w:firstLineChars="0"/>
                    <w:jc w:val="center"/>
                    <w:rPr>
                      <w:rFonts w:hint="eastAsia"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r>
          </w:tbl>
          <w:p w14:paraId="103CFCD5">
            <w:pPr>
              <w:numPr>
                <w:ilvl w:val="0"/>
                <w:numId w:val="11"/>
              </w:numPr>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检测方法</w:t>
            </w:r>
          </w:p>
          <w:p w14:paraId="778E94B9">
            <w:pPr>
              <w:widowControl/>
              <w:spacing w:line="360" w:lineRule="auto"/>
              <w:ind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eastAsia="zh-CN"/>
              </w:rPr>
              <w:t>样品的采集、贮存、运输及分析均按《海洋监测规范》（GB17378－2007）和《海洋调查规范》（GB12763－2007）执行。水质调查项目及分析方法、检出限见下表。</w:t>
            </w:r>
          </w:p>
          <w:p w14:paraId="0352E8D6">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表3.1-4</w:t>
            </w:r>
            <w:r>
              <w:rPr>
                <w:rFonts w:hint="default" w:ascii="Times New Roman" w:hAnsi="Times New Roman" w:eastAsia="宋体" w:cs="Times New Roman"/>
                <w:b/>
                <w:bCs/>
                <w:color w:val="auto"/>
                <w:kern w:val="2"/>
                <w:sz w:val="21"/>
                <w:szCs w:val="21"/>
                <w:highlight w:val="none"/>
                <w:u w:val="none"/>
                <w:lang w:val="en-US" w:eastAsia="zh-CN" w:bidi="ar-SA"/>
              </w:rPr>
              <w:t>海水水质各监测项目分析方法、仪器及检出限</w:t>
            </w:r>
          </w:p>
          <w:tbl>
            <w:tblPr>
              <w:tblStyle w:val="45"/>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57" w:type="dxa"/>
                <w:bottom w:w="0" w:type="dxa"/>
                <w:right w:w="57" w:type="dxa"/>
              </w:tblCellMar>
            </w:tblPr>
            <w:tblGrid>
              <w:gridCol w:w="370"/>
              <w:gridCol w:w="1014"/>
              <w:gridCol w:w="3642"/>
              <w:gridCol w:w="1911"/>
              <w:gridCol w:w="1188"/>
            </w:tblGrid>
            <w:tr w14:paraId="5E55D1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502" w:hRule="atLeast"/>
                <w:tblHeader/>
                <w:jc w:val="center"/>
              </w:trPr>
              <w:tc>
                <w:tcPr>
                  <w:tcW w:w="228" w:type="pct"/>
                  <w:noWrap w:val="0"/>
                  <w:vAlign w:val="center"/>
                </w:tcPr>
                <w:p w14:paraId="19DA93EC">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序号</w:t>
                  </w:r>
                </w:p>
              </w:tc>
              <w:tc>
                <w:tcPr>
                  <w:tcW w:w="624" w:type="pct"/>
                  <w:noWrap w:val="0"/>
                  <w:vAlign w:val="center"/>
                </w:tcPr>
                <w:p w14:paraId="03B9B49F">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监测项目</w:t>
                  </w:r>
                </w:p>
              </w:tc>
              <w:tc>
                <w:tcPr>
                  <w:tcW w:w="2241" w:type="pct"/>
                  <w:noWrap w:val="0"/>
                  <w:vAlign w:val="center"/>
                </w:tcPr>
                <w:p w14:paraId="5864886B">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分析方法</w:t>
                  </w:r>
                </w:p>
              </w:tc>
              <w:tc>
                <w:tcPr>
                  <w:tcW w:w="1176" w:type="pct"/>
                  <w:noWrap w:val="0"/>
                  <w:vAlign w:val="center"/>
                </w:tcPr>
                <w:p w14:paraId="57481D94">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使用仪器</w:t>
                  </w:r>
                </w:p>
              </w:tc>
              <w:tc>
                <w:tcPr>
                  <w:tcW w:w="729" w:type="pct"/>
                  <w:noWrap w:val="0"/>
                  <w:vAlign w:val="center"/>
                </w:tcPr>
                <w:p w14:paraId="3D2CB275">
                  <w:pPr>
                    <w:adjustRightInd/>
                    <w:spacing w:line="240" w:lineRule="auto"/>
                    <w:ind w:firstLine="0" w:firstLineChars="0"/>
                    <w:jc w:val="center"/>
                    <w:rPr>
                      <w:rFonts w:ascii="Times New Roman" w:hAnsi="Times New Roman" w:eastAsia="宋体" w:cs="Times New Roman"/>
                      <w:b/>
                      <w:bCs/>
                      <w:color w:val="auto"/>
                      <w:sz w:val="21"/>
                      <w:szCs w:val="21"/>
                      <w:highlight w:val="none"/>
                      <w:u w:val="none"/>
                    </w:rPr>
                  </w:pPr>
                  <w:r>
                    <w:rPr>
                      <w:rFonts w:ascii="Times New Roman" w:hAnsi="Times New Roman" w:eastAsia="宋体" w:cs="Times New Roman"/>
                      <w:b/>
                      <w:bCs/>
                      <w:color w:val="auto"/>
                      <w:sz w:val="21"/>
                      <w:szCs w:val="21"/>
                      <w:highlight w:val="none"/>
                      <w:u w:val="none"/>
                    </w:rPr>
                    <w:t>检出限</w:t>
                  </w:r>
                </w:p>
              </w:tc>
            </w:tr>
            <w:tr w14:paraId="34A6DE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5000" w:type="pct"/>
                  <w:gridSpan w:val="5"/>
                  <w:noWrap w:val="0"/>
                  <w:vAlign w:val="center"/>
                </w:tcPr>
                <w:p w14:paraId="55E6C19C">
                  <w:pPr>
                    <w:adjustRightInd/>
                    <w:spacing w:line="240" w:lineRule="auto"/>
                    <w:ind w:firstLine="0" w:firstLineChars="0"/>
                    <w:jc w:val="center"/>
                    <w:rPr>
                      <w:rFonts w:hint="eastAsia" w:ascii="Times New Roman" w:hAnsi="Times New Roman" w:eastAsia="宋体" w:cs="Times New Roman"/>
                      <w:b/>
                      <w:bCs/>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秋季</w:t>
                  </w:r>
                </w:p>
              </w:tc>
            </w:tr>
            <w:tr w14:paraId="129B1A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67" w:hRule="atLeast"/>
                <w:jc w:val="center"/>
              </w:trPr>
              <w:tc>
                <w:tcPr>
                  <w:tcW w:w="228" w:type="pct"/>
                  <w:vMerge w:val="restart"/>
                  <w:noWrap w:val="0"/>
                  <w:vAlign w:val="center"/>
                </w:tcPr>
                <w:p w14:paraId="73D33E0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w:t>
                  </w:r>
                </w:p>
              </w:tc>
              <w:tc>
                <w:tcPr>
                  <w:tcW w:w="624" w:type="pct"/>
                  <w:vMerge w:val="restart"/>
                  <w:noWrap w:val="0"/>
                  <w:vAlign w:val="center"/>
                </w:tcPr>
                <w:p w14:paraId="177A3BC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水温</w:t>
                  </w:r>
                </w:p>
              </w:tc>
              <w:tc>
                <w:tcPr>
                  <w:tcW w:w="2241" w:type="pct"/>
                  <w:noWrap w:val="0"/>
                  <w:vAlign w:val="center"/>
                </w:tcPr>
                <w:p w14:paraId="20E419D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w:t>
                  </w:r>
                  <w:r>
                    <w:rPr>
                      <w:rFonts w:hint="eastAsia" w:ascii="Times New Roman" w:hAnsi="Times New Roman" w:eastAsia="宋体" w:cs="Times New Roman"/>
                      <w:color w:val="auto"/>
                      <w:sz w:val="21"/>
                      <w:szCs w:val="21"/>
                      <w:highlight w:val="none"/>
                      <w:u w:val="none"/>
                      <w:lang w:val="en-US" w:eastAsia="zh-CN"/>
                    </w:rPr>
                    <w:t>监测规</w:t>
                  </w:r>
                  <w:r>
                    <w:rPr>
                      <w:rFonts w:ascii="Times New Roman" w:hAnsi="Times New Roman" w:eastAsia="宋体" w:cs="Times New Roman"/>
                      <w:color w:val="auto"/>
                      <w:sz w:val="21"/>
                      <w:szCs w:val="21"/>
                      <w:highlight w:val="none"/>
                      <w:u w:val="none"/>
                    </w:rPr>
                    <w:t>范 第</w:t>
                  </w:r>
                  <w:r>
                    <w:rPr>
                      <w:rFonts w:hint="eastAsia" w:ascii="Times New Roman" w:hAnsi="Times New Roman" w:eastAsia="宋体" w:cs="Times New Roman"/>
                      <w:color w:val="auto"/>
                      <w:sz w:val="21"/>
                      <w:szCs w:val="21"/>
                      <w:highlight w:val="none"/>
                      <w:u w:val="none"/>
                      <w:lang w:val="en-US" w:eastAsia="zh-CN"/>
                    </w:rPr>
                    <w:t>4</w:t>
                  </w:r>
                  <w:r>
                    <w:rPr>
                      <w:rFonts w:ascii="Times New Roman" w:hAnsi="Times New Roman" w:eastAsia="宋体" w:cs="Times New Roman"/>
                      <w:color w:val="auto"/>
                      <w:sz w:val="21"/>
                      <w:szCs w:val="21"/>
                      <w:highlight w:val="none"/>
                      <w:u w:val="none"/>
                    </w:rPr>
                    <w:t>部分</w:t>
                  </w:r>
                  <w:r>
                    <w:rPr>
                      <w:rFonts w:hint="eastAsia" w:ascii="Times New Roman" w:hAnsi="Times New Roman" w:eastAsia="宋体"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rPr>
                    <w:t>海水</w:t>
                  </w:r>
                  <w:r>
                    <w:rPr>
                      <w:rFonts w:hint="eastAsia" w:ascii="Times New Roman" w:hAnsi="Times New Roman" w:eastAsia="宋体" w:cs="Times New Roman"/>
                      <w:color w:val="auto"/>
                      <w:sz w:val="21"/>
                      <w:szCs w:val="21"/>
                      <w:highlight w:val="none"/>
                      <w:u w:val="none"/>
                      <w:lang w:val="en-US" w:eastAsia="zh-CN"/>
                    </w:rPr>
                    <w:t>分析</w:t>
                  </w:r>
                  <w:r>
                    <w:rPr>
                      <w:rFonts w:ascii="Times New Roman" w:hAnsi="Times New Roman" w:eastAsia="宋体" w:cs="Times New Roman"/>
                      <w:color w:val="auto"/>
                      <w:sz w:val="21"/>
                      <w:szCs w:val="21"/>
                      <w:highlight w:val="none"/>
                      <w:u w:val="none"/>
                    </w:rPr>
                    <w:t>》GB/T 1</w:t>
                  </w:r>
                  <w:r>
                    <w:rPr>
                      <w:rFonts w:hint="eastAsia" w:ascii="Times New Roman" w:hAnsi="Times New Roman" w:eastAsia="宋体" w:cs="Times New Roman"/>
                      <w:color w:val="auto"/>
                      <w:sz w:val="21"/>
                      <w:szCs w:val="21"/>
                      <w:highlight w:val="none"/>
                      <w:u w:val="none"/>
                      <w:lang w:val="en-US" w:eastAsia="zh-CN"/>
                    </w:rPr>
                    <w:t>7378.4</w:t>
                  </w:r>
                  <w:r>
                    <w:rPr>
                      <w:rFonts w:ascii="Times New Roman" w:hAnsi="Times New Roman" w:eastAsia="宋体" w:cs="Times New Roman"/>
                      <w:color w:val="auto"/>
                      <w:sz w:val="21"/>
                      <w:szCs w:val="21"/>
                      <w:highlight w:val="none"/>
                      <w:u w:val="none"/>
                    </w:rPr>
                    <w:t>.2-2007</w:t>
                  </w:r>
                  <w:r>
                    <w:rPr>
                      <w:rFonts w:hint="eastAsia" w:ascii="Times New Roman" w:hAnsi="Times New Roman" w:eastAsia="宋体" w:cs="Times New Roman"/>
                      <w:color w:val="auto"/>
                      <w:sz w:val="21"/>
                      <w:szCs w:val="21"/>
                      <w:highlight w:val="none"/>
                      <w:u w:val="none"/>
                      <w:lang w:val="en-US" w:eastAsia="zh-CN"/>
                    </w:rPr>
                    <w:t>/25.1 表层水温表法</w:t>
                  </w:r>
                </w:p>
              </w:tc>
              <w:tc>
                <w:tcPr>
                  <w:tcW w:w="1176" w:type="pct"/>
                  <w:noWrap w:val="0"/>
                  <w:vAlign w:val="center"/>
                </w:tcPr>
                <w:p w14:paraId="66C07D7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表层水温表</w:t>
                  </w:r>
                </w:p>
              </w:tc>
              <w:tc>
                <w:tcPr>
                  <w:tcW w:w="729" w:type="pct"/>
                  <w:noWrap w:val="0"/>
                  <w:vAlign w:val="center"/>
                </w:tcPr>
                <w:p w14:paraId="7C4C671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091ECC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67" w:hRule="atLeast"/>
                <w:jc w:val="center"/>
              </w:trPr>
              <w:tc>
                <w:tcPr>
                  <w:tcW w:w="228" w:type="pct"/>
                  <w:vMerge w:val="continue"/>
                  <w:noWrap w:val="0"/>
                  <w:vAlign w:val="center"/>
                </w:tcPr>
                <w:p w14:paraId="7397D2F4">
                  <w:pPr>
                    <w:adjustRightInd/>
                    <w:spacing w:line="240" w:lineRule="auto"/>
                    <w:ind w:firstLine="0" w:firstLineChars="0"/>
                    <w:jc w:val="center"/>
                    <w:rPr>
                      <w:rFonts w:ascii="Times New Roman" w:hAnsi="Times New Roman" w:eastAsia="宋体" w:cs="Times New Roman"/>
                      <w:color w:val="auto"/>
                      <w:szCs w:val="24"/>
                      <w:highlight w:val="none"/>
                      <w:u w:val="none"/>
                    </w:rPr>
                  </w:pPr>
                </w:p>
              </w:tc>
              <w:tc>
                <w:tcPr>
                  <w:tcW w:w="624" w:type="pct"/>
                  <w:vMerge w:val="continue"/>
                  <w:noWrap w:val="0"/>
                  <w:vAlign w:val="center"/>
                </w:tcPr>
                <w:p w14:paraId="2F9B3AF7">
                  <w:pPr>
                    <w:adjustRightInd/>
                    <w:spacing w:line="240" w:lineRule="auto"/>
                    <w:ind w:firstLine="0" w:firstLineChars="0"/>
                    <w:jc w:val="center"/>
                    <w:rPr>
                      <w:rFonts w:ascii="Times New Roman" w:hAnsi="Times New Roman" w:eastAsia="宋体" w:cs="Times New Roman"/>
                      <w:color w:val="auto"/>
                      <w:szCs w:val="24"/>
                      <w:highlight w:val="none"/>
                      <w:u w:val="none"/>
                    </w:rPr>
                  </w:pPr>
                </w:p>
              </w:tc>
              <w:tc>
                <w:tcPr>
                  <w:tcW w:w="2241" w:type="pct"/>
                  <w:noWrap w:val="0"/>
                  <w:vAlign w:val="center"/>
                </w:tcPr>
                <w:p w14:paraId="5B289C8D">
                  <w:pPr>
                    <w:adjustRightInd/>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ascii="Times New Roman" w:hAnsi="Times New Roman" w:eastAsia="宋体" w:cs="Times New Roman"/>
                      <w:color w:val="auto"/>
                      <w:sz w:val="21"/>
                      <w:szCs w:val="21"/>
                      <w:highlight w:val="none"/>
                      <w:u w:val="none"/>
                    </w:rPr>
                    <w:t>《海洋调查规范 第2部分</w:t>
                  </w:r>
                  <w:r>
                    <w:rPr>
                      <w:rFonts w:hint="eastAsia" w:ascii="Times New Roman" w:hAnsi="Times New Roman" w:eastAsia="宋体" w:cs="Times New Roman"/>
                      <w:color w:val="auto"/>
                      <w:sz w:val="21"/>
                      <w:szCs w:val="21"/>
                      <w:highlight w:val="none"/>
                      <w:u w:val="none"/>
                      <w:lang w:eastAsia="zh-CN"/>
                    </w:rPr>
                    <w:t>：</w:t>
                  </w:r>
                  <w:r>
                    <w:rPr>
                      <w:rFonts w:ascii="Times New Roman" w:hAnsi="Times New Roman" w:eastAsia="宋体" w:cs="Times New Roman"/>
                      <w:color w:val="auto"/>
                      <w:sz w:val="21"/>
                      <w:szCs w:val="21"/>
                      <w:highlight w:val="none"/>
                      <w:u w:val="none"/>
                    </w:rPr>
                    <w:t>海洋水文观测》GB/T 12763.2-2007</w:t>
                  </w:r>
                  <w:r>
                    <w:rPr>
                      <w:rFonts w:hint="eastAsia" w:ascii="Times New Roman" w:hAnsi="Times New Roman" w:eastAsia="宋体" w:cs="Times New Roman"/>
                      <w:color w:val="auto"/>
                      <w:sz w:val="21"/>
                      <w:szCs w:val="21"/>
                      <w:highlight w:val="none"/>
                      <w:u w:val="none"/>
                      <w:lang w:val="en-US" w:eastAsia="zh-CN"/>
                    </w:rPr>
                    <w:t>/5.2.1 温盐深仪（CTD）定点测温</w:t>
                  </w:r>
                </w:p>
              </w:tc>
              <w:tc>
                <w:tcPr>
                  <w:tcW w:w="1176" w:type="pct"/>
                  <w:noWrap w:val="0"/>
                  <w:vAlign w:val="center"/>
                </w:tcPr>
                <w:p w14:paraId="3560E9D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温盐深仪（CTD）</w:t>
                  </w:r>
                </w:p>
              </w:tc>
              <w:tc>
                <w:tcPr>
                  <w:tcW w:w="729" w:type="pct"/>
                  <w:noWrap w:val="0"/>
                  <w:vAlign w:val="center"/>
                </w:tcPr>
                <w:p w14:paraId="1946193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4FC6C7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D0230C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c>
                <w:tcPr>
                  <w:tcW w:w="624" w:type="pct"/>
                  <w:noWrap w:val="0"/>
                  <w:vAlign w:val="center"/>
                </w:tcPr>
                <w:p w14:paraId="33CA068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盐度</w:t>
                  </w:r>
                </w:p>
              </w:tc>
              <w:tc>
                <w:tcPr>
                  <w:tcW w:w="2241" w:type="pct"/>
                  <w:noWrap w:val="0"/>
                  <w:vAlign w:val="center"/>
                </w:tcPr>
                <w:p w14:paraId="4A65FB9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29.1盐度计法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81B599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HY</w:t>
                  </w:r>
                  <w:r>
                    <w:rPr>
                      <w:rFonts w:ascii="Times New Roman" w:hAnsi="Times New Roman" w:eastAsia="宋体" w:cs="Times New Roman"/>
                      <w:color w:val="auto"/>
                      <w:sz w:val="21"/>
                      <w:szCs w:val="21"/>
                      <w:highlight w:val="none"/>
                      <w:u w:val="none"/>
                    </w:rPr>
                    <w:t>SYA2-2实验室盐度计</w:t>
                  </w:r>
                </w:p>
              </w:tc>
              <w:tc>
                <w:tcPr>
                  <w:tcW w:w="729" w:type="pct"/>
                  <w:noWrap w:val="0"/>
                  <w:vAlign w:val="center"/>
                </w:tcPr>
                <w:p w14:paraId="1201666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r>
            <w:tr w14:paraId="64DAE6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186CF35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w:t>
                  </w:r>
                </w:p>
              </w:tc>
              <w:tc>
                <w:tcPr>
                  <w:tcW w:w="624" w:type="pct"/>
                  <w:noWrap w:val="0"/>
                  <w:vAlign w:val="center"/>
                </w:tcPr>
                <w:p w14:paraId="4328C6D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pH</w:t>
                  </w:r>
                </w:p>
              </w:tc>
              <w:tc>
                <w:tcPr>
                  <w:tcW w:w="2241" w:type="pct"/>
                  <w:noWrap w:val="0"/>
                  <w:vAlign w:val="center"/>
                </w:tcPr>
                <w:p w14:paraId="5D5BB66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26 pH-pH计法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079F39C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pHS-3C型pH计</w:t>
                  </w:r>
                </w:p>
              </w:tc>
              <w:tc>
                <w:tcPr>
                  <w:tcW w:w="729" w:type="pct"/>
                  <w:noWrap w:val="0"/>
                  <w:vAlign w:val="center"/>
                </w:tcPr>
                <w:p w14:paraId="6BBFBC4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w:t>
                  </w:r>
                </w:p>
              </w:tc>
            </w:tr>
            <w:tr w14:paraId="108A4B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5064086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w:t>
                  </w:r>
                </w:p>
              </w:tc>
              <w:tc>
                <w:tcPr>
                  <w:tcW w:w="624" w:type="pct"/>
                  <w:noWrap w:val="0"/>
                  <w:vAlign w:val="center"/>
                </w:tcPr>
                <w:p w14:paraId="2240A98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溶解氧</w:t>
                  </w:r>
                </w:p>
              </w:tc>
              <w:tc>
                <w:tcPr>
                  <w:tcW w:w="2241" w:type="pct"/>
                  <w:noWrap w:val="0"/>
                  <w:vAlign w:val="center"/>
                </w:tcPr>
                <w:p w14:paraId="5800769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31 碘量法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B86F06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电子滴定器</w:t>
                  </w:r>
                </w:p>
              </w:tc>
              <w:tc>
                <w:tcPr>
                  <w:tcW w:w="729" w:type="pct"/>
                  <w:noWrap w:val="0"/>
                  <w:vAlign w:val="center"/>
                </w:tcPr>
                <w:p w14:paraId="6AB8EA6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0.042 mg/L</w:t>
                  </w:r>
                </w:p>
              </w:tc>
            </w:tr>
            <w:tr w14:paraId="73C1D6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21DA4B7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5</w:t>
                  </w:r>
                </w:p>
              </w:tc>
              <w:tc>
                <w:tcPr>
                  <w:tcW w:w="624" w:type="pct"/>
                  <w:noWrap w:val="0"/>
                  <w:vAlign w:val="center"/>
                </w:tcPr>
                <w:p w14:paraId="166BCDB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化学需氧量</w:t>
                  </w:r>
                </w:p>
              </w:tc>
              <w:tc>
                <w:tcPr>
                  <w:tcW w:w="2241" w:type="pct"/>
                  <w:noWrap w:val="0"/>
                  <w:vAlign w:val="center"/>
                </w:tcPr>
                <w:p w14:paraId="5A60DF8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32 碱性高锰酸钾法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26CA8FA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电子滴定器</w:t>
                  </w:r>
                </w:p>
              </w:tc>
              <w:tc>
                <w:tcPr>
                  <w:tcW w:w="729" w:type="pct"/>
                  <w:noWrap w:val="0"/>
                  <w:vAlign w:val="center"/>
                </w:tcPr>
                <w:p w14:paraId="0E4838D3">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0.15 mg/L</w:t>
                  </w:r>
                </w:p>
              </w:tc>
            </w:tr>
            <w:tr w14:paraId="204909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59A79DB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624" w:type="pct"/>
                  <w:noWrap w:val="0"/>
                  <w:vAlign w:val="center"/>
                </w:tcPr>
                <w:p w14:paraId="0249FE17">
                  <w:pPr>
                    <w:adjustRightInd/>
                    <w:spacing w:line="240" w:lineRule="auto"/>
                    <w:ind w:firstLine="0" w:firstLineChars="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活性磷酸盐</w:t>
                  </w:r>
                </w:p>
              </w:tc>
              <w:tc>
                <w:tcPr>
                  <w:tcW w:w="2241" w:type="pct"/>
                  <w:noWrap w:val="0"/>
                  <w:vAlign w:val="center"/>
                </w:tcPr>
                <w:p w14:paraId="21357B2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p>
                <w:p w14:paraId="01B65FE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39.1 磷钼蓝分光光度法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4F1B3DF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43B8F0C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0.62 μg/L</w:t>
                  </w:r>
                </w:p>
              </w:tc>
            </w:tr>
            <w:tr w14:paraId="2E13A9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1012" w:hRule="atLeast"/>
                <w:jc w:val="center"/>
              </w:trPr>
              <w:tc>
                <w:tcPr>
                  <w:tcW w:w="228" w:type="pct"/>
                  <w:noWrap w:val="0"/>
                  <w:vAlign w:val="center"/>
                </w:tcPr>
                <w:p w14:paraId="0CDCC07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c>
                <w:tcPr>
                  <w:tcW w:w="624" w:type="pct"/>
                  <w:noWrap w:val="0"/>
                  <w:vAlign w:val="center"/>
                </w:tcPr>
                <w:p w14:paraId="3ED0506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亚硝酸盐</w:t>
                  </w:r>
                </w:p>
              </w:tc>
              <w:tc>
                <w:tcPr>
                  <w:tcW w:w="2241" w:type="pct"/>
                  <w:noWrap w:val="0"/>
                  <w:vAlign w:val="center"/>
                </w:tcPr>
                <w:p w14:paraId="49A16BE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《海洋监测技术规程 第1部分：海水》HY/T147.1-2013</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7 流动分析法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2B3FE8E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SAN</w:t>
                  </w:r>
                  <w:r>
                    <w:rPr>
                      <w:rFonts w:ascii="Times New Roman" w:hAnsi="Times New Roman" w:eastAsia="宋体" w:cs="Times New Roman"/>
                      <w:color w:val="auto"/>
                      <w:sz w:val="21"/>
                      <w:szCs w:val="21"/>
                      <w:highlight w:val="none"/>
                      <w:u w:val="none"/>
                    </w:rPr>
                    <w:t>连续流动分析仪</w:t>
                  </w:r>
                </w:p>
              </w:tc>
              <w:tc>
                <w:tcPr>
                  <w:tcW w:w="729" w:type="pct"/>
                  <w:noWrap w:val="0"/>
                  <w:vAlign w:val="center"/>
                </w:tcPr>
                <w:p w14:paraId="32929CBB">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0.35 μg/L</w:t>
                  </w:r>
                </w:p>
              </w:tc>
            </w:tr>
            <w:tr w14:paraId="796DC0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249" w:hRule="atLeast"/>
                <w:jc w:val="center"/>
              </w:trPr>
              <w:tc>
                <w:tcPr>
                  <w:tcW w:w="228" w:type="pct"/>
                  <w:noWrap w:val="0"/>
                  <w:vAlign w:val="center"/>
                </w:tcPr>
                <w:p w14:paraId="23AB594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8</w:t>
                  </w:r>
                </w:p>
              </w:tc>
              <w:tc>
                <w:tcPr>
                  <w:tcW w:w="624" w:type="pct"/>
                  <w:noWrap w:val="0"/>
                  <w:vAlign w:val="center"/>
                </w:tcPr>
                <w:p w14:paraId="40DD6BD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硝酸盐</w:t>
                  </w:r>
                </w:p>
              </w:tc>
              <w:tc>
                <w:tcPr>
                  <w:tcW w:w="2241" w:type="pct"/>
                  <w:noWrap w:val="0"/>
                  <w:vAlign w:val="center"/>
                </w:tcPr>
                <w:p w14:paraId="5E482EF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《海洋监测技术规程 第1部分：海水》HY/T147.1-2013</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8 流动分析法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0B5DE56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SAN</w:t>
                  </w:r>
                  <w:r>
                    <w:rPr>
                      <w:rFonts w:ascii="Times New Roman" w:hAnsi="Times New Roman" w:eastAsia="宋体" w:cs="Times New Roman"/>
                      <w:color w:val="auto"/>
                      <w:sz w:val="21"/>
                      <w:szCs w:val="21"/>
                      <w:highlight w:val="none"/>
                      <w:u w:val="none"/>
                    </w:rPr>
                    <w:t>连续流动分析仪</w:t>
                  </w:r>
                </w:p>
              </w:tc>
              <w:tc>
                <w:tcPr>
                  <w:tcW w:w="729" w:type="pct"/>
                  <w:noWrap w:val="0"/>
                  <w:vAlign w:val="center"/>
                </w:tcPr>
                <w:p w14:paraId="2D7D69D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rPr>
                    <w:t>0.60 μg/L</w:t>
                  </w:r>
                </w:p>
              </w:tc>
            </w:tr>
            <w:tr w14:paraId="15116E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637" w:hRule="atLeast"/>
                <w:jc w:val="center"/>
              </w:trPr>
              <w:tc>
                <w:tcPr>
                  <w:tcW w:w="228" w:type="pct"/>
                  <w:noWrap w:val="0"/>
                  <w:vAlign w:val="center"/>
                </w:tcPr>
                <w:p w14:paraId="6B96728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9</w:t>
                  </w:r>
                </w:p>
              </w:tc>
              <w:tc>
                <w:tcPr>
                  <w:tcW w:w="624" w:type="pct"/>
                  <w:noWrap w:val="0"/>
                  <w:vAlign w:val="center"/>
                </w:tcPr>
                <w:p w14:paraId="6161963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氨（铵盐）</w:t>
                  </w:r>
                </w:p>
              </w:tc>
              <w:tc>
                <w:tcPr>
                  <w:tcW w:w="2241" w:type="pct"/>
                  <w:noWrap w:val="0"/>
                  <w:vAlign w:val="center"/>
                </w:tcPr>
                <w:p w14:paraId="468EDCA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36.2 次溴酸盐氧化法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3F2F9FB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6541A3C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rPr>
                    <w:t>0.42 μg/L</w:t>
                  </w:r>
                </w:p>
              </w:tc>
            </w:tr>
            <w:tr w14:paraId="11612A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480" w:hRule="atLeast"/>
                <w:jc w:val="center"/>
              </w:trPr>
              <w:tc>
                <w:tcPr>
                  <w:tcW w:w="228" w:type="pct"/>
                  <w:noWrap w:val="0"/>
                  <w:vAlign w:val="center"/>
                </w:tcPr>
                <w:p w14:paraId="4C6DF850">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10</w:t>
                  </w:r>
                </w:p>
              </w:tc>
              <w:tc>
                <w:tcPr>
                  <w:tcW w:w="624" w:type="pct"/>
                  <w:noWrap w:val="0"/>
                  <w:vAlign w:val="center"/>
                </w:tcPr>
                <w:p w14:paraId="5258A39F">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石油类</w:t>
                  </w:r>
                </w:p>
              </w:tc>
              <w:tc>
                <w:tcPr>
                  <w:tcW w:w="2241" w:type="pct"/>
                  <w:noWrap w:val="0"/>
                  <w:vAlign w:val="center"/>
                </w:tcPr>
                <w:p w14:paraId="18323F8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13.2紫外分光光度法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051154A3">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UV-8000S紫外可见分光光度计</w:t>
                  </w:r>
                </w:p>
              </w:tc>
              <w:tc>
                <w:tcPr>
                  <w:tcW w:w="729" w:type="pct"/>
                  <w:noWrap w:val="0"/>
                  <w:vAlign w:val="center"/>
                </w:tcPr>
                <w:p w14:paraId="72A9934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3.5 μg/L</w:t>
                  </w:r>
                </w:p>
              </w:tc>
            </w:tr>
            <w:tr w14:paraId="747317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017F96C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11</w:t>
                  </w:r>
                </w:p>
              </w:tc>
              <w:tc>
                <w:tcPr>
                  <w:tcW w:w="624" w:type="pct"/>
                  <w:noWrap w:val="0"/>
                  <w:vAlign w:val="center"/>
                </w:tcPr>
                <w:p w14:paraId="0E41BE3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悬浮物</w:t>
                  </w:r>
                </w:p>
              </w:tc>
              <w:tc>
                <w:tcPr>
                  <w:tcW w:w="2241" w:type="pct"/>
                  <w:noWrap w:val="0"/>
                  <w:vAlign w:val="center"/>
                </w:tcPr>
                <w:p w14:paraId="29A700A3">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27 悬浮物</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重量法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16CA943">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电子天平</w:t>
                  </w:r>
                </w:p>
              </w:tc>
              <w:tc>
                <w:tcPr>
                  <w:tcW w:w="729" w:type="pct"/>
                  <w:noWrap w:val="0"/>
                  <w:vAlign w:val="center"/>
                </w:tcPr>
                <w:p w14:paraId="59247E4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2.0 mg/L</w:t>
                  </w:r>
                </w:p>
              </w:tc>
            </w:tr>
            <w:tr w14:paraId="1FFFDE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42360A24">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12</w:t>
                  </w:r>
                </w:p>
              </w:tc>
              <w:tc>
                <w:tcPr>
                  <w:tcW w:w="624" w:type="pct"/>
                  <w:noWrap w:val="0"/>
                  <w:vAlign w:val="center"/>
                </w:tcPr>
                <w:p w14:paraId="43109060">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透明度</w:t>
                  </w:r>
                </w:p>
              </w:tc>
              <w:tc>
                <w:tcPr>
                  <w:tcW w:w="2241" w:type="pct"/>
                  <w:noWrap w:val="0"/>
                  <w:vAlign w:val="center"/>
                </w:tcPr>
                <w:p w14:paraId="5336DEA7">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w:t>
                  </w:r>
                  <w:r>
                    <w:rPr>
                      <w:rFonts w:hint="eastAsia" w:ascii="Times New Roman" w:hAnsi="Times New Roman" w:eastAsia="宋体" w:cs="Times New Roman"/>
                      <w:color w:val="auto"/>
                      <w:kern w:val="0"/>
                      <w:sz w:val="21"/>
                      <w:szCs w:val="21"/>
                      <w:highlight w:val="none"/>
                      <w:u w:val="none"/>
                      <w:lang w:val="en-US" w:eastAsia="zh-CN"/>
                    </w:rPr>
                    <w:t>调查</w:t>
                  </w:r>
                  <w:r>
                    <w:rPr>
                      <w:rFonts w:ascii="Times New Roman" w:hAnsi="Times New Roman" w:eastAsia="宋体" w:cs="Times New Roman"/>
                      <w:color w:val="auto"/>
                      <w:kern w:val="0"/>
                      <w:sz w:val="21"/>
                      <w:szCs w:val="21"/>
                      <w:highlight w:val="none"/>
                      <w:u w:val="none"/>
                    </w:rPr>
                    <w:t>规范 第</w:t>
                  </w:r>
                  <w:r>
                    <w:rPr>
                      <w:rFonts w:hint="eastAsia" w:ascii="Times New Roman" w:hAnsi="Times New Roman" w:eastAsia="宋体" w:cs="Times New Roman"/>
                      <w:color w:val="auto"/>
                      <w:kern w:val="0"/>
                      <w:sz w:val="21"/>
                      <w:szCs w:val="21"/>
                      <w:highlight w:val="none"/>
                      <w:u w:val="none"/>
                      <w:lang w:val="en-US" w:eastAsia="zh-CN"/>
                    </w:rPr>
                    <w:t>2</w:t>
                  </w:r>
                  <w:r>
                    <w:rPr>
                      <w:rFonts w:ascii="Times New Roman" w:hAnsi="Times New Roman" w:eastAsia="宋体" w:cs="Times New Roman"/>
                      <w:color w:val="auto"/>
                      <w:kern w:val="0"/>
                      <w:sz w:val="21"/>
                      <w:szCs w:val="21"/>
                      <w:highlight w:val="none"/>
                      <w:u w:val="none"/>
                    </w:rPr>
                    <w:t>部分：</w:t>
                  </w:r>
                  <w:r>
                    <w:rPr>
                      <w:rFonts w:hint="eastAsia" w:ascii="Times New Roman" w:hAnsi="Times New Roman" w:eastAsia="宋体" w:cs="Times New Roman"/>
                      <w:color w:val="auto"/>
                      <w:kern w:val="0"/>
                      <w:sz w:val="21"/>
                      <w:szCs w:val="21"/>
                      <w:highlight w:val="none"/>
                      <w:u w:val="none"/>
                      <w:lang w:val="en-US" w:eastAsia="zh-CN"/>
                    </w:rPr>
                    <w:t>海洋水文观测</w:t>
                  </w:r>
                  <w:r>
                    <w:rPr>
                      <w:rFonts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sz w:val="21"/>
                      <w:szCs w:val="21"/>
                      <w:highlight w:val="none"/>
                      <w:u w:val="none"/>
                    </w:rPr>
                    <w:t>GB/T 12763.2-2007</w:t>
                  </w:r>
                  <w:r>
                    <w:rPr>
                      <w:rFonts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lang w:val="en-US" w:eastAsia="zh-CN"/>
                    </w:rPr>
                    <w:t>10.2.1海水透明度观测</w:t>
                  </w:r>
                </w:p>
              </w:tc>
              <w:tc>
                <w:tcPr>
                  <w:tcW w:w="1176" w:type="pct"/>
                  <w:noWrap w:val="0"/>
                  <w:vAlign w:val="center"/>
                </w:tcPr>
                <w:p w14:paraId="3D6FA9C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lang w:val="en-US" w:eastAsia="zh-CN"/>
                    </w:rPr>
                    <w:t>白色</w:t>
                  </w:r>
                  <w:r>
                    <w:rPr>
                      <w:rFonts w:hint="eastAsia" w:ascii="Times New Roman" w:hAnsi="Times New Roman" w:eastAsia="宋体" w:cs="Times New Roman"/>
                      <w:color w:val="auto"/>
                      <w:kern w:val="0"/>
                      <w:sz w:val="21"/>
                      <w:szCs w:val="21"/>
                      <w:highlight w:val="none"/>
                      <w:u w:val="none"/>
                    </w:rPr>
                    <w:t>透明度盘</w:t>
                  </w:r>
                </w:p>
              </w:tc>
              <w:tc>
                <w:tcPr>
                  <w:tcW w:w="729" w:type="pct"/>
                  <w:noWrap w:val="0"/>
                  <w:vAlign w:val="center"/>
                </w:tcPr>
                <w:p w14:paraId="5EA3082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w:t>
                  </w:r>
                </w:p>
              </w:tc>
            </w:tr>
            <w:tr w14:paraId="12F3DF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3161A2A2">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13</w:t>
                  </w:r>
                </w:p>
              </w:tc>
              <w:tc>
                <w:tcPr>
                  <w:tcW w:w="624" w:type="pct"/>
                  <w:noWrap w:val="0"/>
                  <w:vAlign w:val="center"/>
                </w:tcPr>
                <w:p w14:paraId="17F99A2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活性硅酸盐</w:t>
                  </w:r>
                </w:p>
              </w:tc>
              <w:tc>
                <w:tcPr>
                  <w:tcW w:w="2241" w:type="pct"/>
                  <w:noWrap w:val="0"/>
                  <w:vAlign w:val="center"/>
                </w:tcPr>
                <w:p w14:paraId="148E776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第4部分：海水分析》GB17378.4-2007/17.1</w:t>
                  </w:r>
                  <w:r>
                    <w:rPr>
                      <w:rFonts w:hint="eastAsia" w:ascii="Times New Roman" w:hAnsi="Times New Roman" w:eastAsia="宋体" w:cs="Times New Roman"/>
                      <w:color w:val="auto"/>
                      <w:kern w:val="0"/>
                      <w:sz w:val="21"/>
                      <w:szCs w:val="21"/>
                      <w:highlight w:val="none"/>
                      <w:u w:val="none"/>
                    </w:rPr>
                    <w:t>活性硅酸盐</w:t>
                  </w:r>
                  <w:r>
                    <w:rPr>
                      <w:rFonts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rPr>
                    <w:t>硅钼黄法</w:t>
                  </w:r>
                </w:p>
              </w:tc>
              <w:tc>
                <w:tcPr>
                  <w:tcW w:w="1176" w:type="pct"/>
                  <w:noWrap w:val="0"/>
                  <w:vAlign w:val="center"/>
                </w:tcPr>
                <w:p w14:paraId="3184F06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UV-8000S紫外可见分光光度计</w:t>
                  </w:r>
                </w:p>
              </w:tc>
              <w:tc>
                <w:tcPr>
                  <w:tcW w:w="729" w:type="pct"/>
                  <w:noWrap w:val="0"/>
                  <w:vAlign w:val="center"/>
                </w:tcPr>
                <w:p w14:paraId="7DB6C86C">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lang w:val="en-US" w:eastAsia="zh-CN"/>
                    </w:rPr>
                    <w:t>2.8</w:t>
                  </w:r>
                  <w:r>
                    <w:rPr>
                      <w:rFonts w:ascii="Times New Roman" w:hAnsi="Times New Roman" w:eastAsia="宋体" w:cs="Times New Roman"/>
                      <w:color w:val="auto"/>
                      <w:kern w:val="0"/>
                      <w:sz w:val="21"/>
                      <w:szCs w:val="21"/>
                      <w:highlight w:val="none"/>
                      <w:u w:val="none"/>
                    </w:rPr>
                    <w:t xml:space="preserve"> μg/L</w:t>
                  </w:r>
                </w:p>
              </w:tc>
            </w:tr>
            <w:tr w14:paraId="062CFC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4B510FF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14</w:t>
                  </w:r>
                </w:p>
              </w:tc>
              <w:tc>
                <w:tcPr>
                  <w:tcW w:w="624" w:type="pct"/>
                  <w:noWrap w:val="0"/>
                  <w:vAlign w:val="center"/>
                </w:tcPr>
                <w:p w14:paraId="4CA87A7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总有机碳</w:t>
                  </w:r>
                </w:p>
              </w:tc>
              <w:tc>
                <w:tcPr>
                  <w:tcW w:w="2241" w:type="pct"/>
                  <w:noWrap w:val="0"/>
                  <w:vAlign w:val="center"/>
                </w:tcPr>
                <w:p w14:paraId="32D6F807">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第4部分：海水分析》GB17378.4-2007/34.</w:t>
                  </w:r>
                  <w:r>
                    <w:rPr>
                      <w:rFonts w:hint="eastAsia" w:ascii="Times New Roman" w:hAnsi="Times New Roman" w:eastAsia="宋体" w:cs="Times New Roman"/>
                      <w:color w:val="auto"/>
                      <w:kern w:val="0"/>
                      <w:sz w:val="21"/>
                      <w:szCs w:val="21"/>
                      <w:highlight w:val="none"/>
                      <w:u w:val="none"/>
                      <w:lang w:val="en-US" w:eastAsia="zh-CN"/>
                    </w:rPr>
                    <w:t>1总有机碳仪器法</w:t>
                  </w:r>
                </w:p>
              </w:tc>
              <w:tc>
                <w:tcPr>
                  <w:tcW w:w="1176" w:type="pct"/>
                  <w:noWrap w:val="0"/>
                  <w:vAlign w:val="center"/>
                </w:tcPr>
                <w:p w14:paraId="6615DB87">
                  <w:pPr>
                    <w:widowControl/>
                    <w:adjustRightInd/>
                    <w:spacing w:line="240" w:lineRule="auto"/>
                    <w:ind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总有机碳分析仪</w:t>
                  </w:r>
                </w:p>
              </w:tc>
              <w:tc>
                <w:tcPr>
                  <w:tcW w:w="729" w:type="pct"/>
                  <w:noWrap w:val="0"/>
                  <w:vAlign w:val="center"/>
                </w:tcPr>
                <w:p w14:paraId="46BBF1F0">
                  <w:pPr>
                    <w:adjustRightInd/>
                    <w:spacing w:line="240" w:lineRule="auto"/>
                    <w:ind w:firstLine="0" w:firstLineChars="0"/>
                    <w:jc w:val="center"/>
                    <w:rPr>
                      <w:rFonts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0.03</w:t>
                  </w:r>
                  <w:r>
                    <w:rPr>
                      <w:rFonts w:ascii="Times New Roman" w:hAnsi="Times New Roman" w:eastAsia="宋体" w:cs="Times New Roman"/>
                      <w:color w:val="auto"/>
                      <w:sz w:val="21"/>
                      <w:szCs w:val="21"/>
                      <w:highlight w:val="none"/>
                      <w:u w:val="none"/>
                    </w:rPr>
                    <w:t xml:space="preserve"> mg/L</w:t>
                  </w:r>
                </w:p>
              </w:tc>
            </w:tr>
            <w:tr w14:paraId="77671A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3587D60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15</w:t>
                  </w:r>
                </w:p>
              </w:tc>
              <w:tc>
                <w:tcPr>
                  <w:tcW w:w="624" w:type="pct"/>
                  <w:noWrap w:val="0"/>
                  <w:vAlign w:val="center"/>
                </w:tcPr>
                <w:p w14:paraId="50E6DA0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铜</w:t>
                  </w:r>
                </w:p>
              </w:tc>
              <w:tc>
                <w:tcPr>
                  <w:tcW w:w="2241" w:type="pct"/>
                  <w:noWrap w:val="0"/>
                  <w:vAlign w:val="center"/>
                </w:tcPr>
                <w:p w14:paraId="0988FEC9">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6.2阳极溶出伏安法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7D2EFAFC">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44129023">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0.6 μg/L</w:t>
                  </w:r>
                </w:p>
              </w:tc>
            </w:tr>
            <w:tr w14:paraId="454C07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09ED4A9B">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16</w:t>
                  </w:r>
                </w:p>
              </w:tc>
              <w:tc>
                <w:tcPr>
                  <w:tcW w:w="624" w:type="pct"/>
                  <w:noWrap w:val="0"/>
                  <w:vAlign w:val="center"/>
                </w:tcPr>
                <w:p w14:paraId="5821CA08">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锌</w:t>
                  </w:r>
                </w:p>
              </w:tc>
              <w:tc>
                <w:tcPr>
                  <w:tcW w:w="2241" w:type="pct"/>
                  <w:noWrap w:val="0"/>
                  <w:vAlign w:val="center"/>
                </w:tcPr>
                <w:p w14:paraId="508862D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9.2阳极溶出伏安法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16B7BB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4A4BB32F">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1.2 μg/L</w:t>
                  </w:r>
                </w:p>
              </w:tc>
            </w:tr>
            <w:tr w14:paraId="429156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1027" w:hRule="atLeast"/>
                <w:jc w:val="center"/>
              </w:trPr>
              <w:tc>
                <w:tcPr>
                  <w:tcW w:w="228" w:type="pct"/>
                  <w:noWrap w:val="0"/>
                  <w:vAlign w:val="center"/>
                </w:tcPr>
                <w:p w14:paraId="09DF6FB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17</w:t>
                  </w:r>
                </w:p>
              </w:tc>
              <w:tc>
                <w:tcPr>
                  <w:tcW w:w="624" w:type="pct"/>
                  <w:noWrap w:val="0"/>
                  <w:vAlign w:val="center"/>
                </w:tcPr>
                <w:p w14:paraId="5038E07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总铬</w:t>
                  </w:r>
                </w:p>
              </w:tc>
              <w:tc>
                <w:tcPr>
                  <w:tcW w:w="2241" w:type="pct"/>
                  <w:noWrap w:val="0"/>
                  <w:vAlign w:val="center"/>
                </w:tcPr>
                <w:p w14:paraId="527A754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p>
                <w:p w14:paraId="7962BADA">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10.1无火焰原子吸收分光光度法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54B69431">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ZEEint700P原子吸收分光光度计</w:t>
                  </w:r>
                </w:p>
              </w:tc>
              <w:tc>
                <w:tcPr>
                  <w:tcW w:w="729" w:type="pct"/>
                  <w:noWrap w:val="0"/>
                  <w:vAlign w:val="center"/>
                </w:tcPr>
                <w:p w14:paraId="0E52A377">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0.4 μg/L</w:t>
                  </w:r>
                </w:p>
              </w:tc>
            </w:tr>
            <w:tr w14:paraId="1F0B304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3C232DF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18</w:t>
                  </w:r>
                </w:p>
              </w:tc>
              <w:tc>
                <w:tcPr>
                  <w:tcW w:w="624" w:type="pct"/>
                  <w:noWrap w:val="0"/>
                  <w:vAlign w:val="center"/>
                </w:tcPr>
                <w:p w14:paraId="7DB03E9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汞</w:t>
                  </w:r>
                </w:p>
              </w:tc>
              <w:tc>
                <w:tcPr>
                  <w:tcW w:w="2241" w:type="pct"/>
                  <w:noWrap w:val="0"/>
                  <w:vAlign w:val="center"/>
                </w:tcPr>
                <w:p w14:paraId="6AD7DA1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《海洋监测规范第4部分：海水分析》GB17378.4-2007/5.1原子荧光法</w:t>
                  </w:r>
                </w:p>
              </w:tc>
              <w:tc>
                <w:tcPr>
                  <w:tcW w:w="1176" w:type="pct"/>
                  <w:noWrap w:val="0"/>
                  <w:vAlign w:val="center"/>
                </w:tcPr>
                <w:p w14:paraId="4B9692D3">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AFS-9530</w:t>
                  </w:r>
                  <w:r>
                    <w:rPr>
                      <w:rFonts w:ascii="Times New Roman" w:hAnsi="Times New Roman" w:eastAsia="宋体" w:cs="Times New Roman"/>
                      <w:color w:val="auto"/>
                      <w:kern w:val="0"/>
                      <w:sz w:val="21"/>
                      <w:szCs w:val="21"/>
                      <w:highlight w:val="none"/>
                      <w:u w:val="none"/>
                    </w:rPr>
                    <w:t>原子荧光光度计</w:t>
                  </w:r>
                </w:p>
              </w:tc>
              <w:tc>
                <w:tcPr>
                  <w:tcW w:w="729" w:type="pct"/>
                  <w:noWrap w:val="0"/>
                  <w:vAlign w:val="center"/>
                </w:tcPr>
                <w:p w14:paraId="5CFEE06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0.007 μg/L</w:t>
                  </w:r>
                </w:p>
              </w:tc>
            </w:tr>
            <w:tr w14:paraId="6EDB6A9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669EB32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19</w:t>
                  </w:r>
                </w:p>
              </w:tc>
              <w:tc>
                <w:tcPr>
                  <w:tcW w:w="624" w:type="pct"/>
                  <w:noWrap w:val="0"/>
                  <w:vAlign w:val="center"/>
                </w:tcPr>
                <w:p w14:paraId="3D3952E7">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镉</w:t>
                  </w:r>
                </w:p>
              </w:tc>
              <w:tc>
                <w:tcPr>
                  <w:tcW w:w="2241" w:type="pct"/>
                  <w:noWrap w:val="0"/>
                  <w:vAlign w:val="center"/>
                </w:tcPr>
                <w:p w14:paraId="6EAE1B01">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8.2阳极溶出伏安法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2E7A4870">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52ED91B8">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0.09 μg/L</w:t>
                  </w:r>
                </w:p>
              </w:tc>
            </w:tr>
            <w:tr w14:paraId="588BA7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245B113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20</w:t>
                  </w:r>
                </w:p>
              </w:tc>
              <w:tc>
                <w:tcPr>
                  <w:tcW w:w="624" w:type="pct"/>
                  <w:noWrap w:val="0"/>
                  <w:vAlign w:val="center"/>
                </w:tcPr>
                <w:p w14:paraId="3AD13E9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铅</w:t>
                  </w:r>
                </w:p>
              </w:tc>
              <w:tc>
                <w:tcPr>
                  <w:tcW w:w="2241" w:type="pct"/>
                  <w:noWrap w:val="0"/>
                  <w:vAlign w:val="center"/>
                </w:tcPr>
                <w:p w14:paraId="43CAE229">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《海洋监测规范第4部分：海水分析》GB17378.4-2007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7.2阳极溶出伏安法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6896D53">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rPr>
                    <w:t>797伏安极谱仪</w:t>
                  </w:r>
                </w:p>
              </w:tc>
              <w:tc>
                <w:tcPr>
                  <w:tcW w:w="729" w:type="pct"/>
                  <w:noWrap w:val="0"/>
                  <w:vAlign w:val="center"/>
                </w:tcPr>
                <w:p w14:paraId="0189E439">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0.3 μg/L</w:t>
                  </w:r>
                </w:p>
              </w:tc>
            </w:tr>
            <w:tr w14:paraId="761591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jc w:val="center"/>
              </w:trPr>
              <w:tc>
                <w:tcPr>
                  <w:tcW w:w="228" w:type="pct"/>
                  <w:noWrap w:val="0"/>
                  <w:vAlign w:val="center"/>
                </w:tcPr>
                <w:p w14:paraId="448C1058">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rPr>
                    <w:t>21</w:t>
                  </w:r>
                </w:p>
              </w:tc>
              <w:tc>
                <w:tcPr>
                  <w:tcW w:w="624" w:type="pct"/>
                  <w:noWrap w:val="0"/>
                  <w:vAlign w:val="center"/>
                </w:tcPr>
                <w:p w14:paraId="2334C44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砷</w:t>
                  </w:r>
                </w:p>
              </w:tc>
              <w:tc>
                <w:tcPr>
                  <w:tcW w:w="2241" w:type="pct"/>
                  <w:noWrap w:val="0"/>
                  <w:vAlign w:val="center"/>
                </w:tcPr>
                <w:p w14:paraId="3E3681B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《海洋监测规范 第4部分：海水分析》GB17378.4-2007</w:t>
                  </w:r>
                  <w:r>
                    <w:rPr>
                      <w:rFonts w:hint="eastAsia" w:ascii="Times New Roman" w:hAnsi="Times New Roman" w:eastAsia="宋体" w:cs="Times New Roman"/>
                      <w:color w:val="auto"/>
                      <w:sz w:val="21"/>
                      <w:szCs w:val="21"/>
                      <w:highlight w:val="none"/>
                      <w:u w:val="none"/>
                    </w:rPr>
                    <w:t>（</w:t>
                  </w:r>
                  <w:r>
                    <w:rPr>
                      <w:rFonts w:ascii="Times New Roman" w:hAnsi="Times New Roman" w:eastAsia="宋体" w:cs="Times New Roman"/>
                      <w:color w:val="auto"/>
                      <w:sz w:val="21"/>
                      <w:szCs w:val="21"/>
                      <w:highlight w:val="none"/>
                      <w:u w:val="none"/>
                    </w:rPr>
                    <w:t>11.1 原子荧光法</w:t>
                  </w:r>
                  <w:r>
                    <w:rPr>
                      <w:rFonts w:hint="eastAsia" w:ascii="Times New Roman" w:hAnsi="Times New Roman" w:eastAsia="宋体" w:cs="Times New Roman"/>
                      <w:color w:val="auto"/>
                      <w:sz w:val="21"/>
                      <w:szCs w:val="21"/>
                      <w:highlight w:val="none"/>
                      <w:u w:val="none"/>
                    </w:rPr>
                    <w:t>）</w:t>
                  </w:r>
                </w:p>
              </w:tc>
              <w:tc>
                <w:tcPr>
                  <w:tcW w:w="1176" w:type="pct"/>
                  <w:noWrap w:val="0"/>
                  <w:vAlign w:val="center"/>
                </w:tcPr>
                <w:p w14:paraId="639EEC5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AFS-9530</w:t>
                  </w:r>
                  <w:r>
                    <w:rPr>
                      <w:rFonts w:ascii="Times New Roman" w:hAnsi="Times New Roman" w:eastAsia="宋体" w:cs="Times New Roman"/>
                      <w:color w:val="auto"/>
                      <w:kern w:val="0"/>
                      <w:sz w:val="21"/>
                      <w:szCs w:val="21"/>
                      <w:highlight w:val="none"/>
                      <w:u w:val="none"/>
                    </w:rPr>
                    <w:t>原子荧光光度计</w:t>
                  </w:r>
                </w:p>
              </w:tc>
              <w:tc>
                <w:tcPr>
                  <w:tcW w:w="729" w:type="pct"/>
                  <w:noWrap w:val="0"/>
                  <w:vAlign w:val="center"/>
                </w:tcPr>
                <w:p w14:paraId="36F43254">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0.5 μg/L</w:t>
                  </w:r>
                </w:p>
              </w:tc>
            </w:tr>
          </w:tbl>
          <w:p w14:paraId="32C86CA8">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表3.1-5</w:t>
            </w:r>
            <w:r>
              <w:rPr>
                <w:rFonts w:hint="default" w:ascii="Times New Roman" w:hAnsi="Times New Roman" w:eastAsia="宋体" w:cs="Times New Roman"/>
                <w:b/>
                <w:bCs/>
                <w:color w:val="auto"/>
                <w:kern w:val="2"/>
                <w:sz w:val="21"/>
                <w:szCs w:val="21"/>
                <w:highlight w:val="none"/>
                <w:lang w:val="en-US" w:eastAsia="zh-CN" w:bidi="ar-SA"/>
              </w:rPr>
              <w:t>沉积物各</w:t>
            </w:r>
            <w:r>
              <w:rPr>
                <w:rFonts w:hint="eastAsia" w:ascii="Times New Roman" w:hAnsi="Times New Roman" w:eastAsia="宋体" w:cs="Times New Roman"/>
                <w:b/>
                <w:bCs/>
                <w:color w:val="auto"/>
                <w:kern w:val="2"/>
                <w:sz w:val="21"/>
                <w:szCs w:val="21"/>
                <w:highlight w:val="none"/>
                <w:lang w:val="en-US" w:eastAsia="zh-CN" w:bidi="ar-SA"/>
              </w:rPr>
              <w:t>检测项目分析</w:t>
            </w:r>
            <w:r>
              <w:rPr>
                <w:rFonts w:hint="default" w:ascii="Times New Roman" w:hAnsi="Times New Roman" w:eastAsia="宋体" w:cs="Times New Roman"/>
                <w:b/>
                <w:bCs/>
                <w:color w:val="auto"/>
                <w:kern w:val="2"/>
                <w:sz w:val="21"/>
                <w:szCs w:val="21"/>
                <w:highlight w:val="none"/>
                <w:lang w:val="en-US" w:eastAsia="zh-CN" w:bidi="ar-SA"/>
              </w:rPr>
              <w:t>方法、仪器及检出限</w:t>
            </w:r>
          </w:p>
          <w:tbl>
            <w:tblPr>
              <w:tblStyle w:val="45"/>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4"/>
              <w:gridCol w:w="986"/>
              <w:gridCol w:w="3323"/>
              <w:gridCol w:w="2210"/>
              <w:gridCol w:w="1153"/>
            </w:tblGrid>
            <w:tr w14:paraId="4BC7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trPr>
              <w:tc>
                <w:tcPr>
                  <w:tcW w:w="268" w:type="pct"/>
                  <w:noWrap w:val="0"/>
                  <w:vAlign w:val="center"/>
                </w:tcPr>
                <w:p w14:paraId="0C118BAD">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序号</w:t>
                  </w:r>
                </w:p>
              </w:tc>
              <w:tc>
                <w:tcPr>
                  <w:tcW w:w="608" w:type="pct"/>
                  <w:noWrap w:val="0"/>
                  <w:vAlign w:val="center"/>
                </w:tcPr>
                <w:p w14:paraId="3061EE4F">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监测项目</w:t>
                  </w:r>
                </w:p>
              </w:tc>
              <w:tc>
                <w:tcPr>
                  <w:tcW w:w="2050" w:type="pct"/>
                  <w:noWrap w:val="0"/>
                  <w:vAlign w:val="center"/>
                </w:tcPr>
                <w:p w14:paraId="13245957">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分析方法</w:t>
                  </w:r>
                </w:p>
              </w:tc>
              <w:tc>
                <w:tcPr>
                  <w:tcW w:w="1363" w:type="pct"/>
                  <w:noWrap w:val="0"/>
                  <w:vAlign w:val="center"/>
                </w:tcPr>
                <w:p w14:paraId="0E72517D">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kern w:val="0"/>
                      <w:sz w:val="21"/>
                      <w:szCs w:val="21"/>
                      <w:highlight w:val="none"/>
                    </w:rPr>
                    <w:t>分析仪器</w:t>
                  </w:r>
                </w:p>
              </w:tc>
              <w:tc>
                <w:tcPr>
                  <w:tcW w:w="708" w:type="pct"/>
                  <w:noWrap w:val="0"/>
                  <w:vAlign w:val="center"/>
                </w:tcPr>
                <w:p w14:paraId="12C7A9C1">
                  <w:pPr>
                    <w:autoSpaceDE w:val="0"/>
                    <w:autoSpaceDN w:val="0"/>
                    <w:spacing w:line="240" w:lineRule="auto"/>
                    <w:ind w:firstLine="0" w:firstLineChars="0"/>
                    <w:jc w:val="center"/>
                    <w:rPr>
                      <w:rFonts w:ascii="Times New Roman" w:hAnsi="Times New Roman" w:eastAsia="宋体" w:cs="Times New Roman"/>
                      <w:b/>
                      <w:color w:val="auto"/>
                      <w:sz w:val="21"/>
                      <w:szCs w:val="21"/>
                      <w:highlight w:val="none"/>
                      <w:lang w:val="zh-CN"/>
                    </w:rPr>
                  </w:pPr>
                  <w:r>
                    <w:rPr>
                      <w:rFonts w:ascii="Times New Roman" w:hAnsi="Times New Roman" w:eastAsia="宋体" w:cs="Times New Roman"/>
                      <w:b/>
                      <w:color w:val="auto"/>
                      <w:sz w:val="21"/>
                      <w:szCs w:val="21"/>
                      <w:highlight w:val="none"/>
                      <w:lang w:val="zh-CN"/>
                    </w:rPr>
                    <w:t>检出限</w:t>
                  </w:r>
                </w:p>
              </w:tc>
            </w:tr>
            <w:tr w14:paraId="6426FB6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57" w:type="dxa"/>
                  <w:bottom w:w="0" w:type="dxa"/>
                  <w:right w:w="57" w:type="dxa"/>
                </w:tblCellMar>
              </w:tblPrEx>
              <w:trPr>
                <w:cantSplit/>
                <w:trHeight w:val="397" w:hRule="atLeast"/>
              </w:trPr>
              <w:tc>
                <w:tcPr>
                  <w:tcW w:w="5000" w:type="pct"/>
                  <w:gridSpan w:val="5"/>
                  <w:noWrap w:val="0"/>
                  <w:vAlign w:val="center"/>
                </w:tcPr>
                <w:p w14:paraId="18994EC0">
                  <w:pPr>
                    <w:adjustRightIn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秋季（2024年10月）</w:t>
                  </w:r>
                </w:p>
              </w:tc>
            </w:tr>
            <w:tr w14:paraId="659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2C366584">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1</w:t>
                  </w:r>
                </w:p>
              </w:tc>
              <w:tc>
                <w:tcPr>
                  <w:tcW w:w="608" w:type="pct"/>
                  <w:noWrap w:val="0"/>
                  <w:vAlign w:val="center"/>
                </w:tcPr>
                <w:p w14:paraId="1DF760F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铜</w:t>
                  </w:r>
                </w:p>
              </w:tc>
              <w:tc>
                <w:tcPr>
                  <w:tcW w:w="2050" w:type="pct"/>
                  <w:noWrap w:val="0"/>
                  <w:vAlign w:val="center"/>
                </w:tcPr>
                <w:p w14:paraId="63774EBB">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6A3AAC9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6.2火焰原子吸收分光光度法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6A14FA0E">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0EBB70DD">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2.0×10</w:t>
                  </w:r>
                  <w:r>
                    <w:rPr>
                      <w:rFonts w:ascii="Times New Roman" w:hAnsi="Times New Roman" w:eastAsia="宋体" w:cs="Times New Roman"/>
                      <w:color w:val="auto"/>
                      <w:kern w:val="0"/>
                      <w:sz w:val="21"/>
                      <w:szCs w:val="21"/>
                      <w:highlight w:val="none"/>
                      <w:vertAlign w:val="superscript"/>
                    </w:rPr>
                    <w:t>-6</w:t>
                  </w:r>
                </w:p>
              </w:tc>
            </w:tr>
            <w:tr w14:paraId="6C96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65E0A04C">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2</w:t>
                  </w:r>
                </w:p>
              </w:tc>
              <w:tc>
                <w:tcPr>
                  <w:tcW w:w="608" w:type="pct"/>
                  <w:noWrap w:val="0"/>
                  <w:vAlign w:val="center"/>
                </w:tcPr>
                <w:p w14:paraId="0A8ACF1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铅</w:t>
                  </w:r>
                </w:p>
              </w:tc>
              <w:tc>
                <w:tcPr>
                  <w:tcW w:w="2050" w:type="pct"/>
                  <w:noWrap w:val="0"/>
                  <w:vAlign w:val="center"/>
                </w:tcPr>
                <w:p w14:paraId="48E0D8FF">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1BD4207A">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7.1无火焰原子吸收分光光度法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7199CA6C">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42211AC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1.0×10</w:t>
                  </w:r>
                  <w:r>
                    <w:rPr>
                      <w:rFonts w:ascii="Times New Roman" w:hAnsi="Times New Roman" w:eastAsia="宋体" w:cs="Times New Roman"/>
                      <w:color w:val="auto"/>
                      <w:kern w:val="0"/>
                      <w:sz w:val="21"/>
                      <w:szCs w:val="21"/>
                      <w:highlight w:val="none"/>
                      <w:vertAlign w:val="superscript"/>
                    </w:rPr>
                    <w:t>-6</w:t>
                  </w:r>
                </w:p>
              </w:tc>
            </w:tr>
            <w:tr w14:paraId="7981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70B3BDD8">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3</w:t>
                  </w:r>
                </w:p>
              </w:tc>
              <w:tc>
                <w:tcPr>
                  <w:tcW w:w="608" w:type="pct"/>
                  <w:noWrap w:val="0"/>
                  <w:vAlign w:val="center"/>
                </w:tcPr>
                <w:p w14:paraId="02900C2E">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锌</w:t>
                  </w:r>
                </w:p>
              </w:tc>
              <w:tc>
                <w:tcPr>
                  <w:tcW w:w="2050" w:type="pct"/>
                  <w:noWrap w:val="0"/>
                  <w:vAlign w:val="center"/>
                </w:tcPr>
                <w:p w14:paraId="47E0657E">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7953F28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9火焰原子吸收分光光度法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13F80364">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2659028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6.0×10</w:t>
                  </w:r>
                  <w:r>
                    <w:rPr>
                      <w:rFonts w:ascii="Times New Roman" w:hAnsi="Times New Roman" w:eastAsia="宋体" w:cs="Times New Roman"/>
                      <w:color w:val="auto"/>
                      <w:kern w:val="0"/>
                      <w:sz w:val="21"/>
                      <w:szCs w:val="21"/>
                      <w:highlight w:val="none"/>
                      <w:vertAlign w:val="superscript"/>
                    </w:rPr>
                    <w:t>-6</w:t>
                  </w:r>
                </w:p>
              </w:tc>
            </w:tr>
            <w:tr w14:paraId="5517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66AE3DD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4</w:t>
                  </w:r>
                </w:p>
              </w:tc>
              <w:tc>
                <w:tcPr>
                  <w:tcW w:w="608" w:type="pct"/>
                  <w:noWrap w:val="0"/>
                  <w:vAlign w:val="center"/>
                </w:tcPr>
                <w:p w14:paraId="4E36911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镉</w:t>
                  </w:r>
                </w:p>
              </w:tc>
              <w:tc>
                <w:tcPr>
                  <w:tcW w:w="2050" w:type="pct"/>
                  <w:noWrap w:val="0"/>
                  <w:vAlign w:val="center"/>
                </w:tcPr>
                <w:p w14:paraId="5116C335">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5E387E42">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8.1无火焰原子吸收分光光度法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6AD3E62A">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24B87BE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0.04×10</w:t>
                  </w:r>
                  <w:r>
                    <w:rPr>
                      <w:rFonts w:ascii="Times New Roman" w:hAnsi="Times New Roman" w:eastAsia="宋体" w:cs="Times New Roman"/>
                      <w:color w:val="auto"/>
                      <w:kern w:val="0"/>
                      <w:sz w:val="21"/>
                      <w:szCs w:val="21"/>
                      <w:highlight w:val="none"/>
                      <w:vertAlign w:val="superscript"/>
                    </w:rPr>
                    <w:t>-6</w:t>
                  </w:r>
                </w:p>
              </w:tc>
            </w:tr>
            <w:tr w14:paraId="47EB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2B37E58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5</w:t>
                  </w:r>
                </w:p>
              </w:tc>
              <w:tc>
                <w:tcPr>
                  <w:tcW w:w="608" w:type="pct"/>
                  <w:noWrap w:val="0"/>
                  <w:vAlign w:val="center"/>
                </w:tcPr>
                <w:p w14:paraId="3F3C3FE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总汞</w:t>
                  </w:r>
                </w:p>
              </w:tc>
              <w:tc>
                <w:tcPr>
                  <w:tcW w:w="2050" w:type="pct"/>
                  <w:noWrap w:val="0"/>
                  <w:vAlign w:val="center"/>
                </w:tcPr>
                <w:p w14:paraId="2D83F68E">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5.1原子荧光法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67434845">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AFS-9530</w:t>
                  </w:r>
                  <w:r>
                    <w:rPr>
                      <w:rFonts w:ascii="Times New Roman" w:hAnsi="Times New Roman" w:eastAsia="宋体" w:cs="Times New Roman"/>
                      <w:color w:val="auto"/>
                      <w:sz w:val="21"/>
                      <w:szCs w:val="21"/>
                      <w:highlight w:val="none"/>
                    </w:rPr>
                    <w:t>原子荧光光度计</w:t>
                  </w:r>
                </w:p>
              </w:tc>
              <w:tc>
                <w:tcPr>
                  <w:tcW w:w="708" w:type="pct"/>
                  <w:noWrap w:val="0"/>
                  <w:vAlign w:val="center"/>
                </w:tcPr>
                <w:p w14:paraId="6DCF1FD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0.002×10</w:t>
                  </w:r>
                  <w:r>
                    <w:rPr>
                      <w:rFonts w:ascii="Times New Roman" w:hAnsi="Times New Roman" w:eastAsia="宋体" w:cs="Times New Roman"/>
                      <w:color w:val="auto"/>
                      <w:kern w:val="0"/>
                      <w:sz w:val="21"/>
                      <w:szCs w:val="21"/>
                      <w:highlight w:val="none"/>
                      <w:vertAlign w:val="superscript"/>
                    </w:rPr>
                    <w:t>-6</w:t>
                  </w:r>
                </w:p>
              </w:tc>
            </w:tr>
            <w:tr w14:paraId="0890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498F75D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6</w:t>
                  </w:r>
                </w:p>
              </w:tc>
              <w:tc>
                <w:tcPr>
                  <w:tcW w:w="608" w:type="pct"/>
                  <w:noWrap w:val="0"/>
                  <w:vAlign w:val="center"/>
                </w:tcPr>
                <w:p w14:paraId="48F4832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砷</w:t>
                  </w:r>
                </w:p>
              </w:tc>
              <w:tc>
                <w:tcPr>
                  <w:tcW w:w="2050" w:type="pct"/>
                  <w:noWrap w:val="0"/>
                  <w:vAlign w:val="center"/>
                </w:tcPr>
                <w:p w14:paraId="7F3E22B6">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11.1原子荧光法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78CEBEDD">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AFS-9530</w:t>
                  </w:r>
                  <w:r>
                    <w:rPr>
                      <w:rFonts w:ascii="Times New Roman" w:hAnsi="Times New Roman" w:eastAsia="宋体" w:cs="Times New Roman"/>
                      <w:color w:val="auto"/>
                      <w:sz w:val="21"/>
                      <w:szCs w:val="21"/>
                      <w:highlight w:val="none"/>
                    </w:rPr>
                    <w:t>原子荧光光度计</w:t>
                  </w:r>
                </w:p>
              </w:tc>
              <w:tc>
                <w:tcPr>
                  <w:tcW w:w="708" w:type="pct"/>
                  <w:noWrap w:val="0"/>
                  <w:vAlign w:val="center"/>
                </w:tcPr>
                <w:p w14:paraId="2D7D474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0.06×10</w:t>
                  </w:r>
                  <w:r>
                    <w:rPr>
                      <w:rFonts w:ascii="Times New Roman" w:hAnsi="Times New Roman" w:eastAsia="宋体" w:cs="Times New Roman"/>
                      <w:color w:val="auto"/>
                      <w:kern w:val="0"/>
                      <w:sz w:val="21"/>
                      <w:szCs w:val="21"/>
                      <w:highlight w:val="none"/>
                      <w:vertAlign w:val="superscript"/>
                    </w:rPr>
                    <w:t>-6</w:t>
                  </w:r>
                </w:p>
              </w:tc>
            </w:tr>
            <w:tr w14:paraId="1218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3F2111E1">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7</w:t>
                  </w:r>
                </w:p>
              </w:tc>
              <w:tc>
                <w:tcPr>
                  <w:tcW w:w="608" w:type="pct"/>
                  <w:noWrap w:val="0"/>
                  <w:vAlign w:val="center"/>
                </w:tcPr>
                <w:p w14:paraId="2960A9B6">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铬</w:t>
                  </w:r>
                </w:p>
              </w:tc>
              <w:tc>
                <w:tcPr>
                  <w:tcW w:w="2050" w:type="pct"/>
                  <w:noWrap w:val="0"/>
                  <w:vAlign w:val="center"/>
                </w:tcPr>
                <w:p w14:paraId="42434ED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378F5425">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10.1无火焰原子吸收分光光度法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62EB2D55">
                  <w:pPr>
                    <w:autoSpaceDE w:val="0"/>
                    <w:autoSpaceDN w:val="0"/>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kern w:val="0"/>
                      <w:sz w:val="21"/>
                      <w:szCs w:val="21"/>
                      <w:highlight w:val="none"/>
                      <w:lang w:bidi="ar"/>
                    </w:rPr>
                    <w:t>A3AFG-12</w:t>
                  </w:r>
                  <w:r>
                    <w:rPr>
                      <w:rFonts w:ascii="Times New Roman" w:hAnsi="Times New Roman" w:eastAsia="宋体" w:cs="Times New Roman"/>
                      <w:color w:val="auto"/>
                      <w:sz w:val="21"/>
                      <w:szCs w:val="21"/>
                      <w:highlight w:val="none"/>
                      <w:lang w:val="zh-CN"/>
                    </w:rPr>
                    <w:t>原子吸收分光光度计</w:t>
                  </w:r>
                </w:p>
              </w:tc>
              <w:tc>
                <w:tcPr>
                  <w:tcW w:w="708" w:type="pct"/>
                  <w:noWrap w:val="0"/>
                  <w:vAlign w:val="center"/>
                </w:tcPr>
                <w:p w14:paraId="3925BF3E">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2.0×10</w:t>
                  </w:r>
                  <w:r>
                    <w:rPr>
                      <w:rFonts w:ascii="Times New Roman" w:hAnsi="Times New Roman" w:eastAsia="宋体" w:cs="Times New Roman"/>
                      <w:color w:val="auto"/>
                      <w:kern w:val="0"/>
                      <w:sz w:val="21"/>
                      <w:szCs w:val="21"/>
                      <w:highlight w:val="none"/>
                      <w:vertAlign w:val="superscript"/>
                    </w:rPr>
                    <w:t>-6</w:t>
                  </w:r>
                </w:p>
              </w:tc>
            </w:tr>
            <w:tr w14:paraId="14E3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4" w:hRule="atLeast"/>
              </w:trPr>
              <w:tc>
                <w:tcPr>
                  <w:tcW w:w="268" w:type="pct"/>
                  <w:noWrap w:val="0"/>
                  <w:vAlign w:val="center"/>
                </w:tcPr>
                <w:p w14:paraId="1564E8EE">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8</w:t>
                  </w:r>
                </w:p>
              </w:tc>
              <w:tc>
                <w:tcPr>
                  <w:tcW w:w="608" w:type="pct"/>
                  <w:noWrap w:val="0"/>
                  <w:vAlign w:val="center"/>
                </w:tcPr>
                <w:p w14:paraId="3141400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石油类</w:t>
                  </w:r>
                </w:p>
              </w:tc>
              <w:tc>
                <w:tcPr>
                  <w:tcW w:w="2050" w:type="pct"/>
                  <w:noWrap w:val="0"/>
                  <w:vAlign w:val="center"/>
                </w:tcPr>
                <w:p w14:paraId="3EC0D8CF">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13.2紫外分光光度法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0C97B955">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bidi="ar"/>
                    </w:rPr>
                    <w:t>UV-8000S</w:t>
                  </w:r>
                  <w:r>
                    <w:rPr>
                      <w:rFonts w:ascii="Times New Roman" w:hAnsi="Times New Roman" w:eastAsia="宋体" w:cs="Times New Roman"/>
                      <w:color w:val="auto"/>
                      <w:sz w:val="21"/>
                      <w:szCs w:val="21"/>
                      <w:highlight w:val="none"/>
                      <w:lang w:val="zh-CN"/>
                    </w:rPr>
                    <w:t>紫外可见分光光度计</w:t>
                  </w:r>
                </w:p>
              </w:tc>
              <w:tc>
                <w:tcPr>
                  <w:tcW w:w="708" w:type="pct"/>
                  <w:noWrap w:val="0"/>
                  <w:vAlign w:val="center"/>
                </w:tcPr>
                <w:p w14:paraId="43953FE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3.0×10</w:t>
                  </w:r>
                  <w:r>
                    <w:rPr>
                      <w:rFonts w:ascii="Times New Roman" w:hAnsi="Times New Roman" w:eastAsia="宋体" w:cs="Times New Roman"/>
                      <w:color w:val="auto"/>
                      <w:kern w:val="0"/>
                      <w:sz w:val="21"/>
                      <w:szCs w:val="21"/>
                      <w:highlight w:val="none"/>
                      <w:vertAlign w:val="superscript"/>
                    </w:rPr>
                    <w:t>-6</w:t>
                  </w:r>
                </w:p>
              </w:tc>
            </w:tr>
            <w:tr w14:paraId="1D52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06AFD732">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9</w:t>
                  </w:r>
                </w:p>
              </w:tc>
              <w:tc>
                <w:tcPr>
                  <w:tcW w:w="608" w:type="pct"/>
                  <w:noWrap w:val="0"/>
                  <w:vAlign w:val="center"/>
                </w:tcPr>
                <w:p w14:paraId="47383EF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有机碳</w:t>
                  </w:r>
                </w:p>
              </w:tc>
              <w:tc>
                <w:tcPr>
                  <w:tcW w:w="2050" w:type="pct"/>
                  <w:noWrap w:val="0"/>
                  <w:vAlign w:val="center"/>
                </w:tcPr>
                <w:p w14:paraId="220D02A9">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《海洋监测规范 第5部分：沉积物分析》GB17378.5-2007</w:t>
                  </w:r>
                </w:p>
                <w:p w14:paraId="6B171604">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18.1重铬酸钾氧化还原容量法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22259D60">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酸式滴定管</w:t>
                  </w:r>
                </w:p>
              </w:tc>
              <w:tc>
                <w:tcPr>
                  <w:tcW w:w="708" w:type="pct"/>
                  <w:noWrap w:val="0"/>
                  <w:vAlign w:val="center"/>
                </w:tcPr>
                <w:p w14:paraId="6B7B05B0">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0.03×10</w:t>
                  </w:r>
                  <w:r>
                    <w:rPr>
                      <w:rFonts w:ascii="Times New Roman" w:hAnsi="Times New Roman" w:eastAsia="宋体" w:cs="Times New Roman"/>
                      <w:color w:val="auto"/>
                      <w:kern w:val="0"/>
                      <w:sz w:val="21"/>
                      <w:szCs w:val="21"/>
                      <w:highlight w:val="none"/>
                      <w:vertAlign w:val="superscript"/>
                    </w:rPr>
                    <w:t>-2</w:t>
                  </w:r>
                </w:p>
              </w:tc>
            </w:tr>
            <w:tr w14:paraId="1286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8" w:type="pct"/>
                  <w:noWrap w:val="0"/>
                  <w:vAlign w:val="center"/>
                </w:tcPr>
                <w:p w14:paraId="6272BDC6">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10</w:t>
                  </w:r>
                </w:p>
              </w:tc>
              <w:tc>
                <w:tcPr>
                  <w:tcW w:w="608" w:type="pct"/>
                  <w:noWrap w:val="0"/>
                  <w:vAlign w:val="center"/>
                </w:tcPr>
                <w:p w14:paraId="5B529E0A">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硫化物</w:t>
                  </w:r>
                </w:p>
              </w:tc>
              <w:tc>
                <w:tcPr>
                  <w:tcW w:w="2050" w:type="pct"/>
                  <w:noWrap w:val="0"/>
                  <w:vAlign w:val="center"/>
                </w:tcPr>
                <w:p w14:paraId="473A4BB8">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sz w:val="21"/>
                      <w:szCs w:val="21"/>
                      <w:highlight w:val="none"/>
                    </w:rPr>
                    <w:t>《</w:t>
                  </w:r>
                  <w:r>
                    <w:rPr>
                      <w:rFonts w:ascii="Times New Roman" w:hAnsi="Times New Roman" w:eastAsia="宋体" w:cs="Times New Roman"/>
                      <w:color w:val="auto"/>
                      <w:kern w:val="0"/>
                      <w:sz w:val="21"/>
                      <w:szCs w:val="21"/>
                      <w:highlight w:val="none"/>
                    </w:rPr>
                    <w:t>海洋监测规范 第5部分：沉积物分析》GB17378.5-2007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17.3碘量法</w:t>
                  </w:r>
                  <w:r>
                    <w:rPr>
                      <w:rFonts w:hint="eastAsia" w:ascii="Times New Roman" w:hAnsi="Times New Roman" w:eastAsia="宋体" w:cs="Times New Roman"/>
                      <w:color w:val="auto"/>
                      <w:kern w:val="0"/>
                      <w:sz w:val="21"/>
                      <w:szCs w:val="21"/>
                      <w:highlight w:val="none"/>
                    </w:rPr>
                    <w:t>）</w:t>
                  </w:r>
                </w:p>
              </w:tc>
              <w:tc>
                <w:tcPr>
                  <w:tcW w:w="1363" w:type="pct"/>
                  <w:noWrap w:val="0"/>
                  <w:vAlign w:val="center"/>
                </w:tcPr>
                <w:p w14:paraId="293CE16D">
                  <w:pPr>
                    <w:autoSpaceDE w:val="0"/>
                    <w:autoSpaceDN w:val="0"/>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电子滴定器</w:t>
                  </w:r>
                </w:p>
              </w:tc>
              <w:tc>
                <w:tcPr>
                  <w:tcW w:w="708" w:type="pct"/>
                  <w:noWrap w:val="0"/>
                  <w:vAlign w:val="center"/>
                </w:tcPr>
                <w:p w14:paraId="78890D53">
                  <w:pPr>
                    <w:widowControl/>
                    <w:spacing w:line="240" w:lineRule="auto"/>
                    <w:ind w:firstLine="0" w:firstLineChars="0"/>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4.0×10</w:t>
                  </w:r>
                  <w:r>
                    <w:rPr>
                      <w:rFonts w:ascii="Times New Roman" w:hAnsi="Times New Roman" w:eastAsia="宋体" w:cs="Times New Roman"/>
                      <w:color w:val="auto"/>
                      <w:kern w:val="0"/>
                      <w:sz w:val="21"/>
                      <w:szCs w:val="21"/>
                      <w:highlight w:val="none"/>
                      <w:vertAlign w:val="superscript"/>
                    </w:rPr>
                    <w:t>-6</w:t>
                  </w:r>
                </w:p>
              </w:tc>
            </w:tr>
          </w:tbl>
          <w:p w14:paraId="6C5456D5">
            <w:pPr>
              <w:keepNext/>
              <w:keepLines/>
              <w:widowControl w:val="0"/>
              <w:numPr>
                <w:ilvl w:val="0"/>
                <w:numId w:val="0"/>
              </w:numPr>
              <w:tabs>
                <w:tab w:val="left" w:pos="0"/>
              </w:tabs>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表3.1-6</w:t>
            </w:r>
            <w:r>
              <w:rPr>
                <w:rFonts w:hint="default" w:ascii="Times New Roman" w:hAnsi="Times New Roman" w:eastAsia="宋体" w:cs="Times New Roman"/>
                <w:b/>
                <w:bCs/>
                <w:color w:val="auto"/>
                <w:kern w:val="2"/>
                <w:sz w:val="21"/>
                <w:szCs w:val="21"/>
                <w:highlight w:val="none"/>
                <w:lang w:val="en-US" w:eastAsia="zh-CN" w:bidi="ar-SA"/>
              </w:rPr>
              <w:t>沉</w:t>
            </w:r>
            <w:r>
              <w:rPr>
                <w:rFonts w:ascii="Times New Roman" w:hAnsi="Times New Roman" w:eastAsia="宋体" w:cs="Times New Roman"/>
                <w:b/>
                <w:bCs/>
                <w:color w:val="auto"/>
                <w:kern w:val="2"/>
                <w:sz w:val="21"/>
                <w:szCs w:val="21"/>
                <w:highlight w:val="none"/>
                <w:u w:val="none"/>
                <w:lang w:val="en-US" w:eastAsia="zh-CN" w:bidi="ar-SA"/>
              </w:rPr>
              <w:t>生物生态</w:t>
            </w:r>
            <w:r>
              <w:rPr>
                <w:rFonts w:hint="eastAsia" w:ascii="Times New Roman" w:hAnsi="Times New Roman" w:eastAsia="宋体" w:cs="Times New Roman"/>
                <w:b/>
                <w:bCs/>
                <w:color w:val="auto"/>
                <w:kern w:val="2"/>
                <w:sz w:val="21"/>
                <w:szCs w:val="21"/>
                <w:highlight w:val="none"/>
                <w:u w:val="none"/>
                <w:lang w:val="en-US" w:eastAsia="zh-CN" w:bidi="ar-SA"/>
              </w:rPr>
              <w:t>及生物资源</w:t>
            </w:r>
            <w:r>
              <w:rPr>
                <w:rFonts w:ascii="Times New Roman" w:hAnsi="Times New Roman" w:eastAsia="宋体" w:cs="Times New Roman"/>
                <w:b/>
                <w:bCs/>
                <w:color w:val="auto"/>
                <w:kern w:val="2"/>
                <w:sz w:val="21"/>
                <w:szCs w:val="21"/>
                <w:highlight w:val="none"/>
                <w:u w:val="none"/>
                <w:lang w:val="en-US" w:eastAsia="zh-CN" w:bidi="ar-SA"/>
              </w:rPr>
              <w:t>各监测项目分析方法、仪器及检出限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02"/>
              <w:gridCol w:w="4886"/>
              <w:gridCol w:w="1487"/>
            </w:tblGrid>
            <w:tr w14:paraId="7CB0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00" w:type="pct"/>
                  <w:noWrap w:val="0"/>
                  <w:vAlign w:val="center"/>
                </w:tcPr>
                <w:p w14:paraId="220FCE1F">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序号</w:t>
                  </w:r>
                </w:p>
              </w:tc>
              <w:tc>
                <w:tcPr>
                  <w:tcW w:w="678" w:type="pct"/>
                  <w:noWrap w:val="0"/>
                  <w:vAlign w:val="center"/>
                </w:tcPr>
                <w:p w14:paraId="1355DAEA">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监测项目</w:t>
                  </w:r>
                </w:p>
              </w:tc>
              <w:tc>
                <w:tcPr>
                  <w:tcW w:w="3007" w:type="pct"/>
                  <w:noWrap w:val="0"/>
                  <w:vAlign w:val="center"/>
                </w:tcPr>
                <w:p w14:paraId="4B9F175D">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分析方法</w:t>
                  </w:r>
                </w:p>
              </w:tc>
              <w:tc>
                <w:tcPr>
                  <w:tcW w:w="913" w:type="pct"/>
                  <w:noWrap w:val="0"/>
                  <w:vAlign w:val="center"/>
                </w:tcPr>
                <w:p w14:paraId="6414E5BE">
                  <w:pPr>
                    <w:adjustRightInd/>
                    <w:spacing w:line="240" w:lineRule="auto"/>
                    <w:ind w:firstLine="0" w:firstLineChars="0"/>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kern w:val="0"/>
                      <w:sz w:val="21"/>
                      <w:szCs w:val="21"/>
                      <w:highlight w:val="none"/>
                    </w:rPr>
                    <w:t>分析仪器</w:t>
                  </w:r>
                </w:p>
              </w:tc>
            </w:tr>
            <w:tr w14:paraId="2D41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7F4E6698">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678" w:type="pct"/>
                  <w:noWrap w:val="0"/>
                  <w:vAlign w:val="center"/>
                </w:tcPr>
                <w:p w14:paraId="1B8AF01F">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叶绿素a</w:t>
                  </w:r>
                </w:p>
              </w:tc>
              <w:tc>
                <w:tcPr>
                  <w:tcW w:w="3007" w:type="pct"/>
                  <w:noWrap w:val="0"/>
                  <w:vAlign w:val="center"/>
                </w:tcPr>
                <w:p w14:paraId="12F18FD6">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8.2 分光光度法</w:t>
                  </w:r>
                  <w:r>
                    <w:rPr>
                      <w:rFonts w:hint="eastAsia" w:ascii="Times New Roman" w:hAnsi="Times New Roman" w:eastAsia="宋体" w:cs="Times New Roman"/>
                      <w:color w:val="auto"/>
                      <w:sz w:val="21"/>
                      <w:szCs w:val="21"/>
                      <w:highlight w:val="none"/>
                    </w:rPr>
                    <w:t>）</w:t>
                  </w:r>
                </w:p>
              </w:tc>
              <w:tc>
                <w:tcPr>
                  <w:tcW w:w="913" w:type="pct"/>
                  <w:noWrap w:val="0"/>
                  <w:vAlign w:val="center"/>
                </w:tcPr>
                <w:p w14:paraId="542128AA">
                  <w:pPr>
                    <w:adjustRightInd/>
                    <w:spacing w:line="240" w:lineRule="auto"/>
                    <w:ind w:firstLine="0" w:firstLineChars="0"/>
                    <w:jc w:val="center"/>
                    <w:rPr>
                      <w:rFonts w:ascii="Times New Roman" w:hAnsi="Times New Roman" w:eastAsia="宋体" w:cs="Times New Roman"/>
                      <w:color w:val="auto"/>
                      <w:sz w:val="21"/>
                      <w:szCs w:val="21"/>
                      <w:highlight w:val="none"/>
                      <w:lang w:val="zh-CN"/>
                    </w:rPr>
                  </w:pPr>
                  <w:r>
                    <w:rPr>
                      <w:rFonts w:ascii="Times New Roman" w:hAnsi="Times New Roman" w:eastAsia="宋体" w:cs="Times New Roman"/>
                      <w:color w:val="auto"/>
                      <w:sz w:val="21"/>
                      <w:szCs w:val="21"/>
                      <w:highlight w:val="none"/>
                      <w:lang w:val="zh-CN"/>
                    </w:rPr>
                    <w:t>紫外可见分光光度计</w:t>
                  </w:r>
                </w:p>
              </w:tc>
            </w:tr>
            <w:tr w14:paraId="1D14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30CF0067">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678" w:type="pct"/>
                  <w:noWrap w:val="0"/>
                  <w:vAlign w:val="center"/>
                </w:tcPr>
                <w:p w14:paraId="5044EF5D">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浮游植物</w:t>
                  </w:r>
                </w:p>
              </w:tc>
              <w:tc>
                <w:tcPr>
                  <w:tcW w:w="3007" w:type="pct"/>
                  <w:noWrap w:val="0"/>
                  <w:vAlign w:val="center"/>
                </w:tcPr>
                <w:p w14:paraId="377B213E">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5 浮游生物生态调查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766BA58D">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tc>
            </w:tr>
            <w:tr w14:paraId="6323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5A453418">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p>
              </w:tc>
              <w:tc>
                <w:tcPr>
                  <w:tcW w:w="678" w:type="pct"/>
                  <w:noWrap w:val="0"/>
                  <w:vAlign w:val="center"/>
                </w:tcPr>
                <w:p w14:paraId="449D049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浮游动物</w:t>
                  </w:r>
                </w:p>
              </w:tc>
              <w:tc>
                <w:tcPr>
                  <w:tcW w:w="3007" w:type="pct"/>
                  <w:noWrap w:val="0"/>
                  <w:vAlign w:val="center"/>
                </w:tcPr>
                <w:p w14:paraId="1F9AE855">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5 浮游生物生态调查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4FC9E41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6B63840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0EDA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20128F31">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w:t>
                  </w:r>
                </w:p>
              </w:tc>
              <w:tc>
                <w:tcPr>
                  <w:tcW w:w="678" w:type="pct"/>
                  <w:noWrap w:val="0"/>
                  <w:vAlign w:val="center"/>
                </w:tcPr>
                <w:p w14:paraId="16108D71">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底栖生物</w:t>
                  </w:r>
                </w:p>
              </w:tc>
              <w:tc>
                <w:tcPr>
                  <w:tcW w:w="3007" w:type="pct"/>
                  <w:noWrap w:val="0"/>
                  <w:vAlign w:val="center"/>
                </w:tcPr>
                <w:p w14:paraId="47A7B8F5">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《海洋监测规范 第7部分：近海污染生态调查和生物监测》GB17378.7-2007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6 大型底栖生物生态调查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1156BD34">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25632ED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2600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018CE3AE">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5</w:t>
                  </w:r>
                </w:p>
              </w:tc>
              <w:tc>
                <w:tcPr>
                  <w:tcW w:w="678" w:type="pct"/>
                  <w:noWrap w:val="0"/>
                  <w:vAlign w:val="center"/>
                </w:tcPr>
                <w:p w14:paraId="4D60AC6C">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潮间带</w:t>
                  </w:r>
                </w:p>
                <w:p w14:paraId="0678A5F0">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生物</w:t>
                  </w:r>
                </w:p>
              </w:tc>
              <w:tc>
                <w:tcPr>
                  <w:tcW w:w="3007" w:type="pct"/>
                  <w:noWrap w:val="0"/>
                  <w:vAlign w:val="center"/>
                </w:tcPr>
                <w:p w14:paraId="070EBAC5">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kern w:val="0"/>
                      <w:sz w:val="21"/>
                      <w:szCs w:val="21"/>
                      <w:highlight w:val="none"/>
                    </w:rPr>
                    <w:t>《海洋监测规范 第7部分：近海污染生态调查和生物监测》GB17378.7-2007</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7 潮间带生物生态调查</w:t>
                  </w:r>
                  <w:r>
                    <w:rPr>
                      <w:rFonts w:hint="eastAsia" w:ascii="Times New Roman" w:hAnsi="Times New Roman" w:eastAsia="宋体" w:cs="Times New Roman"/>
                      <w:color w:val="auto"/>
                      <w:kern w:val="0"/>
                      <w:sz w:val="21"/>
                      <w:szCs w:val="21"/>
                      <w:highlight w:val="none"/>
                    </w:rPr>
                    <w:t>）</w:t>
                  </w:r>
                </w:p>
              </w:tc>
              <w:tc>
                <w:tcPr>
                  <w:tcW w:w="913" w:type="pct"/>
                  <w:noWrap w:val="0"/>
                  <w:vAlign w:val="center"/>
                </w:tcPr>
                <w:p w14:paraId="5A6CE362">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02CD6887">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3AEB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2188DF3B">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w:t>
                  </w:r>
                </w:p>
              </w:tc>
              <w:tc>
                <w:tcPr>
                  <w:tcW w:w="678" w:type="pct"/>
                  <w:noWrap w:val="0"/>
                  <w:vAlign w:val="center"/>
                </w:tcPr>
                <w:p w14:paraId="26B2800F">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游泳动物</w:t>
                  </w:r>
                </w:p>
              </w:tc>
              <w:tc>
                <w:tcPr>
                  <w:tcW w:w="3007" w:type="pct"/>
                  <w:noWrap w:val="0"/>
                  <w:vAlign w:val="center"/>
                </w:tcPr>
                <w:p w14:paraId="4DA4E5D2">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《海洋调查规范 第6部分：海洋生物调查》GB/T12763.6-2007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14 游泳动物调查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20A5F822">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p w14:paraId="39E8F9E0">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电子天平</w:t>
                  </w:r>
                </w:p>
              </w:tc>
            </w:tr>
            <w:tr w14:paraId="296A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0" w:type="pct"/>
                  <w:noWrap w:val="0"/>
                  <w:vAlign w:val="center"/>
                </w:tcPr>
                <w:p w14:paraId="6EDC64C3">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w:t>
                  </w:r>
                </w:p>
              </w:tc>
              <w:tc>
                <w:tcPr>
                  <w:tcW w:w="678" w:type="pct"/>
                  <w:noWrap w:val="0"/>
                  <w:vAlign w:val="center"/>
                </w:tcPr>
                <w:p w14:paraId="1FE2BDD7">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鱼卵和仔、稚鱼</w:t>
                  </w:r>
                </w:p>
              </w:tc>
              <w:tc>
                <w:tcPr>
                  <w:tcW w:w="3007" w:type="pct"/>
                  <w:noWrap w:val="0"/>
                  <w:vAlign w:val="center"/>
                </w:tcPr>
                <w:p w14:paraId="58BDE2C2">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《海洋调查规范 第6部分：海洋生物调查》GB/T12763.6-2007</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9 鱼类浮游生物调查</w:t>
                  </w:r>
                  <w:r>
                    <w:rPr>
                      <w:rFonts w:hint="eastAsia" w:ascii="Times New Roman" w:hAnsi="Times New Roman" w:eastAsia="宋体" w:cs="Times New Roman"/>
                      <w:color w:val="auto"/>
                      <w:sz w:val="21"/>
                      <w:szCs w:val="21"/>
                      <w:highlight w:val="none"/>
                    </w:rPr>
                    <w:t>）</w:t>
                  </w:r>
                </w:p>
              </w:tc>
              <w:tc>
                <w:tcPr>
                  <w:tcW w:w="913" w:type="pct"/>
                  <w:noWrap w:val="0"/>
                  <w:vAlign w:val="center"/>
                </w:tcPr>
                <w:p w14:paraId="4070C17D">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显微镜</w:t>
                  </w:r>
                </w:p>
              </w:tc>
            </w:tr>
            <w:tr w14:paraId="4D4D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000" w:type="pct"/>
                  <w:gridSpan w:val="4"/>
                  <w:noWrap w:val="0"/>
                  <w:vAlign w:val="center"/>
                </w:tcPr>
                <w:p w14:paraId="6D38CE68">
                  <w:pPr>
                    <w:adjustRightInd/>
                    <w:spacing w:line="240" w:lineRule="auto"/>
                    <w:ind w:firstLine="0" w:firstLineChars="0"/>
                    <w:jc w:val="left"/>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备注：初级生产力采用叶绿素a法估算，按联合国教科文组织（UNESCO）推荐的下列公式估算：</w:t>
                  </w:r>
                </w:p>
                <w:p w14:paraId="2C28ECA7">
                  <w:pPr>
                    <w:adjustRightInd/>
                    <w:spacing w:line="240" w:lineRule="auto"/>
                    <w:ind w:firstLine="0" w:firstLine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P</w:t>
                  </w:r>
                  <w:r>
                    <w:rPr>
                      <w:rFonts w:ascii="Times New Roman" w:hAnsi="Times New Roman" w:eastAsia="宋体" w:cs="Times New Roman"/>
                      <w:color w:val="auto"/>
                      <w:sz w:val="21"/>
                      <w:szCs w:val="21"/>
                      <w:highlight w:val="none"/>
                    </w:rPr>
                    <w:t>=(</w:t>
                  </w:r>
                  <w:r>
                    <w:rPr>
                      <w:rFonts w:ascii="Times New Roman" w:hAnsi="Times New Roman" w:eastAsia="宋体" w:cs="Times New Roman"/>
                      <w:i/>
                      <w:color w:val="auto"/>
                      <w:sz w:val="21"/>
                      <w:szCs w:val="21"/>
                      <w:highlight w:val="none"/>
                    </w:rPr>
                    <w:t>chla·Q·D·E</w:t>
                  </w:r>
                  <w:r>
                    <w:rPr>
                      <w:rFonts w:ascii="Times New Roman" w:hAnsi="Times New Roman" w:eastAsia="宋体" w:cs="Times New Roman"/>
                      <w:color w:val="auto"/>
                      <w:sz w:val="21"/>
                      <w:szCs w:val="21"/>
                      <w:highlight w:val="none"/>
                    </w:rPr>
                    <w:t>)/2</w:t>
                  </w:r>
                </w:p>
                <w:p w14:paraId="0347FA1C">
                  <w:pPr>
                    <w:adjustRightInd/>
                    <w:spacing w:line="240" w:lineRule="auto"/>
                    <w:ind w:firstLine="0" w:firstLine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式中：</w:t>
                  </w:r>
                  <w:r>
                    <w:rPr>
                      <w:rFonts w:ascii="Times New Roman" w:hAnsi="Times New Roman" w:eastAsia="宋体" w:cs="Times New Roman"/>
                      <w:i/>
                      <w:color w:val="auto"/>
                      <w:sz w:val="21"/>
                      <w:szCs w:val="21"/>
                      <w:highlight w:val="none"/>
                    </w:rPr>
                    <w:t>P</w:t>
                  </w:r>
                  <w:r>
                    <w:rPr>
                      <w:rFonts w:ascii="Times New Roman" w:hAnsi="Times New Roman" w:eastAsia="宋体" w:cs="Times New Roman"/>
                      <w:color w:val="auto"/>
                      <w:sz w:val="21"/>
                      <w:szCs w:val="21"/>
                      <w:highlight w:val="none"/>
                    </w:rPr>
                    <w:t>—现场初级生产力（mg·C/</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m</w:t>
                  </w:r>
                  <w:r>
                    <w:rPr>
                      <w:rFonts w:ascii="Times New Roman" w:hAnsi="Times New Roman" w:eastAsia="宋体" w:cs="Times New Roman"/>
                      <w:color w:val="auto"/>
                      <w:sz w:val="21"/>
                      <w:szCs w:val="21"/>
                      <w:highlight w:val="none"/>
                      <w:vertAlign w:val="superscript"/>
                    </w:rPr>
                    <w:t>2</w:t>
                  </w:r>
                  <w:r>
                    <w:rPr>
                      <w:rFonts w:ascii="Times New Roman" w:hAnsi="Times New Roman" w:eastAsia="宋体" w:cs="Times New Roman"/>
                      <w:color w:val="auto"/>
                      <w:sz w:val="21"/>
                      <w:szCs w:val="21"/>
                      <w:highlight w:val="none"/>
                    </w:rPr>
                    <w:t>·d</w:t>
                  </w:r>
                  <w:r>
                    <w:rPr>
                      <w:rFonts w:hint="eastAsia" w:ascii="Times New Roman" w:hAnsi="Times New Roman" w:eastAsia="宋体" w:cs="Times New Roman"/>
                      <w:color w:val="auto"/>
                      <w:sz w:val="21"/>
                      <w:szCs w:val="21"/>
                      <w:highlight w:val="none"/>
                      <w:lang w:eastAsia="zh-CN"/>
                    </w:rPr>
                    <w:t>）</w:t>
                  </w:r>
                  <w:r>
                    <w:rPr>
                      <w:rFonts w:ascii="Times New Roman" w:hAnsi="Times New Roman" w:eastAsia="宋体" w:cs="Times New Roman"/>
                      <w:color w:val="auto"/>
                      <w:sz w:val="21"/>
                      <w:szCs w:val="21"/>
                      <w:highlight w:val="none"/>
                    </w:rPr>
                    <w:t>）；</w:t>
                  </w:r>
                </w:p>
                <w:p w14:paraId="4346A3DA">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chla</w:t>
                  </w:r>
                  <w:r>
                    <w:rPr>
                      <w:rFonts w:ascii="Times New Roman" w:hAnsi="Times New Roman" w:eastAsia="宋体" w:cs="Times New Roman"/>
                      <w:color w:val="auto"/>
                      <w:sz w:val="21"/>
                      <w:szCs w:val="21"/>
                      <w:highlight w:val="none"/>
                    </w:rPr>
                    <w:t>—真光层内平均叶绿素a含量（mg/m</w:t>
                  </w:r>
                  <w:r>
                    <w:rPr>
                      <w:rFonts w:ascii="Times New Roman" w:hAnsi="Times New Roman" w:eastAsia="宋体" w:cs="Times New Roman"/>
                      <w:color w:val="auto"/>
                      <w:sz w:val="21"/>
                      <w:szCs w:val="21"/>
                      <w:highlight w:val="none"/>
                      <w:vertAlign w:val="superscript"/>
                    </w:rPr>
                    <w:t>3</w:t>
                  </w:r>
                  <w:r>
                    <w:rPr>
                      <w:rFonts w:ascii="Times New Roman" w:hAnsi="Times New Roman" w:eastAsia="宋体" w:cs="Times New Roman"/>
                      <w:color w:val="auto"/>
                      <w:sz w:val="21"/>
                      <w:szCs w:val="21"/>
                      <w:highlight w:val="none"/>
                    </w:rPr>
                    <w:t>）；</w:t>
                  </w:r>
                </w:p>
                <w:p w14:paraId="0581B91F">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Q</w:t>
                  </w:r>
                  <w:r>
                    <w:rPr>
                      <w:rFonts w:ascii="Times New Roman" w:hAnsi="Times New Roman" w:eastAsia="宋体" w:cs="Times New Roman"/>
                      <w:color w:val="auto"/>
                      <w:sz w:val="21"/>
                      <w:szCs w:val="21"/>
                      <w:highlight w:val="none"/>
                    </w:rPr>
                    <w:t>—不同层次同化指数算术平均值，取3.7；</w:t>
                  </w:r>
                  <w:r>
                    <w:rPr>
                      <w:rFonts w:ascii="Times New Roman" w:hAnsi="Times New Roman" w:eastAsia="宋体" w:cs="Times New Roman"/>
                      <w:i/>
                      <w:color w:val="auto"/>
                      <w:sz w:val="21"/>
                      <w:szCs w:val="21"/>
                      <w:highlight w:val="none"/>
                    </w:rPr>
                    <w:t>D</w:t>
                  </w:r>
                  <w:r>
                    <w:rPr>
                      <w:rFonts w:ascii="Times New Roman" w:hAnsi="Times New Roman" w:eastAsia="宋体" w:cs="Times New Roman"/>
                      <w:color w:val="auto"/>
                      <w:sz w:val="21"/>
                      <w:szCs w:val="21"/>
                      <w:highlight w:val="none"/>
                    </w:rPr>
                    <w:t>—昼长时间（h），根据季节和海区情况而定；</w:t>
                  </w:r>
                </w:p>
                <w:p w14:paraId="0F4ED1F0">
                  <w:pPr>
                    <w:adjustRightInd/>
                    <w:spacing w:line="240" w:lineRule="auto"/>
                    <w:ind w:firstLine="630" w:firstLineChars="300"/>
                    <w:rPr>
                      <w:rFonts w:ascii="Times New Roman" w:hAnsi="Times New Roman" w:eastAsia="宋体" w:cs="Times New Roman"/>
                      <w:color w:val="auto"/>
                      <w:sz w:val="21"/>
                      <w:szCs w:val="21"/>
                      <w:highlight w:val="none"/>
                    </w:rPr>
                  </w:pPr>
                  <w:r>
                    <w:rPr>
                      <w:rFonts w:ascii="Times New Roman" w:hAnsi="Times New Roman" w:eastAsia="宋体" w:cs="Times New Roman"/>
                      <w:i/>
                      <w:color w:val="auto"/>
                      <w:sz w:val="21"/>
                      <w:szCs w:val="21"/>
                      <w:highlight w:val="none"/>
                    </w:rPr>
                    <w:t>E</w:t>
                  </w:r>
                  <w:r>
                    <w:rPr>
                      <w:rFonts w:ascii="Times New Roman" w:hAnsi="Times New Roman" w:eastAsia="宋体" w:cs="Times New Roman"/>
                      <w:color w:val="auto"/>
                      <w:sz w:val="21"/>
                      <w:szCs w:val="21"/>
                      <w:highlight w:val="none"/>
                    </w:rPr>
                    <w:t>—真光层深度（m），取透明度的3倍，若透明度的3倍大于水深，则取水深值。</w:t>
                  </w:r>
                </w:p>
              </w:tc>
            </w:tr>
          </w:tbl>
          <w:p w14:paraId="44B0D421">
            <w:pPr>
              <w:keepNext/>
              <w:keepLines/>
              <w:widowControl w:val="0"/>
              <w:numPr>
                <w:ilvl w:val="0"/>
                <w:numId w:val="0"/>
              </w:numPr>
              <w:tabs>
                <w:tab w:val="left" w:pos="0"/>
              </w:tabs>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表3.1-7</w:t>
            </w:r>
            <w:r>
              <w:rPr>
                <w:rFonts w:ascii="Times New Roman" w:hAnsi="Times New Roman" w:eastAsia="宋体" w:cs="Times New Roman"/>
                <w:b/>
                <w:bCs/>
                <w:color w:val="auto"/>
                <w:kern w:val="2"/>
                <w:sz w:val="21"/>
                <w:szCs w:val="21"/>
                <w:highlight w:val="none"/>
                <w:u w:val="none"/>
                <w:lang w:val="en-US" w:eastAsia="zh-CN" w:bidi="ar-SA"/>
              </w:rPr>
              <w:t>生物体质量各监测项目分析方法、仪器及检出限</w:t>
            </w:r>
          </w:p>
          <w:tbl>
            <w:tblPr>
              <w:tblStyle w:val="4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0"/>
              <w:gridCol w:w="788"/>
              <w:gridCol w:w="3743"/>
              <w:gridCol w:w="1754"/>
              <w:gridCol w:w="1254"/>
            </w:tblGrid>
            <w:tr w14:paraId="3B1E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trPr>
              <w:tc>
                <w:tcPr>
                  <w:tcW w:w="358" w:type="pct"/>
                  <w:noWrap w:val="0"/>
                  <w:vAlign w:val="center"/>
                </w:tcPr>
                <w:p w14:paraId="469C7595">
                  <w:pPr>
                    <w:widowControl/>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b/>
                      <w:bCs/>
                      <w:color w:val="auto"/>
                      <w:kern w:val="0"/>
                      <w:sz w:val="21"/>
                      <w:szCs w:val="21"/>
                      <w:highlight w:val="none"/>
                      <w:u w:val="none"/>
                    </w:rPr>
                    <w:t>序号</w:t>
                  </w:r>
                </w:p>
              </w:tc>
              <w:tc>
                <w:tcPr>
                  <w:tcW w:w="485" w:type="pct"/>
                  <w:noWrap w:val="0"/>
                  <w:vAlign w:val="center"/>
                </w:tcPr>
                <w:p w14:paraId="57890982">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监测项目</w:t>
                  </w:r>
                </w:p>
              </w:tc>
              <w:tc>
                <w:tcPr>
                  <w:tcW w:w="2305" w:type="pct"/>
                  <w:noWrap w:val="0"/>
                  <w:vAlign w:val="center"/>
                </w:tcPr>
                <w:p w14:paraId="6B76D8B0">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分析方法</w:t>
                  </w:r>
                </w:p>
              </w:tc>
              <w:tc>
                <w:tcPr>
                  <w:tcW w:w="1080" w:type="pct"/>
                  <w:noWrap w:val="0"/>
                  <w:vAlign w:val="center"/>
                </w:tcPr>
                <w:p w14:paraId="13633510">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分析仪器</w:t>
                  </w:r>
                </w:p>
              </w:tc>
              <w:tc>
                <w:tcPr>
                  <w:tcW w:w="771" w:type="pct"/>
                  <w:noWrap w:val="0"/>
                  <w:vAlign w:val="center"/>
                </w:tcPr>
                <w:p w14:paraId="14670848">
                  <w:pPr>
                    <w:widowControl/>
                    <w:adjustRightInd/>
                    <w:spacing w:line="240" w:lineRule="auto"/>
                    <w:ind w:firstLine="0" w:firstLineChars="0"/>
                    <w:jc w:val="center"/>
                    <w:textAlignment w:val="center"/>
                    <w:rPr>
                      <w:rFonts w:ascii="Times New Roman" w:hAnsi="Times New Roman" w:eastAsia="宋体" w:cs="Times New Roman"/>
                      <w:b/>
                      <w:color w:val="auto"/>
                      <w:sz w:val="21"/>
                      <w:szCs w:val="21"/>
                      <w:highlight w:val="none"/>
                      <w:u w:val="none"/>
                    </w:rPr>
                  </w:pPr>
                  <w:r>
                    <w:rPr>
                      <w:rFonts w:ascii="Times New Roman" w:hAnsi="Times New Roman" w:eastAsia="宋体" w:cs="Times New Roman"/>
                      <w:b/>
                      <w:color w:val="auto"/>
                      <w:sz w:val="21"/>
                      <w:szCs w:val="21"/>
                      <w:highlight w:val="none"/>
                      <w:u w:val="none"/>
                    </w:rPr>
                    <w:t>检出限</w:t>
                  </w:r>
                </w:p>
              </w:tc>
            </w:tr>
            <w:tr w14:paraId="652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000" w:type="pct"/>
                  <w:gridSpan w:val="5"/>
                  <w:noWrap w:val="0"/>
                  <w:vAlign w:val="center"/>
                </w:tcPr>
                <w:p w14:paraId="537C3091">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b/>
                      <w:bCs/>
                      <w:color w:val="auto"/>
                      <w:sz w:val="21"/>
                      <w:szCs w:val="21"/>
                      <w:highlight w:val="none"/>
                      <w:u w:val="none"/>
                    </w:rPr>
                    <w:t>秋季</w:t>
                  </w:r>
                </w:p>
              </w:tc>
            </w:tr>
            <w:tr w14:paraId="01FA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7BAA6EAD">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1</w:t>
                  </w:r>
                </w:p>
              </w:tc>
              <w:tc>
                <w:tcPr>
                  <w:tcW w:w="485" w:type="pct"/>
                  <w:noWrap w:val="0"/>
                  <w:vAlign w:val="center"/>
                </w:tcPr>
                <w:p w14:paraId="202BC22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铜</w:t>
                  </w:r>
                </w:p>
              </w:tc>
              <w:tc>
                <w:tcPr>
                  <w:tcW w:w="2305" w:type="pct"/>
                  <w:noWrap w:val="0"/>
                  <w:vAlign w:val="center"/>
                </w:tcPr>
                <w:p w14:paraId="21CC44D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7C141186">
                  <w:pPr>
                    <w:widowControl/>
                    <w:adjustRightInd/>
                    <w:spacing w:line="240" w:lineRule="auto"/>
                    <w:ind w:firstLine="0" w:firstLineChars="0"/>
                    <w:jc w:val="center"/>
                    <w:rPr>
                      <w:rFonts w:hint="eastAsia"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hint="eastAsia" w:ascii="Times New Roman" w:hAnsi="Times New Roman" w:eastAsia="宋体" w:cs="Times New Roman"/>
                      <w:color w:val="auto"/>
                      <w:kern w:val="0"/>
                      <w:sz w:val="21"/>
                      <w:szCs w:val="21"/>
                      <w:highlight w:val="none"/>
                      <w:u w:val="none"/>
                      <w:lang w:val="en-US" w:eastAsia="zh-CN"/>
                    </w:rPr>
                    <w:t>6</w:t>
                  </w:r>
                  <w:r>
                    <w:rPr>
                      <w:rFonts w:ascii="Times New Roman" w:hAnsi="Times New Roman" w:eastAsia="宋体" w:cs="Times New Roman"/>
                      <w:color w:val="auto"/>
                      <w:kern w:val="0"/>
                      <w:sz w:val="21"/>
                      <w:szCs w:val="21"/>
                      <w:highlight w:val="none"/>
                      <w:u w:val="none"/>
                    </w:rPr>
                    <w:t>.1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4433641B">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lang w:bidi="ar"/>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09D389E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0.4</w:t>
                  </w:r>
                  <w:r>
                    <w:rPr>
                      <w:rFonts w:ascii="Times New Roman" w:hAnsi="Times New Roman" w:eastAsia="宋体" w:cs="Times New Roman"/>
                      <w:color w:val="auto"/>
                      <w:sz w:val="21"/>
                      <w:szCs w:val="21"/>
                      <w:highlight w:val="none"/>
                      <w:u w:val="none"/>
                    </w:rPr>
                    <w:t>×10</w:t>
                  </w:r>
                  <w:r>
                    <w:rPr>
                      <w:rFonts w:ascii="Times New Roman" w:hAnsi="Times New Roman" w:eastAsia="宋体" w:cs="Times New Roman"/>
                      <w:color w:val="auto"/>
                      <w:sz w:val="21"/>
                      <w:szCs w:val="21"/>
                      <w:highlight w:val="none"/>
                      <w:u w:val="none"/>
                      <w:vertAlign w:val="superscript"/>
                    </w:rPr>
                    <w:t>-6</w:t>
                  </w:r>
                </w:p>
              </w:tc>
            </w:tr>
            <w:tr w14:paraId="66FB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437F2145">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2</w:t>
                  </w:r>
                </w:p>
              </w:tc>
              <w:tc>
                <w:tcPr>
                  <w:tcW w:w="485" w:type="pct"/>
                  <w:noWrap w:val="0"/>
                  <w:vAlign w:val="center"/>
                </w:tcPr>
                <w:p w14:paraId="14089D8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铅</w:t>
                  </w:r>
                </w:p>
              </w:tc>
              <w:tc>
                <w:tcPr>
                  <w:tcW w:w="2305" w:type="pct"/>
                  <w:noWrap w:val="0"/>
                  <w:vAlign w:val="center"/>
                </w:tcPr>
                <w:p w14:paraId="029044AD">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566C436A">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7.1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2D194AA5">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63D75F2E">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0.04×10</w:t>
                  </w:r>
                  <w:r>
                    <w:rPr>
                      <w:rFonts w:ascii="Times New Roman" w:hAnsi="Times New Roman" w:eastAsia="宋体" w:cs="Times New Roman"/>
                      <w:color w:val="auto"/>
                      <w:sz w:val="21"/>
                      <w:szCs w:val="21"/>
                      <w:highlight w:val="none"/>
                      <w:u w:val="none"/>
                      <w:vertAlign w:val="superscript"/>
                    </w:rPr>
                    <w:t>-6</w:t>
                  </w:r>
                </w:p>
              </w:tc>
            </w:tr>
            <w:tr w14:paraId="3DE4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6A8F7310">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3</w:t>
                  </w:r>
                </w:p>
              </w:tc>
              <w:tc>
                <w:tcPr>
                  <w:tcW w:w="485" w:type="pct"/>
                  <w:noWrap w:val="0"/>
                  <w:vAlign w:val="center"/>
                </w:tcPr>
                <w:p w14:paraId="631BA049">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锌</w:t>
                  </w:r>
                </w:p>
              </w:tc>
              <w:tc>
                <w:tcPr>
                  <w:tcW w:w="2305" w:type="pct"/>
                  <w:noWrap w:val="0"/>
                  <w:vAlign w:val="center"/>
                </w:tcPr>
                <w:p w14:paraId="5C9F5F9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4DB8ECF8">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9.1火焰原子吸收分光光度法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21C7833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732480E6">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0.4×10</w:t>
                  </w:r>
                  <w:r>
                    <w:rPr>
                      <w:rFonts w:ascii="Times New Roman" w:hAnsi="Times New Roman" w:eastAsia="宋体" w:cs="Times New Roman"/>
                      <w:color w:val="auto"/>
                      <w:sz w:val="21"/>
                      <w:szCs w:val="21"/>
                      <w:highlight w:val="none"/>
                      <w:u w:val="none"/>
                      <w:vertAlign w:val="superscript"/>
                    </w:rPr>
                    <w:t>-6</w:t>
                  </w:r>
                </w:p>
              </w:tc>
            </w:tr>
            <w:tr w14:paraId="26B4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7AC2CD02">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4</w:t>
                  </w:r>
                </w:p>
              </w:tc>
              <w:tc>
                <w:tcPr>
                  <w:tcW w:w="485" w:type="pct"/>
                  <w:noWrap w:val="0"/>
                  <w:vAlign w:val="center"/>
                </w:tcPr>
                <w:p w14:paraId="2F0460C0">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镉</w:t>
                  </w:r>
                </w:p>
              </w:tc>
              <w:tc>
                <w:tcPr>
                  <w:tcW w:w="2305" w:type="pct"/>
                  <w:noWrap w:val="0"/>
                  <w:vAlign w:val="center"/>
                </w:tcPr>
                <w:p w14:paraId="2F39399B">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p>
                <w:p w14:paraId="2432EEFE">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8.1 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38A7AF37">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4B195DC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0.005×10</w:t>
                  </w:r>
                  <w:r>
                    <w:rPr>
                      <w:rFonts w:ascii="Times New Roman" w:hAnsi="Times New Roman" w:eastAsia="宋体" w:cs="Times New Roman"/>
                      <w:color w:val="auto"/>
                      <w:sz w:val="21"/>
                      <w:szCs w:val="21"/>
                      <w:highlight w:val="none"/>
                      <w:u w:val="none"/>
                      <w:vertAlign w:val="superscript"/>
                    </w:rPr>
                    <w:t>-6</w:t>
                  </w:r>
                </w:p>
              </w:tc>
            </w:tr>
            <w:tr w14:paraId="0AF6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31EC9FE2">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5</w:t>
                  </w:r>
                </w:p>
              </w:tc>
              <w:tc>
                <w:tcPr>
                  <w:tcW w:w="485" w:type="pct"/>
                  <w:noWrap w:val="0"/>
                  <w:vAlign w:val="center"/>
                </w:tcPr>
                <w:p w14:paraId="4A3C8EE2">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总汞</w:t>
                  </w:r>
                </w:p>
              </w:tc>
              <w:tc>
                <w:tcPr>
                  <w:tcW w:w="2305" w:type="pct"/>
                  <w:noWrap w:val="0"/>
                  <w:vAlign w:val="center"/>
                </w:tcPr>
                <w:p w14:paraId="7227CB44">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5.1 原子荧光法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70582D2C">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lang w:bidi="ar"/>
                    </w:rPr>
                    <w:t>AFS-9530</w:t>
                  </w:r>
                  <w:r>
                    <w:rPr>
                      <w:rFonts w:ascii="Times New Roman" w:hAnsi="Times New Roman" w:eastAsia="宋体" w:cs="Times New Roman"/>
                      <w:color w:val="auto"/>
                      <w:kern w:val="0"/>
                      <w:sz w:val="21"/>
                      <w:szCs w:val="21"/>
                      <w:highlight w:val="none"/>
                      <w:u w:val="none"/>
                    </w:rPr>
                    <w:t>原子荧光光度计</w:t>
                  </w:r>
                </w:p>
              </w:tc>
              <w:tc>
                <w:tcPr>
                  <w:tcW w:w="771" w:type="pct"/>
                  <w:noWrap w:val="0"/>
                  <w:vAlign w:val="center"/>
                </w:tcPr>
                <w:p w14:paraId="3F580E6D">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0.002×10</w:t>
                  </w:r>
                  <w:r>
                    <w:rPr>
                      <w:rFonts w:ascii="Times New Roman" w:hAnsi="Times New Roman" w:eastAsia="宋体" w:cs="Times New Roman"/>
                      <w:color w:val="auto"/>
                      <w:sz w:val="21"/>
                      <w:szCs w:val="21"/>
                      <w:highlight w:val="none"/>
                      <w:u w:val="none"/>
                      <w:vertAlign w:val="superscript"/>
                    </w:rPr>
                    <w:t>-6</w:t>
                  </w:r>
                </w:p>
              </w:tc>
            </w:tr>
            <w:tr w14:paraId="7B39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4AF79B03">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6</w:t>
                  </w:r>
                </w:p>
              </w:tc>
              <w:tc>
                <w:tcPr>
                  <w:tcW w:w="485" w:type="pct"/>
                  <w:noWrap w:val="0"/>
                  <w:vAlign w:val="center"/>
                </w:tcPr>
                <w:p w14:paraId="03613578">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砷</w:t>
                  </w:r>
                </w:p>
              </w:tc>
              <w:tc>
                <w:tcPr>
                  <w:tcW w:w="2305" w:type="pct"/>
                  <w:noWrap w:val="0"/>
                  <w:vAlign w:val="center"/>
                </w:tcPr>
                <w:p w14:paraId="6E8D09A5">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11.1原子荧光法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15FD2EBD">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sz w:val="21"/>
                      <w:szCs w:val="21"/>
                      <w:highlight w:val="none"/>
                      <w:u w:val="none"/>
                      <w:lang w:bidi="ar"/>
                    </w:rPr>
                    <w:t>AFS-9530</w:t>
                  </w:r>
                  <w:r>
                    <w:rPr>
                      <w:rFonts w:ascii="Times New Roman" w:hAnsi="Times New Roman" w:eastAsia="宋体" w:cs="Times New Roman"/>
                      <w:color w:val="auto"/>
                      <w:kern w:val="0"/>
                      <w:sz w:val="21"/>
                      <w:szCs w:val="21"/>
                      <w:highlight w:val="none"/>
                      <w:u w:val="none"/>
                    </w:rPr>
                    <w:t>原子荧光光度计</w:t>
                  </w:r>
                </w:p>
              </w:tc>
              <w:tc>
                <w:tcPr>
                  <w:tcW w:w="771" w:type="pct"/>
                  <w:noWrap w:val="0"/>
                  <w:vAlign w:val="center"/>
                </w:tcPr>
                <w:p w14:paraId="5470AD39">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0.2×10</w:t>
                  </w:r>
                  <w:r>
                    <w:rPr>
                      <w:rFonts w:ascii="Times New Roman" w:hAnsi="Times New Roman" w:eastAsia="宋体" w:cs="Times New Roman"/>
                      <w:color w:val="auto"/>
                      <w:sz w:val="21"/>
                      <w:szCs w:val="21"/>
                      <w:highlight w:val="none"/>
                      <w:u w:val="none"/>
                      <w:vertAlign w:val="superscript"/>
                    </w:rPr>
                    <w:t>-6</w:t>
                  </w:r>
                </w:p>
              </w:tc>
            </w:tr>
            <w:tr w14:paraId="78AA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75F2D996">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7</w:t>
                  </w:r>
                </w:p>
              </w:tc>
              <w:tc>
                <w:tcPr>
                  <w:tcW w:w="485" w:type="pct"/>
                  <w:noWrap w:val="0"/>
                  <w:vAlign w:val="center"/>
                </w:tcPr>
                <w:p w14:paraId="289EA268">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铬</w:t>
                  </w:r>
                </w:p>
              </w:tc>
              <w:tc>
                <w:tcPr>
                  <w:tcW w:w="2305" w:type="pct"/>
                  <w:noWrap w:val="0"/>
                  <w:vAlign w:val="center"/>
                </w:tcPr>
                <w:p w14:paraId="544EC337">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10.1无火焰原子吸收分光光度法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587CF715">
                  <w:pPr>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lang w:bidi="ar"/>
                    </w:rPr>
                    <w:t>A3AFG-12</w:t>
                  </w:r>
                  <w:r>
                    <w:rPr>
                      <w:rFonts w:ascii="Times New Roman" w:hAnsi="Times New Roman" w:eastAsia="宋体" w:cs="Times New Roman"/>
                      <w:color w:val="auto"/>
                      <w:kern w:val="0"/>
                      <w:sz w:val="21"/>
                      <w:szCs w:val="21"/>
                      <w:highlight w:val="none"/>
                      <w:u w:val="none"/>
                    </w:rPr>
                    <w:t>原子吸收分光光度计</w:t>
                  </w:r>
                </w:p>
              </w:tc>
              <w:tc>
                <w:tcPr>
                  <w:tcW w:w="771" w:type="pct"/>
                  <w:noWrap w:val="0"/>
                  <w:vAlign w:val="center"/>
                </w:tcPr>
                <w:p w14:paraId="6F9DEB7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0.04×10</w:t>
                  </w:r>
                  <w:r>
                    <w:rPr>
                      <w:rFonts w:ascii="Times New Roman" w:hAnsi="Times New Roman" w:eastAsia="宋体" w:cs="Times New Roman"/>
                      <w:color w:val="auto"/>
                      <w:sz w:val="21"/>
                      <w:szCs w:val="21"/>
                      <w:highlight w:val="none"/>
                      <w:u w:val="none"/>
                      <w:vertAlign w:val="superscript"/>
                    </w:rPr>
                    <w:t>-6</w:t>
                  </w:r>
                </w:p>
              </w:tc>
            </w:tr>
            <w:tr w14:paraId="5CD8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58" w:type="pct"/>
                  <w:noWrap w:val="0"/>
                  <w:vAlign w:val="center"/>
                </w:tcPr>
                <w:p w14:paraId="0B3CF22C">
                  <w:pPr>
                    <w:widowControl/>
                    <w:adjustRightInd/>
                    <w:spacing w:line="240" w:lineRule="auto"/>
                    <w:ind w:firstLine="0" w:firstLineChars="0"/>
                    <w:jc w:val="center"/>
                    <w:textAlignment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8</w:t>
                  </w:r>
                </w:p>
              </w:tc>
              <w:tc>
                <w:tcPr>
                  <w:tcW w:w="485" w:type="pct"/>
                  <w:noWrap w:val="0"/>
                  <w:vAlign w:val="center"/>
                </w:tcPr>
                <w:p w14:paraId="2FF6410C">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石油烃</w:t>
                  </w:r>
                </w:p>
              </w:tc>
              <w:tc>
                <w:tcPr>
                  <w:tcW w:w="2305" w:type="pct"/>
                  <w:noWrap w:val="0"/>
                  <w:vAlign w:val="center"/>
                </w:tcPr>
                <w:p w14:paraId="640EFE26">
                  <w:pPr>
                    <w:widowControl/>
                    <w:adjustRightInd/>
                    <w:spacing w:line="240" w:lineRule="auto"/>
                    <w:ind w:firstLine="0" w:firstLineChars="0"/>
                    <w:jc w:val="center"/>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《海洋监测规范 第6部分：生物体分析》GB17378.6-2007</w:t>
                  </w:r>
                  <w:r>
                    <w:rPr>
                      <w:rFonts w:hint="eastAsia" w:ascii="Times New Roman" w:hAnsi="Times New Roman" w:eastAsia="宋体" w:cs="Times New Roman"/>
                      <w:color w:val="auto"/>
                      <w:kern w:val="0"/>
                      <w:sz w:val="21"/>
                      <w:szCs w:val="21"/>
                      <w:highlight w:val="none"/>
                      <w:u w:val="none"/>
                    </w:rPr>
                    <w:t>（</w:t>
                  </w:r>
                  <w:r>
                    <w:rPr>
                      <w:rFonts w:ascii="Times New Roman" w:hAnsi="Times New Roman" w:eastAsia="宋体" w:cs="Times New Roman"/>
                      <w:color w:val="auto"/>
                      <w:kern w:val="0"/>
                      <w:sz w:val="21"/>
                      <w:szCs w:val="21"/>
                      <w:highlight w:val="none"/>
                      <w:u w:val="none"/>
                    </w:rPr>
                    <w:t>13 荧光分光光度法</w:t>
                  </w:r>
                  <w:r>
                    <w:rPr>
                      <w:rFonts w:hint="eastAsia" w:ascii="Times New Roman" w:hAnsi="Times New Roman" w:eastAsia="宋体" w:cs="Times New Roman"/>
                      <w:color w:val="auto"/>
                      <w:kern w:val="0"/>
                      <w:sz w:val="21"/>
                      <w:szCs w:val="21"/>
                      <w:highlight w:val="none"/>
                      <w:u w:val="none"/>
                    </w:rPr>
                    <w:t>）</w:t>
                  </w:r>
                </w:p>
              </w:tc>
              <w:tc>
                <w:tcPr>
                  <w:tcW w:w="1080" w:type="pct"/>
                  <w:noWrap w:val="0"/>
                  <w:vAlign w:val="center"/>
                </w:tcPr>
                <w:p w14:paraId="753742F3">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F97XP荧光分光光度计</w:t>
                  </w:r>
                </w:p>
              </w:tc>
              <w:tc>
                <w:tcPr>
                  <w:tcW w:w="771" w:type="pct"/>
                  <w:noWrap w:val="0"/>
                  <w:vAlign w:val="center"/>
                </w:tcPr>
                <w:p w14:paraId="2C00DFDA">
                  <w:pPr>
                    <w:adjustRightInd/>
                    <w:spacing w:line="240" w:lineRule="auto"/>
                    <w:ind w:firstLine="0" w:firstLineChars="0"/>
                    <w:jc w:val="center"/>
                    <w:rPr>
                      <w:rFonts w:ascii="Times New Roman" w:hAnsi="Times New Roman" w:eastAsia="宋体" w:cs="Times New Roman"/>
                      <w:color w:val="auto"/>
                      <w:sz w:val="21"/>
                      <w:szCs w:val="21"/>
                      <w:highlight w:val="none"/>
                      <w:u w:val="none"/>
                    </w:rPr>
                  </w:pPr>
                  <w:r>
                    <w:rPr>
                      <w:rFonts w:ascii="Times New Roman" w:hAnsi="Times New Roman" w:eastAsia="宋体" w:cs="Times New Roman"/>
                      <w:color w:val="auto"/>
                      <w:sz w:val="21"/>
                      <w:szCs w:val="21"/>
                      <w:highlight w:val="none"/>
                      <w:u w:val="none"/>
                    </w:rPr>
                    <w:t>0.2×10</w:t>
                  </w:r>
                  <w:r>
                    <w:rPr>
                      <w:rFonts w:ascii="Times New Roman" w:hAnsi="Times New Roman" w:eastAsia="宋体" w:cs="Times New Roman"/>
                      <w:color w:val="auto"/>
                      <w:sz w:val="21"/>
                      <w:szCs w:val="21"/>
                      <w:highlight w:val="none"/>
                      <w:u w:val="none"/>
                      <w:vertAlign w:val="superscript"/>
                    </w:rPr>
                    <w:t>-6</w:t>
                  </w:r>
                </w:p>
              </w:tc>
            </w:tr>
          </w:tbl>
          <w:p w14:paraId="740EB83B">
            <w:pPr>
              <w:pStyle w:val="9"/>
              <w:rPr>
                <w:rFonts w:hint="default" w:ascii="Times New Roman" w:hAnsi="Times New Roman" w:eastAsia="宋体" w:cs="Times New Roman"/>
                <w:b/>
                <w:bCs/>
                <w:color w:val="auto"/>
                <w:kern w:val="2"/>
                <w:sz w:val="21"/>
                <w:szCs w:val="21"/>
                <w:highlight w:val="none"/>
                <w:u w:val="none"/>
                <w:lang w:val="en-US" w:eastAsia="zh-CN" w:bidi="ar-SA"/>
              </w:rPr>
            </w:pPr>
          </w:p>
          <w:p w14:paraId="5D1D7A32">
            <w:pPr>
              <w:numPr>
                <w:ilvl w:val="0"/>
                <w:numId w:val="11"/>
              </w:numPr>
              <w:spacing w:line="360" w:lineRule="auto"/>
              <w:ind w:firstLine="480" w:firstLineChars="200"/>
              <w:textAlignment w:val="baseline"/>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 xml:space="preserve"> 评价方法</w:t>
            </w:r>
          </w:p>
          <w:p w14:paraId="4E8E6649">
            <w:pPr>
              <w:keepNext w:val="0"/>
              <w:keepLines w:val="0"/>
              <w:pageBreakBefore w:val="0"/>
              <w:kinsoku/>
              <w:wordWrap/>
              <w:overflowPunct/>
              <w:topLinePunct w:val="0"/>
              <w:bidi w:val="0"/>
              <w:adjustRightInd w:val="0"/>
              <w:snapToGrid/>
              <w:spacing w:line="360" w:lineRule="auto"/>
              <w:ind w:firstLine="480" w:firstLineChars="200"/>
              <w:textAlignment w:val="auto"/>
              <w:outlineLvl w:val="9"/>
              <w:rPr>
                <w:rFonts w:hint="eastAsia" w:ascii="宋体" w:hAnsi="宋体" w:eastAsia="宋体" w:cs="Times New Roman"/>
                <w:color w:val="auto"/>
                <w:sz w:val="24"/>
                <w:szCs w:val="21"/>
                <w:highlight w:val="none"/>
                <w:lang w:eastAsia="zh-CN"/>
              </w:rPr>
            </w:pP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1</w:t>
            </w: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rPr>
              <w:t>调查区域海水环境质量现状评价采用标准指数法进行评价。标准指数的计算公式为</w:t>
            </w:r>
            <w:r>
              <w:rPr>
                <w:rFonts w:hint="eastAsia" w:ascii="宋体" w:hAnsi="宋体" w:eastAsia="宋体" w:cs="Times New Roman"/>
                <w:color w:val="auto"/>
                <w:sz w:val="24"/>
                <w:szCs w:val="21"/>
                <w:highlight w:val="none"/>
                <w:lang w:eastAsia="zh-CN"/>
              </w:rPr>
              <w:t>：</w:t>
            </w:r>
          </w:p>
          <w:p w14:paraId="5FE92D9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ascii="宋体" w:hAnsi="宋体" w:eastAsia="宋体" w:cs="Times New Roman"/>
                <w:color w:val="auto"/>
                <w:kern w:val="0"/>
                <w:sz w:val="24"/>
                <w:szCs w:val="21"/>
                <w:highlight w:val="none"/>
              </w:rPr>
            </w:pPr>
            <w:r>
              <w:rPr>
                <w:rFonts w:ascii="Times New Roman" w:hAnsi="Times New Roman" w:eastAsia="宋体" w:cs="Times New Roman"/>
                <w:color w:val="auto"/>
                <w:szCs w:val="24"/>
                <w:highlight w:val="none"/>
              </w:rPr>
              <w:drawing>
                <wp:inline distT="0" distB="0" distL="114300" distR="114300">
                  <wp:extent cx="1170305" cy="286385"/>
                  <wp:effectExtent l="0" t="0" r="10795" b="18415"/>
                  <wp:docPr id="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5"/>
                          <pic:cNvPicPr>
                            <a:picLocks noChangeAspect="1"/>
                          </pic:cNvPicPr>
                        </pic:nvPicPr>
                        <pic:blipFill>
                          <a:blip r:embed="rId26"/>
                          <a:stretch>
                            <a:fillRect/>
                          </a:stretch>
                        </pic:blipFill>
                        <pic:spPr>
                          <a:xfrm>
                            <a:off x="0" y="0"/>
                            <a:ext cx="1170305" cy="286385"/>
                          </a:xfrm>
                          <a:prstGeom prst="rect">
                            <a:avLst/>
                          </a:prstGeom>
                          <a:noFill/>
                          <a:ln>
                            <a:noFill/>
                          </a:ln>
                        </pic:spPr>
                      </pic:pic>
                    </a:graphicData>
                  </a:graphic>
                </wp:inline>
              </w:drawing>
            </w:r>
          </w:p>
          <w:p w14:paraId="0FD2FF35">
            <w:pPr>
              <w:keepNext w:val="0"/>
              <w:keepLines w:val="0"/>
              <w:pageBreakBefore w:val="0"/>
              <w:widowControl w:val="0"/>
              <w:kinsoku/>
              <w:wordWrap/>
              <w:overflowPunct/>
              <w:topLinePunct w:val="0"/>
              <w:bidi w:val="0"/>
              <w:adjustRightInd w:val="0"/>
              <w:snapToGrid/>
              <w:spacing w:line="360" w:lineRule="auto"/>
              <w:ind w:firstLine="480" w:firstLineChars="200"/>
              <w:textAlignment w:val="auto"/>
              <w:outlineLvl w:val="9"/>
              <w:rPr>
                <w:rFonts w:ascii="宋体" w:hAnsi="宋体" w:eastAsia="宋体" w:cs="Times New Roman"/>
                <w:color w:val="auto"/>
                <w:sz w:val="24"/>
                <w:szCs w:val="21"/>
                <w:highlight w:val="none"/>
              </w:rPr>
            </w:pPr>
            <w:r>
              <w:rPr>
                <w:rFonts w:hint="eastAsia" w:ascii="宋体" w:hAnsi="宋体" w:eastAsia="宋体" w:cs="Times New Roman"/>
                <w:color w:val="auto"/>
                <w:sz w:val="24"/>
                <w:szCs w:val="21"/>
                <w:highlight w:val="none"/>
              </w:rPr>
              <w:t>式中：</w:t>
            </w:r>
            <w:r>
              <w:rPr>
                <w:rFonts w:ascii="宋体" w:hAnsi="宋体" w:eastAsia="宋体" w:cs="Times New Roman"/>
                <w:i/>
                <w:color w:val="auto"/>
                <w:sz w:val="24"/>
                <w:szCs w:val="21"/>
                <w:highlight w:val="none"/>
              </w:rPr>
              <w:t>S</w:t>
            </w:r>
            <w:r>
              <w:rPr>
                <w:rFonts w:ascii="宋体" w:hAnsi="宋体" w:eastAsia="宋体" w:cs="Times New Roman"/>
                <w:i/>
                <w:color w:val="auto"/>
                <w:sz w:val="24"/>
                <w:szCs w:val="21"/>
                <w:highlight w:val="none"/>
                <w:vertAlign w:val="subscript"/>
              </w:rPr>
              <w:t>i,j</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在</w:t>
            </w:r>
            <w:r>
              <w:rPr>
                <w:rFonts w:ascii="宋体" w:hAnsi="宋体" w:eastAsia="宋体" w:cs="Times New Roman"/>
                <w:i/>
                <w:color w:val="auto"/>
                <w:sz w:val="24"/>
                <w:szCs w:val="21"/>
                <w:highlight w:val="none"/>
              </w:rPr>
              <w:t>j</w:t>
            </w:r>
            <w:r>
              <w:rPr>
                <w:rFonts w:ascii="宋体" w:hAnsi="宋体" w:eastAsia="宋体" w:cs="Times New Roman"/>
                <w:color w:val="auto"/>
                <w:sz w:val="24"/>
                <w:szCs w:val="21"/>
                <w:highlight w:val="none"/>
              </w:rPr>
              <w:t>站位的标准指数；</w:t>
            </w:r>
          </w:p>
          <w:p w14:paraId="12C76C21">
            <w:pPr>
              <w:keepNext w:val="0"/>
              <w:keepLines w:val="0"/>
              <w:pageBreakBefore w:val="0"/>
              <w:widowControl w:val="0"/>
              <w:kinsoku/>
              <w:wordWrap/>
              <w:overflowPunct/>
              <w:topLinePunct w:val="0"/>
              <w:autoSpaceDE w:val="0"/>
              <w:autoSpaceDN w:val="0"/>
              <w:bidi w:val="0"/>
              <w:adjustRightInd w:val="0"/>
              <w:snapToGrid/>
              <w:spacing w:line="360" w:lineRule="auto"/>
              <w:ind w:firstLine="1200" w:firstLineChars="500"/>
              <w:textAlignment w:val="auto"/>
              <w:outlineLvl w:val="9"/>
              <w:rPr>
                <w:rFonts w:ascii="宋体" w:hAnsi="宋体" w:eastAsia="宋体" w:cs="Times New Roman"/>
                <w:color w:val="auto"/>
                <w:sz w:val="24"/>
                <w:szCs w:val="21"/>
                <w:highlight w:val="none"/>
              </w:rPr>
            </w:pPr>
            <w:r>
              <w:rPr>
                <w:rFonts w:ascii="宋体" w:hAnsi="宋体" w:eastAsia="宋体" w:cs="Times New Roman"/>
                <w:i/>
                <w:color w:val="auto"/>
                <w:sz w:val="24"/>
                <w:szCs w:val="21"/>
                <w:highlight w:val="none"/>
              </w:rPr>
              <w:t>c</w:t>
            </w:r>
            <w:r>
              <w:rPr>
                <w:rFonts w:ascii="宋体" w:hAnsi="宋体" w:eastAsia="宋体" w:cs="Times New Roman"/>
                <w:i/>
                <w:color w:val="auto"/>
                <w:sz w:val="24"/>
                <w:szCs w:val="21"/>
                <w:highlight w:val="none"/>
                <w:vertAlign w:val="subscript"/>
              </w:rPr>
              <w:t>i,j</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在</w:t>
            </w:r>
            <w:r>
              <w:rPr>
                <w:rFonts w:ascii="宋体" w:hAnsi="宋体" w:eastAsia="宋体" w:cs="Times New Roman"/>
                <w:i/>
                <w:color w:val="auto"/>
                <w:sz w:val="24"/>
                <w:szCs w:val="21"/>
                <w:highlight w:val="none"/>
              </w:rPr>
              <w:t>j</w:t>
            </w:r>
            <w:r>
              <w:rPr>
                <w:rFonts w:ascii="宋体" w:hAnsi="宋体" w:eastAsia="宋体" w:cs="Times New Roman"/>
                <w:color w:val="auto"/>
                <w:sz w:val="24"/>
                <w:szCs w:val="21"/>
                <w:highlight w:val="none"/>
              </w:rPr>
              <w:t>站位的实测值；</w:t>
            </w:r>
          </w:p>
          <w:p w14:paraId="427F94BD">
            <w:pPr>
              <w:keepNext w:val="0"/>
              <w:keepLines w:val="0"/>
              <w:pageBreakBefore w:val="0"/>
              <w:widowControl w:val="0"/>
              <w:kinsoku/>
              <w:wordWrap/>
              <w:overflowPunct/>
              <w:topLinePunct w:val="0"/>
              <w:autoSpaceDE w:val="0"/>
              <w:autoSpaceDN w:val="0"/>
              <w:bidi w:val="0"/>
              <w:adjustRightInd w:val="0"/>
              <w:snapToGrid/>
              <w:spacing w:line="360" w:lineRule="auto"/>
              <w:ind w:firstLine="1200" w:firstLineChars="500"/>
              <w:textAlignment w:val="auto"/>
              <w:outlineLvl w:val="9"/>
              <w:rPr>
                <w:rFonts w:ascii="宋体" w:hAnsi="宋体" w:eastAsia="宋体" w:cs="Times New Roman"/>
                <w:color w:val="auto"/>
                <w:kern w:val="0"/>
                <w:sz w:val="24"/>
                <w:szCs w:val="21"/>
                <w:highlight w:val="none"/>
              </w:rPr>
            </w:pPr>
            <w:r>
              <w:rPr>
                <w:rFonts w:ascii="宋体" w:hAnsi="宋体" w:eastAsia="宋体" w:cs="Times New Roman"/>
                <w:i/>
                <w:color w:val="auto"/>
                <w:sz w:val="24"/>
                <w:szCs w:val="21"/>
                <w:highlight w:val="none"/>
              </w:rPr>
              <w:t>c</w:t>
            </w:r>
            <w:r>
              <w:rPr>
                <w:rFonts w:ascii="宋体" w:hAnsi="宋体" w:eastAsia="宋体" w:cs="Times New Roman"/>
                <w:i/>
                <w:color w:val="auto"/>
                <w:sz w:val="24"/>
                <w:szCs w:val="21"/>
                <w:highlight w:val="none"/>
                <w:vertAlign w:val="subscript"/>
              </w:rPr>
              <w:t>si</w:t>
            </w:r>
            <w:r>
              <w:rPr>
                <w:rFonts w:ascii="宋体" w:hAnsi="宋体" w:eastAsia="宋体" w:cs="Times New Roman"/>
                <w:color w:val="auto"/>
                <w:sz w:val="24"/>
                <w:szCs w:val="21"/>
                <w:highlight w:val="none"/>
              </w:rPr>
              <w:t>—单项评价因子</w:t>
            </w:r>
            <w:r>
              <w:rPr>
                <w:rFonts w:ascii="宋体" w:hAnsi="宋体" w:eastAsia="宋体" w:cs="Times New Roman"/>
                <w:i/>
                <w:color w:val="auto"/>
                <w:sz w:val="24"/>
                <w:szCs w:val="21"/>
                <w:highlight w:val="none"/>
              </w:rPr>
              <w:t>i</w:t>
            </w:r>
            <w:r>
              <w:rPr>
                <w:rFonts w:ascii="宋体" w:hAnsi="宋体" w:eastAsia="宋体" w:cs="Times New Roman"/>
                <w:color w:val="auto"/>
                <w:sz w:val="24"/>
                <w:szCs w:val="21"/>
                <w:highlight w:val="none"/>
              </w:rPr>
              <w:t>的评价标准值。</w:t>
            </w:r>
          </w:p>
          <w:p w14:paraId="69EE61F1">
            <w:pPr>
              <w:keepNext w:val="0"/>
              <w:keepLines w:val="0"/>
              <w:pageBreakBefore w:val="0"/>
              <w:widowControl w:val="0"/>
              <w:kinsoku/>
              <w:wordWrap/>
              <w:overflowPunct/>
              <w:topLinePunct w:val="0"/>
              <w:bidi w:val="0"/>
              <w:adjustRightInd w:val="0"/>
              <w:snapToGrid/>
              <w:spacing w:line="360" w:lineRule="auto"/>
              <w:ind w:firstLine="480" w:firstLineChars="200"/>
              <w:textAlignment w:val="auto"/>
              <w:outlineLvl w:val="9"/>
              <w:rPr>
                <w:rFonts w:ascii="宋体" w:hAnsi="宋体" w:eastAsia="宋体" w:cs="Times New Roman"/>
                <w:color w:val="auto"/>
                <w:kern w:val="0"/>
                <w:sz w:val="24"/>
                <w:szCs w:val="21"/>
                <w:highlight w:val="none"/>
              </w:rPr>
            </w:pP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2</w:t>
            </w:r>
            <w:r>
              <w:rPr>
                <w:rFonts w:hint="eastAsia" w:ascii="宋体" w:hAnsi="宋体" w:eastAsia="宋体" w:cs="Times New Roman"/>
                <w:color w:val="auto"/>
                <w:sz w:val="24"/>
                <w:szCs w:val="21"/>
                <w:highlight w:val="none"/>
                <w:lang w:eastAsia="zh-CN"/>
              </w:rPr>
              <w:t>）</w:t>
            </w:r>
            <w:r>
              <w:rPr>
                <w:rFonts w:hint="eastAsia" w:ascii="宋体" w:hAnsi="宋体" w:eastAsia="宋体" w:cs="Times New Roman"/>
                <w:color w:val="auto"/>
                <w:sz w:val="24"/>
                <w:szCs w:val="21"/>
                <w:highlight w:val="none"/>
                <w:lang w:val="en-US" w:eastAsia="zh-CN"/>
              </w:rPr>
              <w:t>对于</w:t>
            </w:r>
            <w:r>
              <w:rPr>
                <w:rFonts w:hint="eastAsia" w:ascii="宋体" w:hAnsi="宋体" w:eastAsia="宋体" w:cs="Times New Roman"/>
                <w:color w:val="auto"/>
                <w:sz w:val="24"/>
                <w:szCs w:val="21"/>
                <w:highlight w:val="none"/>
              </w:rPr>
              <w:t>溶解氧（</w:t>
            </w:r>
            <w:r>
              <w:rPr>
                <w:rFonts w:ascii="宋体" w:hAnsi="宋体" w:eastAsia="宋体" w:cs="Times New Roman"/>
                <w:color w:val="auto"/>
                <w:sz w:val="24"/>
                <w:szCs w:val="21"/>
                <w:highlight w:val="none"/>
              </w:rPr>
              <w:t>DO</w:t>
            </w:r>
            <w:r>
              <w:rPr>
                <w:rFonts w:hint="eastAsia" w:ascii="宋体" w:hAnsi="宋体" w:eastAsia="宋体" w:cs="Times New Roman"/>
                <w:color w:val="auto"/>
                <w:sz w:val="24"/>
                <w:szCs w:val="21"/>
                <w:highlight w:val="none"/>
              </w:rPr>
              <w:t>），其标准指数采用下式计算：</w:t>
            </w:r>
          </w:p>
          <w:p w14:paraId="73516C43">
            <w:pPr>
              <w:autoSpaceDE w:val="0"/>
              <w:autoSpaceDN w:val="0"/>
              <w:adjustRightInd w:val="0"/>
              <w:spacing w:line="360" w:lineRule="auto"/>
              <w:ind w:firstLine="480" w:firstLineChars="200"/>
              <w:jc w:val="center"/>
              <w:rPr>
                <w:rFonts w:ascii="Times New Roman" w:hAnsi="Times New Roman" w:eastAsia="宋体" w:cs="Times New Roman"/>
                <w:color w:val="auto"/>
                <w:kern w:val="0"/>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3028315" cy="914400"/>
                  <wp:effectExtent l="0" t="0" r="635" b="0"/>
                  <wp:docPr id="1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pic:cNvPicPr>
                            <a:picLocks noChangeAspect="1"/>
                          </pic:cNvPicPr>
                        </pic:nvPicPr>
                        <pic:blipFill>
                          <a:blip r:embed="rId27"/>
                          <a:stretch>
                            <a:fillRect/>
                          </a:stretch>
                        </pic:blipFill>
                        <pic:spPr>
                          <a:xfrm>
                            <a:off x="0" y="0"/>
                            <a:ext cx="3028315" cy="914400"/>
                          </a:xfrm>
                          <a:prstGeom prst="rect">
                            <a:avLst/>
                          </a:prstGeom>
                          <a:noFill/>
                          <a:ln>
                            <a:noFill/>
                          </a:ln>
                        </pic:spPr>
                      </pic:pic>
                    </a:graphicData>
                  </a:graphic>
                </wp:inline>
              </w:drawing>
            </w:r>
          </w:p>
          <w:p w14:paraId="4F5B50E7">
            <w:pPr>
              <w:autoSpaceDE w:val="0"/>
              <w:autoSpaceDN w:val="0"/>
              <w:adjustRightInd w:val="0"/>
              <w:spacing w:line="360" w:lineRule="auto"/>
              <w:ind w:firstLine="480" w:firstLineChars="200"/>
              <w:rPr>
                <w:rFonts w:ascii="Times New Roman" w:hAnsi="Times New Roman" w:eastAsia="宋体" w:cs="Times New Roman"/>
                <w:color w:val="auto"/>
                <w:kern w:val="0"/>
                <w:sz w:val="24"/>
                <w:szCs w:val="21"/>
                <w:highlight w:val="none"/>
              </w:rPr>
            </w:pPr>
            <w:r>
              <w:rPr>
                <w:rFonts w:ascii="Times New Roman" w:hAnsi="Times New Roman" w:eastAsia="宋体" w:cs="Times New Roman"/>
                <w:color w:val="auto"/>
                <w:kern w:val="0"/>
                <w:sz w:val="24"/>
                <w:szCs w:val="21"/>
                <w:highlight w:val="none"/>
              </w:rPr>
              <w:t>式中：</w:t>
            </w:r>
            <w:r>
              <w:rPr>
                <w:rFonts w:ascii="Times New Roman" w:hAnsi="Times New Roman" w:eastAsia="宋体" w:cs="Times New Roman"/>
                <w:i/>
                <w:color w:val="auto"/>
                <w:sz w:val="24"/>
                <w:szCs w:val="21"/>
                <w:highlight w:val="none"/>
              </w:rPr>
              <w:t>S</w:t>
            </w:r>
            <w:r>
              <w:rPr>
                <w:rFonts w:ascii="Times New Roman" w:hAnsi="Times New Roman" w:eastAsia="宋体" w:cs="Times New Roman"/>
                <w:i/>
                <w:color w:val="auto"/>
                <w:sz w:val="24"/>
                <w:szCs w:val="21"/>
                <w:highlight w:val="none"/>
                <w:vertAlign w:val="subscript"/>
              </w:rPr>
              <w:t>DO,j</w:t>
            </w:r>
            <w:r>
              <w:rPr>
                <w:rFonts w:ascii="Times New Roman" w:hAnsi="Times New Roman" w:eastAsia="宋体" w:cs="Times New Roman"/>
                <w:color w:val="auto"/>
                <w:kern w:val="0"/>
                <w:sz w:val="24"/>
                <w:szCs w:val="21"/>
                <w:highlight w:val="none"/>
              </w:rPr>
              <w:t>—</w:t>
            </w:r>
            <w:r>
              <w:rPr>
                <w:rFonts w:ascii="Times New Roman" w:hAnsi="Times New Roman" w:eastAsia="宋体" w:cs="Times New Roman"/>
                <w:i/>
                <w:color w:val="auto"/>
                <w:kern w:val="0"/>
                <w:sz w:val="24"/>
                <w:szCs w:val="21"/>
                <w:highlight w:val="none"/>
              </w:rPr>
              <w:t>j</w:t>
            </w:r>
            <w:r>
              <w:rPr>
                <w:rFonts w:ascii="Times New Roman" w:hAnsi="Times New Roman" w:eastAsia="宋体" w:cs="Times New Roman"/>
                <w:color w:val="auto"/>
                <w:kern w:val="0"/>
                <w:sz w:val="24"/>
                <w:szCs w:val="21"/>
                <w:highlight w:val="none"/>
              </w:rPr>
              <w:t>站位的DO标准指数；</w:t>
            </w:r>
          </w:p>
          <w:p w14:paraId="530CA068">
            <w:pPr>
              <w:autoSpaceDE w:val="0"/>
              <w:autoSpaceDN w:val="0"/>
              <w:adjustRightInd w:val="0"/>
              <w:spacing w:line="360" w:lineRule="auto"/>
              <w:ind w:firstLine="480" w:firstLineChars="200"/>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--现场水温及盐度条件下，水样中氧的饱和含量</w:t>
            </w:r>
            <w:r>
              <w:rPr>
                <w:rFonts w:hint="eastAsia" w:ascii="Times New Roman" w:hAnsi="Times New Roman" w:eastAsia="宋体" w:cs="Times New Roman"/>
                <w:color w:val="auto"/>
                <w:kern w:val="0"/>
                <w:sz w:val="24"/>
                <w:szCs w:val="21"/>
                <w:highlight w:val="none"/>
                <w:lang w:eastAsia="zh-CN"/>
              </w:rPr>
              <w:t>（</w:t>
            </w:r>
            <w:r>
              <w:rPr>
                <w:rFonts w:ascii="Times New Roman" w:hAnsi="Times New Roman" w:eastAsia="宋体" w:cs="Times New Roman"/>
                <w:color w:val="auto"/>
                <w:kern w:val="0"/>
                <w:sz w:val="24"/>
                <w:szCs w:val="21"/>
                <w:highlight w:val="none"/>
              </w:rPr>
              <w:t>mg/L</w:t>
            </w:r>
            <w:r>
              <w:rPr>
                <w:rFonts w:hint="eastAsia" w:ascii="Times New Roman" w:hAnsi="Times New Roman" w:eastAsia="宋体" w:cs="Times New Roman"/>
                <w:color w:val="auto"/>
                <w:kern w:val="0"/>
                <w:sz w:val="24"/>
                <w:szCs w:val="21"/>
                <w:highlight w:val="none"/>
                <w:lang w:eastAsia="zh-CN"/>
              </w:rPr>
              <w:t>）</w:t>
            </w:r>
            <w:r>
              <w:rPr>
                <w:rFonts w:ascii="Times New Roman" w:hAnsi="Times New Roman" w:eastAsia="宋体" w:cs="Times New Roman"/>
                <w:color w:val="auto"/>
                <w:kern w:val="0"/>
                <w:sz w:val="24"/>
                <w:szCs w:val="21"/>
                <w:highlight w:val="none"/>
              </w:rPr>
              <w:t>，一般采用的计算公式是：</w:t>
            </w: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=468/（31.6＋T），对于盐度较高的河口及近岸海域，计算公式为</w:t>
            </w: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f</w:t>
            </w:r>
            <w:r>
              <w:rPr>
                <w:rFonts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491-2.65S</w:t>
            </w:r>
            <w:r>
              <w:rPr>
                <w:rFonts w:hint="eastAsia" w:ascii="Times New Roman" w:hAnsi="Times New Roman" w:eastAsia="宋体" w:cs="Times New Roman"/>
                <w:color w:val="auto"/>
                <w:kern w:val="0"/>
                <w:sz w:val="24"/>
                <w:szCs w:val="21"/>
                <w:highlight w:val="none"/>
                <w:lang w:eastAsia="zh-CN"/>
              </w:rPr>
              <w:t>）</w:t>
            </w:r>
            <w:r>
              <w:rPr>
                <w:rFonts w:hint="eastAsia" w:ascii="Times New Roman" w:hAnsi="Times New Roman" w:eastAsia="宋体" w:cs="Times New Roman"/>
                <w:color w:val="auto"/>
                <w:kern w:val="0"/>
                <w:sz w:val="24"/>
                <w:szCs w:val="21"/>
                <w:highlight w:val="none"/>
                <w:lang w:val="en-US" w:eastAsia="zh-CN"/>
              </w:rPr>
              <w:t>/（33.5+T）</w:t>
            </w:r>
            <w:r>
              <w:rPr>
                <w:rFonts w:ascii="Times New Roman" w:hAnsi="Times New Roman" w:eastAsia="宋体" w:cs="Times New Roman"/>
                <w:color w:val="auto"/>
                <w:sz w:val="24"/>
                <w:szCs w:val="21"/>
                <w:highlight w:val="none"/>
              </w:rPr>
              <w:t>，</w:t>
            </w:r>
            <w:r>
              <w:rPr>
                <w:rFonts w:ascii="Times New Roman" w:hAnsi="Times New Roman" w:eastAsia="宋体" w:cs="Times New Roman"/>
                <w:color w:val="auto"/>
                <w:kern w:val="0"/>
                <w:sz w:val="24"/>
                <w:szCs w:val="21"/>
                <w:highlight w:val="none"/>
              </w:rPr>
              <w:t>式中T为水温（℃）；</w:t>
            </w:r>
          </w:p>
          <w:p w14:paraId="1C504403">
            <w:pPr>
              <w:tabs>
                <w:tab w:val="left" w:pos="6735"/>
              </w:tabs>
              <w:autoSpaceDE w:val="0"/>
              <w:autoSpaceDN w:val="0"/>
              <w:adjustRightInd w:val="0"/>
              <w:spacing w:line="360" w:lineRule="auto"/>
              <w:ind w:firstLine="660" w:firstLineChars="275"/>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j</w:t>
            </w:r>
            <w:r>
              <w:rPr>
                <w:rFonts w:ascii="Times New Roman" w:hAnsi="Times New Roman" w:eastAsia="宋体" w:cs="Times New Roman"/>
                <w:color w:val="auto"/>
                <w:kern w:val="0"/>
                <w:sz w:val="24"/>
                <w:szCs w:val="21"/>
                <w:highlight w:val="none"/>
              </w:rPr>
              <w:t>—</w:t>
            </w:r>
            <w:r>
              <w:rPr>
                <w:rFonts w:ascii="Times New Roman" w:hAnsi="Times New Roman" w:eastAsia="宋体" w:cs="Times New Roman"/>
                <w:i/>
                <w:color w:val="auto"/>
                <w:kern w:val="0"/>
                <w:sz w:val="24"/>
                <w:szCs w:val="21"/>
                <w:highlight w:val="none"/>
              </w:rPr>
              <w:t>j</w:t>
            </w:r>
            <w:r>
              <w:rPr>
                <w:rFonts w:ascii="Times New Roman" w:hAnsi="Times New Roman" w:eastAsia="宋体" w:cs="Times New Roman"/>
                <w:color w:val="auto"/>
                <w:kern w:val="0"/>
                <w:sz w:val="24"/>
                <w:szCs w:val="21"/>
                <w:highlight w:val="none"/>
              </w:rPr>
              <w:t>站位的DO实测值；</w:t>
            </w:r>
          </w:p>
          <w:p w14:paraId="31833AA3">
            <w:pPr>
              <w:tabs>
                <w:tab w:val="left" w:pos="6735"/>
              </w:tabs>
              <w:autoSpaceDE w:val="0"/>
              <w:autoSpaceDN w:val="0"/>
              <w:adjustRightInd w:val="0"/>
              <w:spacing w:line="360" w:lineRule="auto"/>
              <w:ind w:firstLine="660" w:firstLineChars="275"/>
              <w:rPr>
                <w:rFonts w:ascii="Times New Roman" w:hAnsi="Times New Roman" w:eastAsia="宋体" w:cs="Times New Roman"/>
                <w:color w:val="auto"/>
                <w:kern w:val="0"/>
                <w:sz w:val="24"/>
                <w:szCs w:val="21"/>
                <w:highlight w:val="none"/>
              </w:rPr>
            </w:pPr>
            <w:r>
              <w:rPr>
                <w:rFonts w:ascii="Times New Roman" w:hAnsi="Times New Roman" w:eastAsia="宋体" w:cs="Times New Roman"/>
                <w:i/>
                <w:color w:val="auto"/>
                <w:kern w:val="0"/>
                <w:sz w:val="24"/>
                <w:szCs w:val="21"/>
                <w:highlight w:val="none"/>
              </w:rPr>
              <w:t>DO</w:t>
            </w:r>
            <w:r>
              <w:rPr>
                <w:rFonts w:ascii="Times New Roman" w:hAnsi="Times New Roman" w:eastAsia="宋体" w:cs="Times New Roman"/>
                <w:i/>
                <w:color w:val="auto"/>
                <w:kern w:val="0"/>
                <w:sz w:val="24"/>
                <w:szCs w:val="21"/>
                <w:highlight w:val="none"/>
                <w:vertAlign w:val="subscript"/>
              </w:rPr>
              <w:t>s</w:t>
            </w:r>
            <w:r>
              <w:rPr>
                <w:rFonts w:ascii="Times New Roman" w:hAnsi="Times New Roman" w:eastAsia="宋体" w:cs="Times New Roman"/>
                <w:color w:val="auto"/>
                <w:kern w:val="0"/>
                <w:sz w:val="24"/>
                <w:szCs w:val="21"/>
                <w:highlight w:val="none"/>
              </w:rPr>
              <w:t>—DO的评价标准值。</w:t>
            </w:r>
          </w:p>
          <w:p w14:paraId="39CFC781">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Cambria Math" w:hAnsi="Cambria Math" w:eastAsia="宋体" w:cs="Cambria Math"/>
                <w:color w:val="auto"/>
                <w:sz w:val="24"/>
                <w:szCs w:val="21"/>
                <w:highlight w:val="none"/>
              </w:rPr>
              <w:t>③</w:t>
            </w:r>
            <w:r>
              <w:rPr>
                <w:rFonts w:ascii="Times New Roman" w:hAnsi="Times New Roman" w:eastAsia="宋体" w:cs="Times New Roman"/>
                <w:color w:val="auto"/>
                <w:sz w:val="24"/>
                <w:szCs w:val="21"/>
                <w:highlight w:val="none"/>
              </w:rPr>
              <w:t>pH</w:t>
            </w:r>
          </w:p>
          <w:p w14:paraId="50332178">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pH有其特殊性，它的评价标准值为7.8～8.5和6.8～8.8，计算式为：</w:t>
            </w:r>
          </w:p>
          <w:p w14:paraId="6121F051">
            <w:pPr>
              <w:adjustRightInd w:val="0"/>
              <w:spacing w:line="360" w:lineRule="auto"/>
              <w:ind w:firstLine="480" w:firstLineChars="200"/>
              <w:jc w:val="center"/>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1020445" cy="361315"/>
                  <wp:effectExtent l="0" t="0" r="8255" b="635"/>
                  <wp:docPr id="1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7"/>
                          <pic:cNvPicPr>
                            <a:picLocks noChangeAspect="1"/>
                          </pic:cNvPicPr>
                        </pic:nvPicPr>
                        <pic:blipFill>
                          <a:blip r:embed="rId28"/>
                          <a:stretch>
                            <a:fillRect/>
                          </a:stretch>
                        </pic:blipFill>
                        <pic:spPr>
                          <a:xfrm>
                            <a:off x="0" y="0"/>
                            <a:ext cx="1020445" cy="361315"/>
                          </a:xfrm>
                          <a:prstGeom prst="rect">
                            <a:avLst/>
                          </a:prstGeom>
                          <a:noFill/>
                          <a:ln>
                            <a:noFill/>
                          </a:ln>
                        </pic:spPr>
                      </pic:pic>
                    </a:graphicData>
                  </a:graphic>
                </wp:inline>
              </w:drawing>
            </w:r>
            <w:r>
              <w:rPr>
                <w:rFonts w:ascii="Times New Roman" w:hAnsi="Times New Roman" w:eastAsia="宋体" w:cs="Times New Roman"/>
                <w:color w:val="auto"/>
                <w:sz w:val="24"/>
                <w:szCs w:val="21"/>
                <w:highlight w:val="none"/>
              </w:rPr>
              <w:drawing>
                <wp:inline distT="0" distB="0" distL="114300" distR="114300">
                  <wp:extent cx="616585" cy="201930"/>
                  <wp:effectExtent l="0" t="0" r="12065" b="6350"/>
                  <wp:docPr id="1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8"/>
                          <pic:cNvPicPr>
                            <a:picLocks noChangeAspect="1"/>
                          </pic:cNvPicPr>
                        </pic:nvPicPr>
                        <pic:blipFill>
                          <a:blip r:embed="rId29"/>
                          <a:stretch>
                            <a:fillRect/>
                          </a:stretch>
                        </pic:blipFill>
                        <pic:spPr>
                          <a:xfrm>
                            <a:off x="0" y="0"/>
                            <a:ext cx="616585" cy="201930"/>
                          </a:xfrm>
                          <a:prstGeom prst="rect">
                            <a:avLst/>
                          </a:prstGeom>
                          <a:noFill/>
                          <a:ln>
                            <a:noFill/>
                          </a:ln>
                        </pic:spPr>
                      </pic:pic>
                    </a:graphicData>
                  </a:graphic>
                </wp:inline>
              </w:drawing>
            </w:r>
          </w:p>
          <w:p w14:paraId="1548D857">
            <w:pPr>
              <w:adjustRightInd w:val="0"/>
              <w:spacing w:line="360" w:lineRule="auto"/>
              <w:ind w:firstLine="480" w:firstLineChars="200"/>
              <w:jc w:val="center"/>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drawing>
                <wp:inline distT="0" distB="0" distL="114300" distR="114300">
                  <wp:extent cx="1233170" cy="425450"/>
                  <wp:effectExtent l="0" t="0" r="0" b="12700"/>
                  <wp:docPr id="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9"/>
                          <pic:cNvPicPr>
                            <a:picLocks noChangeAspect="1"/>
                          </pic:cNvPicPr>
                        </pic:nvPicPr>
                        <pic:blipFill>
                          <a:blip r:embed="rId30"/>
                          <a:stretch>
                            <a:fillRect/>
                          </a:stretch>
                        </pic:blipFill>
                        <pic:spPr>
                          <a:xfrm>
                            <a:off x="0" y="0"/>
                            <a:ext cx="1233170" cy="425450"/>
                          </a:xfrm>
                          <a:prstGeom prst="rect">
                            <a:avLst/>
                          </a:prstGeom>
                          <a:noFill/>
                          <a:ln>
                            <a:noFill/>
                          </a:ln>
                        </pic:spPr>
                      </pic:pic>
                    </a:graphicData>
                  </a:graphic>
                </wp:inline>
              </w:drawing>
            </w:r>
            <w:r>
              <w:rPr>
                <w:rFonts w:ascii="Times New Roman" w:hAnsi="Times New Roman" w:eastAsia="宋体" w:cs="Times New Roman"/>
                <w:color w:val="auto"/>
                <w:sz w:val="24"/>
                <w:szCs w:val="21"/>
                <w:highlight w:val="none"/>
              </w:rPr>
              <w:drawing>
                <wp:inline distT="0" distB="0" distL="114300" distR="114300">
                  <wp:extent cx="616585" cy="201930"/>
                  <wp:effectExtent l="0" t="0" r="12065" b="6350"/>
                  <wp:docPr id="1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0"/>
                          <pic:cNvPicPr>
                            <a:picLocks noChangeAspect="1"/>
                          </pic:cNvPicPr>
                        </pic:nvPicPr>
                        <pic:blipFill>
                          <a:blip r:embed="rId31"/>
                          <a:stretch>
                            <a:fillRect/>
                          </a:stretch>
                        </pic:blipFill>
                        <pic:spPr>
                          <a:xfrm>
                            <a:off x="0" y="0"/>
                            <a:ext cx="616585" cy="201930"/>
                          </a:xfrm>
                          <a:prstGeom prst="rect">
                            <a:avLst/>
                          </a:prstGeom>
                          <a:noFill/>
                          <a:ln>
                            <a:noFill/>
                          </a:ln>
                        </pic:spPr>
                      </pic:pic>
                    </a:graphicData>
                  </a:graphic>
                </wp:inline>
              </w:drawing>
            </w:r>
          </w:p>
          <w:p w14:paraId="7F8E2B38">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式中：</w:t>
            </w:r>
          </w:p>
          <w:p w14:paraId="4F7B32BF">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Ip</w:t>
            </w:r>
            <w:r>
              <w:rPr>
                <w:rFonts w:ascii="Times New Roman" w:hAnsi="Times New Roman" w:eastAsia="宋体" w:cs="Times New Roman"/>
                <w:color w:val="auto"/>
                <w:sz w:val="24"/>
                <w:szCs w:val="21"/>
                <w:highlight w:val="none"/>
              </w:rPr>
              <w:t>H.i——pH的标准指数；</w:t>
            </w:r>
          </w:p>
          <w:p w14:paraId="23B8F2B0">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pH</w:t>
            </w:r>
            <w:r>
              <w:rPr>
                <w:rFonts w:ascii="Times New Roman" w:hAnsi="Times New Roman" w:eastAsia="宋体" w:cs="Times New Roman"/>
                <w:color w:val="auto"/>
                <w:sz w:val="24"/>
                <w:szCs w:val="21"/>
                <w:highlight w:val="none"/>
                <w:vertAlign w:val="subscript"/>
              </w:rPr>
              <w:t>sd</w:t>
            </w:r>
            <w:r>
              <w:rPr>
                <w:rFonts w:ascii="Times New Roman" w:hAnsi="Times New Roman" w:eastAsia="宋体" w:cs="Times New Roman"/>
                <w:color w:val="auto"/>
                <w:sz w:val="24"/>
                <w:szCs w:val="21"/>
                <w:highlight w:val="none"/>
              </w:rPr>
              <w:t>——pH评价标准下限值；</w:t>
            </w:r>
          </w:p>
          <w:p w14:paraId="03335CB8">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i/>
                <w:color w:val="auto"/>
                <w:sz w:val="24"/>
                <w:szCs w:val="21"/>
                <w:highlight w:val="none"/>
              </w:rPr>
              <w:t>pH</w:t>
            </w:r>
            <w:r>
              <w:rPr>
                <w:rFonts w:ascii="Times New Roman" w:hAnsi="Times New Roman" w:eastAsia="宋体" w:cs="Times New Roman"/>
                <w:color w:val="auto"/>
                <w:sz w:val="24"/>
                <w:szCs w:val="21"/>
                <w:highlight w:val="none"/>
                <w:vertAlign w:val="subscript"/>
              </w:rPr>
              <w:t>su</w:t>
            </w:r>
            <w:r>
              <w:rPr>
                <w:rFonts w:ascii="Times New Roman" w:hAnsi="Times New Roman" w:eastAsia="宋体" w:cs="Times New Roman"/>
                <w:color w:val="auto"/>
                <w:sz w:val="24"/>
                <w:szCs w:val="21"/>
                <w:highlight w:val="none"/>
              </w:rPr>
              <w:t>——pH评价标准上限值；</w:t>
            </w:r>
          </w:p>
          <w:p w14:paraId="484810BA">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pH——pH的实测值。</w:t>
            </w:r>
          </w:p>
          <w:p w14:paraId="6CFAF633">
            <w:pPr>
              <w:adjustRightInd w:val="0"/>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水质参数标准指数≤1，表明该因子符合水质评价标准，满足功能区使用要求；标准指数&gt;1，表明该因子超过了水质评价标准，已经不能满足功能区使用要求，也说明水质已受到该因子污染，指数值越大，污染程度越重。</w:t>
            </w:r>
          </w:p>
          <w:p w14:paraId="08F6640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宋体" w:hAnsi="宋体" w:eastAsia="宋体" w:cs="Times New Roman"/>
                <w:color w:val="auto"/>
                <w:sz w:val="24"/>
                <w:szCs w:val="21"/>
                <w:highlight w:val="none"/>
                <w:lang w:val="en-US" w:eastAsia="zh-CN"/>
              </w:rPr>
            </w:pPr>
            <w:bookmarkStart w:id="33" w:name="_Toc10466"/>
            <w:bookmarkStart w:id="34" w:name="_Toc22973"/>
            <w:bookmarkStart w:id="35" w:name="_Toc30429"/>
            <w:bookmarkStart w:id="36" w:name="_Toc11906"/>
            <w:r>
              <w:rPr>
                <w:rFonts w:hint="default" w:ascii="宋体" w:hAnsi="宋体" w:eastAsia="宋体" w:cs="Times New Roman"/>
                <w:color w:val="auto"/>
                <w:sz w:val="24"/>
                <w:szCs w:val="21"/>
                <w:highlight w:val="none"/>
                <w:lang w:val="en-US" w:eastAsia="zh-CN"/>
              </w:rPr>
              <w:t>2、海洋沉积物评价方法</w:t>
            </w:r>
            <w:bookmarkEnd w:id="33"/>
            <w:bookmarkEnd w:id="34"/>
            <w:bookmarkEnd w:id="35"/>
            <w:bookmarkEnd w:id="36"/>
          </w:p>
          <w:p w14:paraId="1F279DA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沉积物质量评价采用单因子指数法进行，公式如下：</w:t>
            </w:r>
          </w:p>
          <w:p w14:paraId="3EA815F7">
            <w:pPr>
              <w:keepNext w:val="0"/>
              <w:keepLines w:val="0"/>
              <w:pageBreakBefore w:val="0"/>
              <w:widowControl/>
              <w:kinsoku/>
              <w:wordWrap/>
              <w:overflowPunct/>
              <w:topLinePunct w:val="0"/>
              <w:autoSpaceDE/>
              <w:autoSpaceDN/>
              <w:bidi w:val="0"/>
              <w:adjustRightInd w:val="0"/>
              <w:snapToGrid/>
              <w:spacing w:line="360" w:lineRule="auto"/>
              <w:ind w:firstLine="1440"/>
              <w:jc w:val="center"/>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I</w:t>
            </w:r>
            <w:r>
              <w:rPr>
                <w:rFonts w:hint="default" w:ascii="Times New Roman" w:hAnsi="Times New Roman" w:eastAsia="宋体" w:cs="Times New Roman"/>
                <w:color w:val="auto"/>
                <w:kern w:val="0"/>
                <w:sz w:val="24"/>
                <w:szCs w:val="24"/>
                <w:highlight w:val="none"/>
                <w:vertAlign w:val="subscript"/>
              </w:rPr>
              <w:t xml:space="preserve">i </w:t>
            </w:r>
            <w:r>
              <w:rPr>
                <w:rFonts w:hint="default" w:ascii="Times New Roman" w:hAnsi="Times New Roman" w:eastAsia="宋体" w:cs="Times New Roman"/>
                <w:color w:val="auto"/>
                <w:kern w:val="0"/>
                <w:sz w:val="24"/>
                <w:szCs w:val="24"/>
                <w:highlight w:val="none"/>
              </w:rPr>
              <w:t>= C</w:t>
            </w:r>
            <w:r>
              <w:rPr>
                <w:rFonts w:hint="default" w:ascii="Times New Roman" w:hAnsi="Times New Roman" w:eastAsia="宋体" w:cs="Times New Roman"/>
                <w:color w:val="auto"/>
                <w:kern w:val="0"/>
                <w:sz w:val="24"/>
                <w:szCs w:val="24"/>
                <w:highlight w:val="none"/>
                <w:vertAlign w:val="subscript"/>
              </w:rPr>
              <w:t>i</w:t>
            </w:r>
            <w:r>
              <w:rPr>
                <w:rFonts w:hint="default" w:ascii="Times New Roman" w:hAnsi="Times New Roman" w:eastAsia="宋体" w:cs="Times New Roman"/>
                <w:color w:val="auto"/>
                <w:kern w:val="0"/>
                <w:sz w:val="24"/>
                <w:szCs w:val="24"/>
                <w:highlight w:val="none"/>
              </w:rPr>
              <w:t>/S</w:t>
            </w:r>
            <w:r>
              <w:rPr>
                <w:rFonts w:hint="default" w:ascii="Times New Roman" w:hAnsi="Times New Roman" w:eastAsia="宋体" w:cs="Times New Roman"/>
                <w:color w:val="auto"/>
                <w:kern w:val="0"/>
                <w:sz w:val="24"/>
                <w:szCs w:val="24"/>
                <w:highlight w:val="none"/>
                <w:vertAlign w:val="subscript"/>
              </w:rPr>
              <w:t>i</w:t>
            </w:r>
          </w:p>
          <w:p w14:paraId="51ECB3F8">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baseline"/>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式中：I</w:t>
            </w:r>
            <w:r>
              <w:rPr>
                <w:rFonts w:hint="default" w:ascii="Times New Roman" w:hAnsi="Times New Roman" w:eastAsia="宋体" w:cs="Times New Roman"/>
                <w:color w:val="auto"/>
                <w:kern w:val="0"/>
                <w:sz w:val="24"/>
                <w:szCs w:val="24"/>
                <w:highlight w:val="none"/>
                <w:vertAlign w:val="subscript"/>
              </w:rPr>
              <w:t>i</w:t>
            </w:r>
            <w:r>
              <w:rPr>
                <w:rFonts w:hint="default" w:ascii="Times New Roman" w:hAnsi="Times New Roman" w:eastAsia="宋体" w:cs="Times New Roman"/>
                <w:color w:val="auto"/>
                <w:kern w:val="0"/>
                <w:sz w:val="24"/>
                <w:szCs w:val="24"/>
                <w:highlight w:val="none"/>
              </w:rPr>
              <w:t>--i项评价因子的标准指数；</w:t>
            </w:r>
          </w:p>
          <w:p w14:paraId="479D68D9">
            <w:pPr>
              <w:keepNext w:val="0"/>
              <w:keepLines w:val="0"/>
              <w:pageBreakBefore w:val="0"/>
              <w:kinsoku/>
              <w:wordWrap/>
              <w:overflowPunct/>
              <w:topLinePunct w:val="0"/>
              <w:autoSpaceDE/>
              <w:autoSpaceDN/>
              <w:bidi w:val="0"/>
              <w:snapToGrid/>
              <w:spacing w:line="360" w:lineRule="auto"/>
              <w:ind w:firstLine="1200" w:firstLineChars="500"/>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--i项评价因子的实测浓度；</w:t>
            </w:r>
          </w:p>
          <w:p w14:paraId="7E71DC30">
            <w:pPr>
              <w:bidi w:val="0"/>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--i项评价因子的评价标准值。</w:t>
            </w:r>
          </w:p>
          <w:p w14:paraId="031B1DFB">
            <w:pPr>
              <w:pStyle w:val="9"/>
              <w:rPr>
                <w:rFonts w:hint="eastAsia"/>
                <w:color w:val="auto"/>
                <w:sz w:val="24"/>
                <w:highlight w:val="none"/>
                <w:shd w:val="clear" w:color="auto" w:fill="FFFFFF"/>
              </w:rPr>
            </w:pPr>
          </w:p>
          <w:p w14:paraId="5F1B04A9">
            <w:pPr>
              <w:adjustRightInd w:val="0"/>
              <w:snapToGrid w:val="0"/>
              <w:jc w:val="center"/>
              <w:rPr>
                <w:rFonts w:hint="eastAsia" w:ascii="宋体" w:hAnsi="宋体" w:cs="宋体"/>
                <w:color w:val="auto"/>
                <w:kern w:val="0"/>
                <w:sz w:val="24"/>
                <w:szCs w:val="21"/>
                <w:highlight w:val="none"/>
              </w:rPr>
            </w:pPr>
          </w:p>
        </w:tc>
      </w:tr>
    </w:tbl>
    <w:p w14:paraId="679820AC">
      <w:pPr>
        <w:rPr>
          <w:color w:val="auto"/>
          <w:highlight w:val="none"/>
        </w:rPr>
        <w:sectPr>
          <w:footerReference r:id="rId9" w:type="default"/>
          <w:pgSz w:w="11907" w:h="16840"/>
          <w:pgMar w:top="1701" w:right="1531" w:bottom="2127" w:left="1531" w:header="851" w:footer="851" w:gutter="0"/>
          <w:cols w:space="720" w:num="1"/>
          <w:docGrid w:linePitch="312" w:charSpace="0"/>
        </w:sectPr>
      </w:pPr>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772"/>
      </w:tblGrid>
      <w:tr w14:paraId="31500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62" w:type="pct"/>
            <w:noWrap w:val="0"/>
            <w:vAlign w:val="center"/>
          </w:tcPr>
          <w:p w14:paraId="2C7B2AC1">
            <w:pPr>
              <w:adjustRightInd w:val="0"/>
              <w:snapToGrid w:val="0"/>
              <w:jc w:val="center"/>
              <w:rPr>
                <w:rFonts w:hint="eastAsia" w:ascii="宋体" w:hAnsi="宋体" w:eastAsia="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生态环境现状</w:t>
            </w:r>
          </w:p>
        </w:tc>
        <w:tc>
          <w:tcPr>
            <w:tcW w:w="4837" w:type="pct"/>
            <w:noWrap w:val="0"/>
            <w:vAlign w:val="center"/>
          </w:tcPr>
          <w:p w14:paraId="66683AA8">
            <w:pPr>
              <w:numPr>
                <w:ilvl w:val="0"/>
                <w:numId w:val="11"/>
              </w:numPr>
              <w:spacing w:line="360" w:lineRule="auto"/>
              <w:ind w:firstLine="480" w:firstLineChars="200"/>
              <w:textAlignment w:val="baseline"/>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监测结果及评价</w:t>
            </w:r>
          </w:p>
          <w:p w14:paraId="00FB1C1B">
            <w:pPr>
              <w:keepNext/>
              <w:keepLines/>
              <w:widowControl w:val="0"/>
              <w:numPr>
                <w:ilvl w:val="0"/>
                <w:numId w:val="0"/>
              </w:numPr>
              <w:tabs>
                <w:tab w:val="left" w:pos="0"/>
              </w:tabs>
              <w:bidi w:val="0"/>
              <w:adjustRightInd w:val="0"/>
              <w:snapToGrid w:val="0"/>
              <w:spacing w:line="240" w:lineRule="auto"/>
              <w:ind w:leftChars="0"/>
              <w:jc w:val="center"/>
              <w:outlineLvl w:val="4"/>
              <w:rPr>
                <w:rFonts w:hint="eastAsia" w:cs="Times New Roman"/>
                <w:color w:val="auto"/>
                <w:sz w:val="24"/>
                <w:szCs w:val="21"/>
                <w:highlight w:val="none"/>
                <w:lang w:val="en-US" w:eastAsia="zh-CN"/>
              </w:rPr>
            </w:pPr>
            <w:r>
              <w:rPr>
                <w:rFonts w:hint="eastAsia" w:cs="Times New Roman"/>
                <w:color w:val="auto"/>
                <w:sz w:val="24"/>
                <w:szCs w:val="21"/>
                <w:highlight w:val="none"/>
                <w:lang w:val="en-US" w:eastAsia="zh-CN"/>
              </w:rPr>
              <w:t>略</w:t>
            </w:r>
          </w:p>
          <w:p w14:paraId="67CF53E3">
            <w:pPr>
              <w:adjustRightInd w:val="0"/>
              <w:spacing w:line="360" w:lineRule="auto"/>
              <w:ind w:firstLine="480" w:firstLineChars="200"/>
              <w:rPr>
                <w:rFonts w:hint="eastAsia"/>
                <w:color w:val="auto"/>
                <w:sz w:val="24"/>
                <w:highlight w:val="none"/>
              </w:rPr>
            </w:pPr>
          </w:p>
          <w:p w14:paraId="47EAF5CC">
            <w:pPr>
              <w:adjustRightInd w:val="0"/>
              <w:spacing w:line="360" w:lineRule="auto"/>
              <w:ind w:firstLine="480" w:firstLineChars="200"/>
              <w:rPr>
                <w:rFonts w:hint="eastAsia"/>
                <w:color w:val="auto"/>
                <w:sz w:val="24"/>
                <w:highlight w:val="none"/>
              </w:rPr>
            </w:pPr>
          </w:p>
          <w:p w14:paraId="3479D36D">
            <w:pPr>
              <w:adjustRightInd w:val="0"/>
              <w:spacing w:line="360" w:lineRule="auto"/>
              <w:ind w:firstLine="480" w:firstLineChars="200"/>
              <w:rPr>
                <w:rFonts w:hint="eastAsia"/>
                <w:color w:val="auto"/>
                <w:sz w:val="24"/>
                <w:highlight w:val="none"/>
              </w:rPr>
            </w:pPr>
          </w:p>
          <w:p w14:paraId="3A7D7A27">
            <w:pPr>
              <w:adjustRightInd w:val="0"/>
              <w:spacing w:line="360" w:lineRule="auto"/>
              <w:ind w:firstLine="480" w:firstLineChars="200"/>
              <w:rPr>
                <w:rFonts w:hint="eastAsia"/>
                <w:color w:val="auto"/>
                <w:sz w:val="24"/>
                <w:highlight w:val="none"/>
              </w:rPr>
            </w:pPr>
          </w:p>
          <w:p w14:paraId="27D12FF4">
            <w:pPr>
              <w:adjustRightInd w:val="0"/>
              <w:spacing w:line="360" w:lineRule="auto"/>
              <w:ind w:firstLine="480" w:firstLineChars="200"/>
              <w:rPr>
                <w:rFonts w:hint="eastAsia"/>
                <w:color w:val="auto"/>
                <w:sz w:val="24"/>
                <w:highlight w:val="none"/>
              </w:rPr>
            </w:pPr>
          </w:p>
          <w:p w14:paraId="574E3C95">
            <w:pPr>
              <w:adjustRightInd w:val="0"/>
              <w:spacing w:line="360" w:lineRule="auto"/>
              <w:ind w:firstLine="480" w:firstLineChars="200"/>
              <w:rPr>
                <w:rFonts w:hint="eastAsia"/>
                <w:color w:val="auto"/>
                <w:sz w:val="24"/>
                <w:highlight w:val="none"/>
              </w:rPr>
            </w:pPr>
          </w:p>
          <w:p w14:paraId="1E4974D6">
            <w:pPr>
              <w:adjustRightInd w:val="0"/>
              <w:spacing w:line="360" w:lineRule="auto"/>
              <w:ind w:firstLine="480" w:firstLineChars="200"/>
              <w:rPr>
                <w:rFonts w:hint="eastAsia"/>
                <w:color w:val="auto"/>
                <w:sz w:val="24"/>
                <w:highlight w:val="none"/>
              </w:rPr>
            </w:pPr>
          </w:p>
          <w:p w14:paraId="4996D432">
            <w:pPr>
              <w:adjustRightInd w:val="0"/>
              <w:spacing w:line="360" w:lineRule="auto"/>
              <w:ind w:firstLine="480" w:firstLineChars="200"/>
              <w:rPr>
                <w:rFonts w:hint="eastAsia"/>
                <w:color w:val="auto"/>
                <w:sz w:val="24"/>
                <w:highlight w:val="none"/>
              </w:rPr>
            </w:pPr>
          </w:p>
          <w:p w14:paraId="42390F9C">
            <w:pPr>
              <w:adjustRightInd w:val="0"/>
              <w:spacing w:line="360" w:lineRule="auto"/>
              <w:ind w:firstLine="480" w:firstLineChars="200"/>
              <w:rPr>
                <w:rFonts w:hint="eastAsia"/>
                <w:color w:val="auto"/>
                <w:sz w:val="24"/>
                <w:highlight w:val="none"/>
              </w:rPr>
            </w:pPr>
          </w:p>
          <w:p w14:paraId="7A962F36">
            <w:pPr>
              <w:adjustRightInd w:val="0"/>
              <w:spacing w:line="360" w:lineRule="auto"/>
              <w:ind w:firstLine="480" w:firstLineChars="200"/>
              <w:rPr>
                <w:rFonts w:hint="eastAsia"/>
                <w:color w:val="auto"/>
                <w:sz w:val="24"/>
                <w:highlight w:val="none"/>
              </w:rPr>
            </w:pPr>
          </w:p>
          <w:p w14:paraId="51485CC2">
            <w:pPr>
              <w:adjustRightInd w:val="0"/>
              <w:spacing w:line="360" w:lineRule="auto"/>
              <w:ind w:firstLine="480" w:firstLineChars="200"/>
              <w:rPr>
                <w:rFonts w:hint="eastAsia"/>
                <w:color w:val="auto"/>
                <w:sz w:val="24"/>
                <w:highlight w:val="none"/>
              </w:rPr>
            </w:pPr>
          </w:p>
          <w:p w14:paraId="6359DFE5">
            <w:pPr>
              <w:adjustRightInd w:val="0"/>
              <w:spacing w:line="360" w:lineRule="auto"/>
              <w:ind w:firstLine="480" w:firstLineChars="200"/>
              <w:rPr>
                <w:rFonts w:hint="eastAsia"/>
                <w:color w:val="auto"/>
                <w:sz w:val="24"/>
                <w:highlight w:val="none"/>
              </w:rPr>
            </w:pPr>
          </w:p>
          <w:p w14:paraId="6E4CEC7B">
            <w:pPr>
              <w:adjustRightInd w:val="0"/>
              <w:spacing w:line="360" w:lineRule="auto"/>
              <w:ind w:firstLine="480" w:firstLineChars="200"/>
              <w:rPr>
                <w:rFonts w:hint="eastAsia"/>
                <w:color w:val="auto"/>
                <w:sz w:val="24"/>
                <w:highlight w:val="none"/>
              </w:rPr>
            </w:pPr>
          </w:p>
          <w:p w14:paraId="1D265800">
            <w:pPr>
              <w:adjustRightInd w:val="0"/>
              <w:spacing w:line="360" w:lineRule="auto"/>
              <w:ind w:firstLine="480" w:firstLineChars="200"/>
              <w:rPr>
                <w:rFonts w:hint="eastAsia"/>
                <w:color w:val="auto"/>
                <w:sz w:val="24"/>
                <w:highlight w:val="none"/>
              </w:rPr>
            </w:pPr>
          </w:p>
          <w:p w14:paraId="39D5CE9E">
            <w:pPr>
              <w:adjustRightInd w:val="0"/>
              <w:spacing w:line="360" w:lineRule="auto"/>
              <w:ind w:firstLine="480" w:firstLineChars="200"/>
              <w:rPr>
                <w:rFonts w:hint="eastAsia"/>
                <w:color w:val="auto"/>
                <w:sz w:val="24"/>
                <w:highlight w:val="none"/>
              </w:rPr>
            </w:pPr>
          </w:p>
          <w:p w14:paraId="29831F12">
            <w:pPr>
              <w:adjustRightInd w:val="0"/>
              <w:spacing w:line="360" w:lineRule="auto"/>
              <w:ind w:firstLine="480" w:firstLineChars="200"/>
              <w:rPr>
                <w:rFonts w:hint="eastAsia"/>
                <w:color w:val="auto"/>
                <w:sz w:val="24"/>
                <w:highlight w:val="none"/>
              </w:rPr>
            </w:pPr>
          </w:p>
          <w:p w14:paraId="37EC4C2E">
            <w:pPr>
              <w:adjustRightInd w:val="0"/>
              <w:spacing w:line="360" w:lineRule="auto"/>
              <w:ind w:firstLine="480" w:firstLineChars="200"/>
              <w:rPr>
                <w:rFonts w:hint="eastAsia"/>
                <w:color w:val="auto"/>
                <w:sz w:val="24"/>
                <w:highlight w:val="none"/>
              </w:rPr>
            </w:pPr>
          </w:p>
          <w:p w14:paraId="08A1D914">
            <w:pPr>
              <w:adjustRightInd w:val="0"/>
              <w:spacing w:line="360" w:lineRule="auto"/>
              <w:ind w:firstLine="480" w:firstLineChars="200"/>
              <w:rPr>
                <w:rFonts w:hint="eastAsia"/>
                <w:color w:val="auto"/>
                <w:sz w:val="24"/>
                <w:highlight w:val="none"/>
              </w:rPr>
            </w:pPr>
          </w:p>
        </w:tc>
      </w:tr>
    </w:tbl>
    <w:p w14:paraId="1913B9B5">
      <w:pPr>
        <w:rPr>
          <w:color w:val="auto"/>
          <w:highlight w:val="none"/>
        </w:rPr>
        <w:sectPr>
          <w:pgSz w:w="16840" w:h="11907" w:orient="landscape"/>
          <w:pgMar w:top="1531" w:right="1701" w:bottom="1531" w:left="2127" w:header="851" w:footer="851" w:gutter="0"/>
          <w:cols w:space="720" w:num="1"/>
          <w:docGrid w:linePitch="312" w:charSpace="0"/>
        </w:sectPr>
      </w:pPr>
    </w:p>
    <w:p w14:paraId="3F3AB400">
      <w:pPr>
        <w:pStyle w:val="9"/>
        <w:rPr>
          <w:color w:val="auto"/>
          <w:highlight w:val="none"/>
        </w:rPr>
      </w:pPr>
    </w:p>
    <w:tbl>
      <w:tblPr>
        <w:tblStyle w:val="4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8539"/>
      </w:tblGrid>
      <w:tr w14:paraId="61AFE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88" w:type="pct"/>
            <w:noWrap w:val="0"/>
            <w:vAlign w:val="center"/>
          </w:tcPr>
          <w:p w14:paraId="65D776F7">
            <w:pPr>
              <w:adjustRightInd w:val="0"/>
              <w:snapToGrid w:val="0"/>
              <w:jc w:val="center"/>
              <w:rPr>
                <w:rFonts w:hint="eastAsia" w:ascii="宋体" w:hAnsi="宋体" w:cs="宋体"/>
                <w:color w:val="auto"/>
                <w:kern w:val="0"/>
                <w:sz w:val="24"/>
                <w:szCs w:val="21"/>
                <w:highlight w:val="none"/>
                <w:lang w:val="en-US" w:eastAsia="zh-CN"/>
              </w:rPr>
            </w:pPr>
          </w:p>
        </w:tc>
        <w:tc>
          <w:tcPr>
            <w:tcW w:w="4711" w:type="pct"/>
            <w:noWrap w:val="0"/>
            <w:vAlign w:val="center"/>
          </w:tcPr>
          <w:p w14:paraId="4DDEE98C">
            <w:pPr>
              <w:keepNext/>
              <w:keepLines/>
              <w:widowControl/>
              <w:numPr>
                <w:ilvl w:val="3"/>
                <w:numId w:val="12"/>
              </w:numPr>
              <w:bidi w:val="0"/>
              <w:adjustRightInd w:val="0"/>
              <w:snapToGrid w:val="0"/>
              <w:spacing w:line="360" w:lineRule="auto"/>
              <w:ind w:left="0" w:leftChars="0" w:firstLine="0" w:firstLineChars="0"/>
              <w:jc w:val="both"/>
              <w:outlineLvl w:val="3"/>
              <w:rPr>
                <w:rFonts w:ascii="Times New Roman" w:hAnsi="Times New Roman" w:eastAsia="黑体" w:cs="Times New Roman"/>
                <w:b/>
                <w:bCs/>
                <w:color w:val="auto"/>
                <w:kern w:val="2"/>
                <w:sz w:val="24"/>
                <w:szCs w:val="28"/>
                <w:highlight w:val="none"/>
                <w:lang w:val="en-US" w:eastAsia="zh-CN" w:bidi="ar-SA"/>
              </w:rPr>
            </w:pPr>
            <w:r>
              <w:rPr>
                <w:rFonts w:hint="eastAsia" w:ascii="Times New Roman" w:hAnsi="Times New Roman" w:eastAsia="黑体" w:cs="Times New Roman"/>
                <w:b/>
                <w:bCs/>
                <w:color w:val="auto"/>
                <w:kern w:val="2"/>
                <w:sz w:val="24"/>
                <w:szCs w:val="28"/>
                <w:highlight w:val="none"/>
                <w:lang w:val="en-US" w:eastAsia="zh-CN" w:bidi="ar-SA"/>
              </w:rPr>
              <w:t>海洋生态环境</w:t>
            </w:r>
          </w:p>
          <w:p w14:paraId="0C0B584F">
            <w:pPr>
              <w:spacing w:line="360" w:lineRule="auto"/>
              <w:jc w:val="center"/>
              <w:textAlignment w:val="baseline"/>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略</w:t>
            </w:r>
          </w:p>
          <w:p w14:paraId="2D483DD7">
            <w:pPr>
              <w:spacing w:line="360" w:lineRule="auto"/>
              <w:textAlignment w:val="baseline"/>
              <w:rPr>
                <w:rFonts w:hint="eastAsia"/>
                <w:b/>
                <w:color w:val="auto"/>
                <w:sz w:val="28"/>
                <w:szCs w:val="28"/>
                <w:highlight w:val="none"/>
                <w:u w:val="none"/>
                <w:lang w:val="en-US" w:eastAsia="zh-CN"/>
              </w:rPr>
            </w:pPr>
            <w:r>
              <w:rPr>
                <w:rFonts w:hint="eastAsia"/>
                <w:b/>
                <w:color w:val="auto"/>
                <w:sz w:val="28"/>
                <w:szCs w:val="28"/>
                <w:highlight w:val="none"/>
                <w:u w:val="none"/>
                <w:lang w:val="en-US" w:eastAsia="zh-CN"/>
              </w:rPr>
              <w:t>3.1.4疏浚物现状</w:t>
            </w:r>
          </w:p>
          <w:p w14:paraId="222BE176">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位于钦州港金谷港区金鼓江作业区16#17#泊位回旋水域（航道内部分），与钦州港金谷港区金鼓江作业区16#17#泊位码头停泊及回旋水域清淤疏浚项目相邻，同属于钦州港金谷港区金鼓江作业区16#17#泊位码头回旋水域，海域疏浚物性质一致，疏浚物现状参考相邻的钦州港金谷港区金鼓江作业区16#17#泊位码头停泊及回旋水域清淤疏浚项目中疏浚物检测结果。</w:t>
            </w:r>
          </w:p>
          <w:p w14:paraId="6B5DCC88">
            <w:pPr>
              <w:widowControl/>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本章节资料引用《钦州港金谷港区金鼓江作业区16#17#泊位码头停泊及回旋水域清淤疏浚项目疏浚物海洋倾倒检测评价报告》调查监测成果进行分析评价，详见附件4。</w:t>
            </w:r>
          </w:p>
          <w:p w14:paraId="6D2D5FC8">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none"/>
                <w:lang w:val="en-US" w:eastAsia="zh-CN" w:bidi="ar-SA"/>
              </w:rPr>
            </w:pPr>
            <w:r>
              <w:rPr>
                <w:rFonts w:hint="eastAsia" w:ascii="Times New Roman" w:hAnsi="Times New Roman" w:eastAsia="黑体" w:cs="Times New Roman"/>
                <w:b/>
                <w:bCs/>
                <w:color w:val="auto"/>
                <w:kern w:val="2"/>
                <w:sz w:val="24"/>
                <w:szCs w:val="28"/>
                <w:highlight w:val="none"/>
                <w:u w:val="none"/>
                <w:lang w:val="en-US" w:eastAsia="zh-CN" w:bidi="ar-SA"/>
              </w:rPr>
              <w:t>3.1.4.1调查时间及点位</w:t>
            </w:r>
          </w:p>
          <w:p w14:paraId="3B73B5A3">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w:t>
            </w:r>
            <w:r>
              <w:rPr>
                <w:rFonts w:hint="eastAsia" w:cs="Times New Roman"/>
                <w:b/>
                <w:bCs/>
                <w:color w:val="auto"/>
                <w:kern w:val="2"/>
                <w:sz w:val="21"/>
                <w:szCs w:val="21"/>
                <w:highlight w:val="none"/>
                <w:u w:val="none"/>
                <w:lang w:val="en-US" w:eastAsia="zh-CN" w:bidi="ar-SA"/>
              </w:rPr>
              <w:t>26</w:t>
            </w:r>
            <w:r>
              <w:rPr>
                <w:rFonts w:hint="eastAsia" w:ascii="Times New Roman" w:hAnsi="Times New Roman" w:eastAsia="宋体" w:cs="Times New Roman"/>
                <w:b/>
                <w:bCs/>
                <w:color w:val="auto"/>
                <w:kern w:val="2"/>
                <w:sz w:val="21"/>
                <w:szCs w:val="21"/>
                <w:highlight w:val="none"/>
                <w:u w:val="none"/>
                <w:lang w:val="en-US" w:eastAsia="zh-CN" w:bidi="ar-SA"/>
              </w:rPr>
              <w:t>疏浚物监测站位及水深实测记录</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772"/>
              <w:gridCol w:w="1656"/>
              <w:gridCol w:w="1024"/>
              <w:gridCol w:w="2228"/>
            </w:tblGrid>
            <w:tr w14:paraId="5323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153EE7A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站点编号</w:t>
                  </w:r>
                </w:p>
              </w:tc>
              <w:tc>
                <w:tcPr>
                  <w:tcW w:w="1066" w:type="pct"/>
                  <w:noWrap w:val="0"/>
                  <w:vAlign w:val="center"/>
                </w:tcPr>
                <w:p w14:paraId="1331A50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经度</w:t>
                  </w:r>
                </w:p>
              </w:tc>
              <w:tc>
                <w:tcPr>
                  <w:tcW w:w="996" w:type="pct"/>
                  <w:noWrap w:val="0"/>
                  <w:vAlign w:val="center"/>
                </w:tcPr>
                <w:p w14:paraId="046222B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纬度</w:t>
                  </w:r>
                </w:p>
              </w:tc>
              <w:tc>
                <w:tcPr>
                  <w:tcW w:w="616" w:type="pct"/>
                  <w:noWrap w:val="0"/>
                  <w:vAlign w:val="center"/>
                </w:tcPr>
                <w:p w14:paraId="22E316F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水深（m）</w:t>
                  </w:r>
                </w:p>
              </w:tc>
              <w:tc>
                <w:tcPr>
                  <w:tcW w:w="1339" w:type="pct"/>
                  <w:noWrap w:val="0"/>
                  <w:vAlign w:val="center"/>
                </w:tcPr>
                <w:p w14:paraId="0873B4B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样品性状</w:t>
                  </w:r>
                </w:p>
              </w:tc>
            </w:tr>
            <w:tr w14:paraId="3D4B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53D2342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GQ1</w:t>
                  </w:r>
                </w:p>
              </w:tc>
              <w:tc>
                <w:tcPr>
                  <w:tcW w:w="1066" w:type="pct"/>
                  <w:noWrap w:val="0"/>
                  <w:vAlign w:val="center"/>
                </w:tcPr>
                <w:p w14:paraId="724CF6A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1B464B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58CB116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4A051A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E68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72F12A1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GQ2</w:t>
                  </w:r>
                </w:p>
              </w:tc>
              <w:tc>
                <w:tcPr>
                  <w:tcW w:w="1066" w:type="pct"/>
                  <w:noWrap w:val="0"/>
                  <w:vAlign w:val="center"/>
                </w:tcPr>
                <w:p w14:paraId="16B6DF1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73F72D8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10405CC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10066F9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1A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6F589EE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GQ3</w:t>
                  </w:r>
                </w:p>
              </w:tc>
              <w:tc>
                <w:tcPr>
                  <w:tcW w:w="1066" w:type="pct"/>
                  <w:noWrap w:val="0"/>
                  <w:vAlign w:val="center"/>
                </w:tcPr>
                <w:p w14:paraId="3BD498C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422584C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70AEA09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1DEA94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CD1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450DD6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GQ4</w:t>
                  </w:r>
                </w:p>
              </w:tc>
              <w:tc>
                <w:tcPr>
                  <w:tcW w:w="1066" w:type="pct"/>
                  <w:noWrap w:val="0"/>
                  <w:vAlign w:val="center"/>
                </w:tcPr>
                <w:p w14:paraId="082769F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5F03432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0F1C05D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0A3F0F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0CA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2858F9A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GQ5</w:t>
                  </w:r>
                </w:p>
              </w:tc>
              <w:tc>
                <w:tcPr>
                  <w:tcW w:w="1066" w:type="pct"/>
                  <w:noWrap w:val="0"/>
                  <w:vAlign w:val="center"/>
                </w:tcPr>
                <w:p w14:paraId="104C96B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40279AE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50F95EA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7DFD1D8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6C5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7F925E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GQ6</w:t>
                  </w:r>
                </w:p>
              </w:tc>
              <w:tc>
                <w:tcPr>
                  <w:tcW w:w="1066" w:type="pct"/>
                  <w:noWrap w:val="0"/>
                  <w:vAlign w:val="center"/>
                </w:tcPr>
                <w:p w14:paraId="3798E90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513F667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01C9924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6A7D3A7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AB2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2D108D5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GQ9（对照点）</w:t>
                  </w:r>
                </w:p>
              </w:tc>
              <w:tc>
                <w:tcPr>
                  <w:tcW w:w="1066" w:type="pct"/>
                  <w:noWrap w:val="0"/>
                  <w:vAlign w:val="center"/>
                </w:tcPr>
                <w:p w14:paraId="61EA43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96" w:type="pct"/>
                  <w:noWrap w:val="0"/>
                  <w:vAlign w:val="center"/>
                </w:tcPr>
                <w:p w14:paraId="31BD46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16" w:type="pct"/>
                  <w:noWrap w:val="0"/>
                  <w:vAlign w:val="center"/>
                </w:tcPr>
                <w:p w14:paraId="5288BA0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39" w:type="pct"/>
                  <w:noWrap w:val="0"/>
                  <w:vAlign w:val="center"/>
                </w:tcPr>
                <w:p w14:paraId="0E572A8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D2C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1" w:type="pct"/>
                  <w:noWrap w:val="0"/>
                  <w:vAlign w:val="center"/>
                </w:tcPr>
                <w:p w14:paraId="761EAA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其他情况记录</w:t>
                  </w:r>
                </w:p>
              </w:tc>
              <w:tc>
                <w:tcPr>
                  <w:tcW w:w="4018" w:type="pct"/>
                  <w:gridSpan w:val="4"/>
                  <w:noWrap w:val="0"/>
                  <w:vAlign w:val="center"/>
                </w:tcPr>
                <w:p w14:paraId="6A6FDC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GQ9为背景对照点</w:t>
                  </w:r>
                </w:p>
              </w:tc>
            </w:tr>
          </w:tbl>
          <w:p w14:paraId="0662D10E">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none"/>
                <w:lang w:val="en-US" w:eastAsia="zh-CN" w:bidi="ar-SA"/>
              </w:rPr>
            </w:pPr>
            <w:r>
              <w:rPr>
                <w:rFonts w:hint="eastAsia" w:ascii="Times New Roman" w:hAnsi="Times New Roman" w:eastAsia="黑体" w:cs="Times New Roman"/>
                <w:b/>
                <w:bCs/>
                <w:color w:val="auto"/>
                <w:kern w:val="2"/>
                <w:sz w:val="24"/>
                <w:szCs w:val="28"/>
                <w:highlight w:val="none"/>
                <w:u w:val="none"/>
                <w:lang w:val="en-US" w:eastAsia="zh-CN" w:bidi="ar-SA"/>
              </w:rPr>
              <w:t>3.1.4.2调查项目及分析方法</w:t>
            </w:r>
          </w:p>
          <w:p w14:paraId="0F6A2FD4">
            <w:pPr>
              <w:widowControl/>
              <w:spacing w:line="360" w:lineRule="auto"/>
              <w:ind w:firstLine="480" w:firstLineChars="20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lang w:val="en-US" w:eastAsia="zh-CN"/>
              </w:rPr>
              <w:t>样品的采集、贮存、运输及分析均按《海洋监测规范》（</w:t>
            </w:r>
            <w:r>
              <w:rPr>
                <w:rFonts w:hint="default" w:ascii="Times New Roman" w:hAnsi="Times New Roman" w:eastAsia="宋体" w:cs="Times New Roman"/>
                <w:color w:val="auto"/>
                <w:sz w:val="24"/>
                <w:highlight w:val="none"/>
                <w:u w:val="none"/>
                <w:lang w:val="en-US" w:eastAsia="zh-CN"/>
              </w:rPr>
              <w:t>GB 17378-2007</w:t>
            </w:r>
            <w:r>
              <w:rPr>
                <w:rFonts w:hint="eastAsia" w:ascii="Times New Roman" w:hAnsi="Times New Roman" w:eastAsia="宋体" w:cs="Times New Roman"/>
                <w:color w:val="auto"/>
                <w:sz w:val="24"/>
                <w:highlight w:val="none"/>
                <w:u w:val="none"/>
                <w:lang w:val="en-US" w:eastAsia="zh-CN"/>
              </w:rPr>
              <w:t>）、《海洋调查规范》（</w:t>
            </w:r>
            <w:r>
              <w:rPr>
                <w:rFonts w:hint="default" w:ascii="Times New Roman" w:hAnsi="Times New Roman" w:eastAsia="宋体" w:cs="Times New Roman"/>
                <w:color w:val="auto"/>
                <w:sz w:val="24"/>
                <w:highlight w:val="none"/>
                <w:u w:val="none"/>
                <w:lang w:val="en-US" w:eastAsia="zh-CN"/>
              </w:rPr>
              <w:t>GB/T 12763-2007</w:t>
            </w:r>
            <w:r>
              <w:rPr>
                <w:rFonts w:hint="eastAsia" w:ascii="Times New Roman" w:hAnsi="Times New Roman" w:eastAsia="宋体" w:cs="Times New Roman"/>
                <w:color w:val="auto"/>
                <w:sz w:val="24"/>
                <w:highlight w:val="none"/>
                <w:u w:val="none"/>
                <w:lang w:val="en-US" w:eastAsia="zh-CN"/>
              </w:rPr>
              <w:t>）的规定执行。</w:t>
            </w:r>
          </w:p>
          <w:p w14:paraId="18F6298D">
            <w:pPr>
              <w:widowControl/>
              <w:spacing w:line="360" w:lineRule="auto"/>
              <w:ind w:firstLine="480" w:firstLineChars="20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lang w:val="en-US" w:eastAsia="zh-CN"/>
              </w:rPr>
              <w:t>调查项目：铜、锌、铅、镉、总汞、铬、砷、硫化物、有机碳、石油类、粒度等。疏浚物检测分析方法详见表 3.1-</w:t>
            </w:r>
            <w:r>
              <w:rPr>
                <w:rFonts w:hint="eastAsia" w:cs="Times New Roman"/>
                <w:color w:val="auto"/>
                <w:sz w:val="24"/>
                <w:highlight w:val="none"/>
                <w:u w:val="none"/>
                <w:lang w:val="en-US" w:eastAsia="zh-CN"/>
              </w:rPr>
              <w:t>27</w:t>
            </w:r>
            <w:r>
              <w:rPr>
                <w:rFonts w:hint="eastAsia" w:ascii="Times New Roman" w:hAnsi="Times New Roman" w:eastAsia="宋体" w:cs="Times New Roman"/>
                <w:color w:val="auto"/>
                <w:sz w:val="24"/>
                <w:highlight w:val="none"/>
                <w:u w:val="none"/>
                <w:lang w:val="en-US" w:eastAsia="zh-CN"/>
              </w:rPr>
              <w:t>。</w:t>
            </w:r>
          </w:p>
          <w:p w14:paraId="298A6024">
            <w:pPr>
              <w:keepNext/>
              <w:keepLines/>
              <w:widowControl w:val="0"/>
              <w:numPr>
                <w:ilvl w:val="0"/>
                <w:numId w:val="0"/>
              </w:numPr>
              <w:tabs>
                <w:tab w:val="left" w:pos="0"/>
              </w:tabs>
              <w:bidi w:val="0"/>
              <w:adjustRightInd w:val="0"/>
              <w:snapToGrid w:val="0"/>
              <w:spacing w:line="360" w:lineRule="auto"/>
              <w:ind w:leftChars="0"/>
              <w:jc w:val="center"/>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w:t>
            </w:r>
            <w:r>
              <w:rPr>
                <w:rFonts w:hint="eastAsia" w:cs="Times New Roman"/>
                <w:b/>
                <w:bCs/>
                <w:color w:val="auto"/>
                <w:kern w:val="2"/>
                <w:sz w:val="21"/>
                <w:szCs w:val="21"/>
                <w:highlight w:val="none"/>
                <w:u w:val="none"/>
                <w:lang w:val="en-US" w:eastAsia="zh-CN" w:bidi="ar-SA"/>
              </w:rPr>
              <w:t>27</w:t>
            </w:r>
            <w:r>
              <w:rPr>
                <w:rFonts w:hint="eastAsia" w:ascii="Times New Roman" w:hAnsi="Times New Roman" w:eastAsia="宋体" w:cs="Times New Roman"/>
                <w:b/>
                <w:bCs/>
                <w:color w:val="auto"/>
                <w:kern w:val="2"/>
                <w:sz w:val="21"/>
                <w:szCs w:val="21"/>
                <w:highlight w:val="none"/>
                <w:u w:val="none"/>
                <w:lang w:val="en-US" w:eastAsia="zh-CN" w:bidi="ar-SA"/>
              </w:rPr>
              <w:t>检测分析方法</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65"/>
              <w:gridCol w:w="5117"/>
              <w:gridCol w:w="1592"/>
            </w:tblGrid>
            <w:tr w14:paraId="7E66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52B7CE4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581" w:type="pct"/>
                  <w:noWrap w:val="0"/>
                  <w:vAlign w:val="center"/>
                </w:tcPr>
                <w:p w14:paraId="097BE9E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检测项目</w:t>
                  </w:r>
                </w:p>
              </w:tc>
              <w:tc>
                <w:tcPr>
                  <w:tcW w:w="3078" w:type="pct"/>
                  <w:noWrap w:val="0"/>
                  <w:vAlign w:val="center"/>
                </w:tcPr>
                <w:p w14:paraId="375701A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检测方法</w:t>
                  </w:r>
                </w:p>
              </w:tc>
              <w:tc>
                <w:tcPr>
                  <w:tcW w:w="956" w:type="pct"/>
                  <w:noWrap w:val="0"/>
                  <w:vAlign w:val="center"/>
                </w:tcPr>
                <w:p w14:paraId="0D4B9E85">
                  <w:pPr>
                    <w:keepNext w:val="0"/>
                    <w:keepLines w:val="0"/>
                    <w:pageBreakBefore w:val="0"/>
                    <w:widowControl/>
                    <w:suppressLineNumbers w:val="0"/>
                    <w:kinsoku/>
                    <w:wordWrap/>
                    <w:overflowPunct/>
                    <w:topLinePunct w:val="0"/>
                    <w:autoSpaceDE/>
                    <w:autoSpaceDN/>
                    <w:bidi w:val="0"/>
                    <w:adjustRightInd/>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方法检出限或检出范围</w:t>
                  </w:r>
                </w:p>
              </w:tc>
            </w:tr>
            <w:tr w14:paraId="18F6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noWrap w:val="0"/>
                  <w:vAlign w:val="center"/>
                </w:tcPr>
                <w:p w14:paraId="0C61465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1" w:type="pct"/>
                  <w:noWrap w:val="0"/>
                  <w:vAlign w:val="center"/>
                </w:tcPr>
                <w:p w14:paraId="3EDDD6C7">
                  <w:pPr>
                    <w:keepNext w:val="0"/>
                    <w:keepLines w:val="0"/>
                    <w:pageBreakBefore w:val="0"/>
                    <w:widowControl/>
                    <w:kinsoku/>
                    <w:wordWrap/>
                    <w:overflowPunct/>
                    <w:topLinePunct w:val="0"/>
                    <w:autoSpaceDE/>
                    <w:autoSpaceDN/>
                    <w:bidi w:val="0"/>
                    <w:adjustRightInd/>
                    <w:spacing w:before="178" w:line="231"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镉</w:t>
                  </w:r>
                </w:p>
              </w:tc>
              <w:tc>
                <w:tcPr>
                  <w:tcW w:w="3078" w:type="pct"/>
                  <w:noWrap w:val="0"/>
                  <w:vAlign w:val="center"/>
                </w:tcPr>
                <w:p w14:paraId="50C518E2">
                  <w:pPr>
                    <w:pStyle w:val="230"/>
                    <w:keepNext w:val="0"/>
                    <w:keepLines w:val="0"/>
                    <w:pageBreakBefore w:val="0"/>
                    <w:widowControl/>
                    <w:kinsoku/>
                    <w:wordWrap/>
                    <w:overflowPunct/>
                    <w:topLinePunct w:val="0"/>
                    <w:autoSpaceDE/>
                    <w:autoSpaceDN/>
                    <w:bidi w:val="0"/>
                    <w:adjustRightInd/>
                    <w:spacing w:before="44" w:line="228" w:lineRule="auto"/>
                    <w:ind w:left="121"/>
                    <w:jc w:val="center"/>
                    <w:rPr>
                      <w:rFonts w:hint="eastAsia" w:ascii="Times New Roman" w:hAnsi="Times New Roman" w:cs="Times New Roman"/>
                      <w:color w:val="auto"/>
                      <w:spacing w:val="6"/>
                      <w:sz w:val="21"/>
                      <w:szCs w:val="21"/>
                      <w:highlight w:val="none"/>
                      <w:u w:val="none"/>
                      <w:lang w:val="en-US" w:eastAsia="zh-CN"/>
                    </w:rPr>
                  </w:pPr>
                  <w:r>
                    <w:rPr>
                      <w:rFonts w:hint="default" w:ascii="Times New Roman" w:hAnsi="Times New Roman" w:eastAsia="宋体" w:cs="Times New Roman"/>
                      <w:color w:val="auto"/>
                      <w:spacing w:val="6"/>
                      <w:sz w:val="21"/>
                      <w:szCs w:val="21"/>
                      <w:highlight w:val="none"/>
                      <w:u w:val="none"/>
                    </w:rPr>
                    <w:t>海洋监测规范</w:t>
                  </w:r>
                  <w:r>
                    <w:rPr>
                      <w:rFonts w:hint="eastAsia" w:ascii="Times New Roman" w:hAnsi="Times New Roman" w:cs="Times New Roman"/>
                      <w:color w:val="auto"/>
                      <w:spacing w:val="6"/>
                      <w:sz w:val="21"/>
                      <w:szCs w:val="21"/>
                      <w:highlight w:val="none"/>
                      <w:u w:val="none"/>
                      <w:lang w:val="en-US" w:eastAsia="zh-CN"/>
                    </w:rPr>
                    <w:t xml:space="preserve"> </w:t>
                  </w:r>
                  <w:r>
                    <w:rPr>
                      <w:rFonts w:hint="default" w:ascii="Times New Roman" w:hAnsi="Times New Roman" w:eastAsia="宋体" w:cs="Times New Roman"/>
                      <w:color w:val="auto"/>
                      <w:spacing w:val="6"/>
                      <w:sz w:val="21"/>
                      <w:szCs w:val="21"/>
                      <w:highlight w:val="none"/>
                      <w:u w:val="none"/>
                    </w:rPr>
                    <w:t>第5部分：沉淀物分析</w:t>
                  </w:r>
                  <w:r>
                    <w:rPr>
                      <w:rFonts w:hint="eastAsia" w:ascii="Times New Roman" w:hAnsi="Times New Roman" w:cs="Times New Roman"/>
                      <w:color w:val="auto"/>
                      <w:spacing w:val="6"/>
                      <w:sz w:val="21"/>
                      <w:szCs w:val="21"/>
                      <w:highlight w:val="none"/>
                      <w:u w:val="none"/>
                      <w:lang w:val="en-US" w:eastAsia="zh-CN"/>
                    </w:rPr>
                    <w:t xml:space="preserve"> </w:t>
                  </w:r>
                </w:p>
                <w:p w14:paraId="00564687">
                  <w:pPr>
                    <w:pStyle w:val="230"/>
                    <w:keepNext w:val="0"/>
                    <w:keepLines w:val="0"/>
                    <w:pageBreakBefore w:val="0"/>
                    <w:widowControl/>
                    <w:kinsoku/>
                    <w:wordWrap/>
                    <w:overflowPunct/>
                    <w:topLinePunct w:val="0"/>
                    <w:autoSpaceDE/>
                    <w:autoSpaceDN/>
                    <w:bidi w:val="0"/>
                    <w:adjustRightInd/>
                    <w:spacing w:before="44" w:line="228" w:lineRule="auto"/>
                    <w:ind w:left="121"/>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8.1无</w:t>
                  </w:r>
                  <w:r>
                    <w:rPr>
                      <w:rFonts w:hint="default" w:ascii="Times New Roman" w:hAnsi="Times New Roman" w:eastAsia="宋体" w:cs="Times New Roman"/>
                      <w:color w:val="auto"/>
                      <w:spacing w:val="5"/>
                      <w:sz w:val="21"/>
                      <w:szCs w:val="21"/>
                      <w:highlight w:val="none"/>
                      <w:u w:val="none"/>
                    </w:rPr>
                    <w:t>火焰原子吸收分光光度法（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5"/>
                      <w:sz w:val="21"/>
                      <w:szCs w:val="21"/>
                      <w:highlight w:val="none"/>
                      <w:u w:val="none"/>
                    </w:rPr>
                    <w:t>17378.5-2007）</w:t>
                  </w:r>
                </w:p>
              </w:tc>
              <w:tc>
                <w:tcPr>
                  <w:tcW w:w="956" w:type="pct"/>
                  <w:noWrap w:val="0"/>
                  <w:vAlign w:val="center"/>
                </w:tcPr>
                <w:p w14:paraId="491CD4BF">
                  <w:pPr>
                    <w:pStyle w:val="230"/>
                    <w:keepNext w:val="0"/>
                    <w:keepLines w:val="0"/>
                    <w:pageBreakBefore w:val="0"/>
                    <w:widowControl/>
                    <w:kinsoku/>
                    <w:wordWrap/>
                    <w:overflowPunct/>
                    <w:topLinePunct w:val="0"/>
                    <w:autoSpaceDE/>
                    <w:autoSpaceDN/>
                    <w:bidi w:val="0"/>
                    <w:adjustRightInd/>
                    <w:spacing w:before="178" w:line="231" w:lineRule="auto"/>
                    <w:ind w:left="138"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0.04(ω/10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39A1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7009903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1" w:type="pct"/>
                  <w:noWrap w:val="0"/>
                  <w:vAlign w:val="center"/>
                </w:tcPr>
                <w:p w14:paraId="1F5C5841">
                  <w:pPr>
                    <w:keepNext w:val="0"/>
                    <w:keepLines w:val="0"/>
                    <w:pageBreakBefore w:val="0"/>
                    <w:widowControl/>
                    <w:kinsoku/>
                    <w:wordWrap/>
                    <w:overflowPunct/>
                    <w:topLinePunct w:val="0"/>
                    <w:autoSpaceDE/>
                    <w:autoSpaceDN/>
                    <w:bidi w:val="0"/>
                    <w:adjustRightInd/>
                    <w:spacing w:before="179" w:line="23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1"/>
                      <w:sz w:val="21"/>
                      <w:szCs w:val="21"/>
                      <w:highlight w:val="none"/>
                      <w:u w:val="none"/>
                    </w:rPr>
                    <w:t>铬</w:t>
                  </w:r>
                </w:p>
              </w:tc>
              <w:tc>
                <w:tcPr>
                  <w:tcW w:w="3078" w:type="pct"/>
                  <w:noWrap w:val="0"/>
                  <w:vAlign w:val="center"/>
                </w:tcPr>
                <w:p w14:paraId="76B6D50D">
                  <w:pPr>
                    <w:pStyle w:val="230"/>
                    <w:keepNext w:val="0"/>
                    <w:keepLines w:val="0"/>
                    <w:pageBreakBefore w:val="0"/>
                    <w:widowControl/>
                    <w:kinsoku/>
                    <w:wordWrap/>
                    <w:overflowPunct/>
                    <w:topLinePunct w:val="0"/>
                    <w:autoSpaceDE/>
                    <w:autoSpaceDN/>
                    <w:bidi w:val="0"/>
                    <w:adjustRightInd/>
                    <w:spacing w:before="44" w:line="228" w:lineRule="auto"/>
                    <w:ind w:left="109"/>
                    <w:jc w:val="center"/>
                    <w:rPr>
                      <w:rFonts w:hint="default" w:ascii="Times New Roman" w:hAnsi="Times New Roman" w:eastAsia="宋体" w:cs="Times New Roman"/>
                      <w:color w:val="auto"/>
                      <w:spacing w:val="2"/>
                      <w:sz w:val="21"/>
                      <w:szCs w:val="21"/>
                      <w:highlight w:val="none"/>
                      <w:u w:val="none"/>
                    </w:rPr>
                  </w:pPr>
                  <w:r>
                    <w:rPr>
                      <w:rFonts w:hint="default" w:ascii="Times New Roman" w:hAnsi="Times New Roman" w:eastAsia="宋体" w:cs="Times New Roman"/>
                      <w:color w:val="auto"/>
                      <w:spacing w:val="2"/>
                      <w:sz w:val="21"/>
                      <w:szCs w:val="21"/>
                      <w:highlight w:val="none"/>
                      <w:u w:val="none"/>
                    </w:rPr>
                    <w:t>海洋监测规范</w:t>
                  </w:r>
                  <w:r>
                    <w:rPr>
                      <w:rFonts w:hint="eastAsia" w:ascii="Times New Roman" w:hAnsi="Times New Roman" w:cs="Times New Roman"/>
                      <w:color w:val="auto"/>
                      <w:spacing w:val="2"/>
                      <w:sz w:val="21"/>
                      <w:szCs w:val="21"/>
                      <w:highlight w:val="none"/>
                      <w:u w:val="none"/>
                      <w:lang w:val="en-US" w:eastAsia="zh-CN"/>
                    </w:rPr>
                    <w:t xml:space="preserve"> </w:t>
                  </w:r>
                  <w:r>
                    <w:rPr>
                      <w:rFonts w:hint="default" w:ascii="Times New Roman" w:hAnsi="Times New Roman" w:eastAsia="宋体" w:cs="Times New Roman"/>
                      <w:color w:val="auto"/>
                      <w:spacing w:val="2"/>
                      <w:sz w:val="21"/>
                      <w:szCs w:val="21"/>
                      <w:highlight w:val="none"/>
                      <w:u w:val="none"/>
                    </w:rPr>
                    <w:t>第5部分：沉淀物分析</w:t>
                  </w:r>
                </w:p>
                <w:p w14:paraId="6A99E1B2">
                  <w:pPr>
                    <w:pStyle w:val="230"/>
                    <w:keepNext w:val="0"/>
                    <w:keepLines w:val="0"/>
                    <w:pageBreakBefore w:val="0"/>
                    <w:widowControl/>
                    <w:kinsoku/>
                    <w:wordWrap/>
                    <w:overflowPunct/>
                    <w:topLinePunct w:val="0"/>
                    <w:autoSpaceDE/>
                    <w:autoSpaceDN/>
                    <w:bidi w:val="0"/>
                    <w:adjustRightInd/>
                    <w:spacing w:before="44" w:line="228" w:lineRule="auto"/>
                    <w:ind w:left="109"/>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10.1无火焰原</w:t>
                  </w:r>
                  <w:r>
                    <w:rPr>
                      <w:rFonts w:hint="default" w:ascii="Times New Roman" w:hAnsi="Times New Roman" w:eastAsia="宋体" w:cs="Times New Roman"/>
                      <w:color w:val="auto"/>
                      <w:spacing w:val="5"/>
                      <w:sz w:val="21"/>
                      <w:szCs w:val="21"/>
                      <w:highlight w:val="none"/>
                      <w:u w:val="none"/>
                    </w:rPr>
                    <w:t>子吸收分光光度法（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5"/>
                      <w:sz w:val="21"/>
                      <w:szCs w:val="21"/>
                      <w:highlight w:val="none"/>
                      <w:u w:val="none"/>
                    </w:rPr>
                    <w:t>17378.5-2007）</w:t>
                  </w:r>
                </w:p>
              </w:tc>
              <w:tc>
                <w:tcPr>
                  <w:tcW w:w="956" w:type="pct"/>
                  <w:noWrap w:val="0"/>
                  <w:vAlign w:val="center"/>
                </w:tcPr>
                <w:p w14:paraId="7E5F73CE">
                  <w:pPr>
                    <w:pStyle w:val="230"/>
                    <w:keepNext w:val="0"/>
                    <w:keepLines w:val="0"/>
                    <w:pageBreakBefore w:val="0"/>
                    <w:widowControl/>
                    <w:kinsoku/>
                    <w:wordWrap/>
                    <w:overflowPunct/>
                    <w:topLinePunct w:val="0"/>
                    <w:autoSpaceDE/>
                    <w:autoSpaceDN/>
                    <w:bidi w:val="0"/>
                    <w:adjustRightInd/>
                    <w:spacing w:before="178" w:line="231" w:lineRule="auto"/>
                    <w:ind w:left="187"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2.0(ω/10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43D3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28EE9A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81" w:type="pct"/>
                  <w:noWrap w:val="0"/>
                  <w:vAlign w:val="center"/>
                </w:tcPr>
                <w:p w14:paraId="2188394E">
                  <w:pPr>
                    <w:keepNext w:val="0"/>
                    <w:keepLines w:val="0"/>
                    <w:pageBreakBefore w:val="0"/>
                    <w:widowControl/>
                    <w:kinsoku/>
                    <w:wordWrap/>
                    <w:overflowPunct/>
                    <w:topLinePunct w:val="0"/>
                    <w:autoSpaceDE/>
                    <w:autoSpaceDN/>
                    <w:bidi w:val="0"/>
                    <w:adjustRightInd/>
                    <w:spacing w:before="180" w:line="228"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1"/>
                      <w:sz w:val="21"/>
                      <w:szCs w:val="21"/>
                      <w:highlight w:val="none"/>
                      <w:u w:val="none"/>
                    </w:rPr>
                    <w:t>锌</w:t>
                  </w:r>
                </w:p>
              </w:tc>
              <w:tc>
                <w:tcPr>
                  <w:tcW w:w="3078" w:type="pct"/>
                  <w:noWrap w:val="0"/>
                  <w:vAlign w:val="center"/>
                </w:tcPr>
                <w:p w14:paraId="19DBA3F3">
                  <w:pPr>
                    <w:pStyle w:val="230"/>
                    <w:keepNext w:val="0"/>
                    <w:keepLines w:val="0"/>
                    <w:pageBreakBefore w:val="0"/>
                    <w:widowControl/>
                    <w:kinsoku/>
                    <w:wordWrap/>
                    <w:overflowPunct/>
                    <w:topLinePunct w:val="0"/>
                    <w:autoSpaceDE/>
                    <w:autoSpaceDN/>
                    <w:bidi w:val="0"/>
                    <w:adjustRightInd/>
                    <w:spacing w:before="45" w:line="228" w:lineRule="auto"/>
                    <w:ind w:left="109"/>
                    <w:jc w:val="center"/>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海洋监测规范</w:t>
                  </w:r>
                  <w:r>
                    <w:rPr>
                      <w:rFonts w:hint="eastAsia" w:ascii="Times New Roman" w:hAnsi="Times New Roman" w:cs="Times New Roman"/>
                      <w:color w:val="auto"/>
                      <w:spacing w:val="6"/>
                      <w:sz w:val="21"/>
                      <w:szCs w:val="21"/>
                      <w:highlight w:val="none"/>
                      <w:u w:val="none"/>
                      <w:lang w:val="en-US" w:eastAsia="zh-CN"/>
                    </w:rPr>
                    <w:t xml:space="preserve"> </w:t>
                  </w:r>
                  <w:r>
                    <w:rPr>
                      <w:rFonts w:hint="default" w:ascii="Times New Roman" w:hAnsi="Times New Roman" w:eastAsia="宋体" w:cs="Times New Roman"/>
                      <w:color w:val="auto"/>
                      <w:spacing w:val="6"/>
                      <w:sz w:val="21"/>
                      <w:szCs w:val="21"/>
                      <w:highlight w:val="none"/>
                      <w:u w:val="none"/>
                    </w:rPr>
                    <w:t>第5部分：沉淀物分析</w:t>
                  </w:r>
                </w:p>
                <w:p w14:paraId="7F1D7B9F">
                  <w:pPr>
                    <w:pStyle w:val="230"/>
                    <w:keepNext w:val="0"/>
                    <w:keepLines w:val="0"/>
                    <w:pageBreakBefore w:val="0"/>
                    <w:widowControl/>
                    <w:kinsoku/>
                    <w:wordWrap/>
                    <w:overflowPunct/>
                    <w:topLinePunct w:val="0"/>
                    <w:autoSpaceDE/>
                    <w:autoSpaceDN/>
                    <w:bidi w:val="0"/>
                    <w:adjustRightInd/>
                    <w:spacing w:before="45" w:line="228" w:lineRule="auto"/>
                    <w:ind w:left="109"/>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9火焰原子吸</w:t>
                  </w:r>
                  <w:r>
                    <w:rPr>
                      <w:rFonts w:hint="default" w:ascii="Times New Roman" w:hAnsi="Times New Roman" w:eastAsia="宋体" w:cs="Times New Roman"/>
                      <w:color w:val="auto"/>
                      <w:spacing w:val="4"/>
                      <w:sz w:val="21"/>
                      <w:szCs w:val="21"/>
                      <w:highlight w:val="none"/>
                      <w:u w:val="none"/>
                    </w:rPr>
                    <w:t>收分光光度法（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4"/>
                      <w:sz w:val="21"/>
                      <w:szCs w:val="21"/>
                      <w:highlight w:val="none"/>
                      <w:u w:val="none"/>
                    </w:rPr>
                    <w:t>17378.5-2007）</w:t>
                  </w:r>
                </w:p>
              </w:tc>
              <w:tc>
                <w:tcPr>
                  <w:tcW w:w="956" w:type="pct"/>
                  <w:noWrap w:val="0"/>
                  <w:vAlign w:val="center"/>
                </w:tcPr>
                <w:p w14:paraId="75F02A08">
                  <w:pPr>
                    <w:pStyle w:val="230"/>
                    <w:keepNext w:val="0"/>
                    <w:keepLines w:val="0"/>
                    <w:pageBreakBefore w:val="0"/>
                    <w:widowControl/>
                    <w:kinsoku/>
                    <w:wordWrap/>
                    <w:overflowPunct/>
                    <w:topLinePunct w:val="0"/>
                    <w:autoSpaceDE/>
                    <w:autoSpaceDN/>
                    <w:bidi w:val="0"/>
                    <w:adjustRightInd/>
                    <w:spacing w:before="179" w:line="231" w:lineRule="auto"/>
                    <w:ind w:left="192"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6.0(ω/10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513F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03F8898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1" w:type="pct"/>
                  <w:noWrap w:val="0"/>
                  <w:vAlign w:val="center"/>
                </w:tcPr>
                <w:p w14:paraId="77DB6818">
                  <w:pPr>
                    <w:keepNext w:val="0"/>
                    <w:keepLines w:val="0"/>
                    <w:pageBreakBefore w:val="0"/>
                    <w:widowControl/>
                    <w:kinsoku/>
                    <w:wordWrap/>
                    <w:overflowPunct/>
                    <w:topLinePunct w:val="0"/>
                    <w:autoSpaceDE/>
                    <w:autoSpaceDN/>
                    <w:bidi w:val="0"/>
                    <w:adjustRightInd/>
                    <w:spacing w:before="180" w:line="232"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u w:val="none"/>
                    </w:rPr>
                    <w:t>铅</w:t>
                  </w:r>
                </w:p>
              </w:tc>
              <w:tc>
                <w:tcPr>
                  <w:tcW w:w="3078" w:type="pct"/>
                  <w:noWrap w:val="0"/>
                  <w:vAlign w:val="center"/>
                </w:tcPr>
                <w:p w14:paraId="48B5713D">
                  <w:pPr>
                    <w:pStyle w:val="230"/>
                    <w:keepNext w:val="0"/>
                    <w:keepLines w:val="0"/>
                    <w:pageBreakBefore w:val="0"/>
                    <w:widowControl/>
                    <w:kinsoku/>
                    <w:wordWrap/>
                    <w:overflowPunct/>
                    <w:topLinePunct w:val="0"/>
                    <w:autoSpaceDE/>
                    <w:autoSpaceDN/>
                    <w:bidi w:val="0"/>
                    <w:adjustRightInd/>
                    <w:spacing w:before="45" w:line="228" w:lineRule="auto"/>
                    <w:ind w:left="121"/>
                    <w:jc w:val="center"/>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海洋监测规范</w:t>
                  </w:r>
                  <w:r>
                    <w:rPr>
                      <w:rFonts w:hint="eastAsia" w:ascii="Times New Roman" w:hAnsi="Times New Roman" w:cs="Times New Roman"/>
                      <w:color w:val="auto"/>
                      <w:spacing w:val="6"/>
                      <w:sz w:val="21"/>
                      <w:szCs w:val="21"/>
                      <w:highlight w:val="none"/>
                      <w:u w:val="none"/>
                      <w:lang w:val="en-US" w:eastAsia="zh-CN"/>
                    </w:rPr>
                    <w:t xml:space="preserve"> </w:t>
                  </w:r>
                  <w:r>
                    <w:rPr>
                      <w:rFonts w:hint="default" w:ascii="Times New Roman" w:hAnsi="Times New Roman" w:eastAsia="宋体" w:cs="Times New Roman"/>
                      <w:color w:val="auto"/>
                      <w:spacing w:val="6"/>
                      <w:sz w:val="21"/>
                      <w:szCs w:val="21"/>
                      <w:highlight w:val="none"/>
                      <w:u w:val="none"/>
                    </w:rPr>
                    <w:t>第5部分：沉淀物分析</w:t>
                  </w:r>
                </w:p>
                <w:p w14:paraId="1F9BB9D8">
                  <w:pPr>
                    <w:pStyle w:val="230"/>
                    <w:keepNext w:val="0"/>
                    <w:keepLines w:val="0"/>
                    <w:pageBreakBefore w:val="0"/>
                    <w:widowControl/>
                    <w:kinsoku/>
                    <w:wordWrap/>
                    <w:overflowPunct/>
                    <w:topLinePunct w:val="0"/>
                    <w:autoSpaceDE/>
                    <w:autoSpaceDN/>
                    <w:bidi w:val="0"/>
                    <w:adjustRightInd/>
                    <w:spacing w:before="45" w:line="228" w:lineRule="auto"/>
                    <w:ind w:left="121"/>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7.1无火焰原</w:t>
                  </w:r>
                  <w:r>
                    <w:rPr>
                      <w:rFonts w:hint="default" w:ascii="Times New Roman" w:hAnsi="Times New Roman" w:eastAsia="宋体" w:cs="Times New Roman"/>
                      <w:color w:val="auto"/>
                      <w:spacing w:val="5"/>
                      <w:sz w:val="21"/>
                      <w:szCs w:val="21"/>
                      <w:highlight w:val="none"/>
                      <w:u w:val="none"/>
                    </w:rPr>
                    <w:t>子吸收分光光度法（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5"/>
                      <w:sz w:val="21"/>
                      <w:szCs w:val="21"/>
                      <w:highlight w:val="none"/>
                      <w:u w:val="none"/>
                    </w:rPr>
                    <w:t>17378.5-2007）</w:t>
                  </w:r>
                </w:p>
              </w:tc>
              <w:tc>
                <w:tcPr>
                  <w:tcW w:w="956" w:type="pct"/>
                  <w:noWrap w:val="0"/>
                  <w:vAlign w:val="center"/>
                </w:tcPr>
                <w:p w14:paraId="2C4AAF3F">
                  <w:pPr>
                    <w:pStyle w:val="230"/>
                    <w:keepNext w:val="0"/>
                    <w:keepLines w:val="0"/>
                    <w:pageBreakBefore w:val="0"/>
                    <w:widowControl/>
                    <w:kinsoku/>
                    <w:wordWrap/>
                    <w:overflowPunct/>
                    <w:topLinePunct w:val="0"/>
                    <w:autoSpaceDE/>
                    <w:autoSpaceDN/>
                    <w:bidi w:val="0"/>
                    <w:adjustRightInd/>
                    <w:spacing w:before="179" w:line="231" w:lineRule="auto"/>
                    <w:ind w:left="207"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4"/>
                      <w:sz w:val="21"/>
                      <w:szCs w:val="21"/>
                      <w:highlight w:val="none"/>
                      <w:u w:val="none"/>
                    </w:rPr>
                    <w:t>1.0</w:t>
                  </w:r>
                  <w:r>
                    <w:rPr>
                      <w:rFonts w:hint="default" w:ascii="Times New Roman" w:hAnsi="Times New Roman" w:eastAsia="宋体" w:cs="Times New Roman"/>
                      <w:color w:val="auto"/>
                      <w:spacing w:val="-2"/>
                      <w:sz w:val="21"/>
                      <w:szCs w:val="21"/>
                      <w:highlight w:val="none"/>
                      <w:u w:val="none"/>
                    </w:rPr>
                    <w:t>(ω/10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2D98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179EC88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1" w:type="pct"/>
                  <w:noWrap w:val="0"/>
                  <w:vAlign w:val="center"/>
                </w:tcPr>
                <w:p w14:paraId="52D9D743">
                  <w:pPr>
                    <w:keepNext w:val="0"/>
                    <w:keepLines w:val="0"/>
                    <w:pageBreakBefore w:val="0"/>
                    <w:widowControl/>
                    <w:kinsoku/>
                    <w:wordWrap/>
                    <w:overflowPunct/>
                    <w:topLinePunct w:val="0"/>
                    <w:autoSpaceDE/>
                    <w:autoSpaceDN/>
                    <w:bidi w:val="0"/>
                    <w:adjustRightInd/>
                    <w:spacing w:before="182" w:line="228"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1"/>
                      <w:sz w:val="21"/>
                      <w:szCs w:val="21"/>
                      <w:highlight w:val="none"/>
                      <w:u w:val="none"/>
                    </w:rPr>
                    <w:t>砷</w:t>
                  </w:r>
                </w:p>
              </w:tc>
              <w:tc>
                <w:tcPr>
                  <w:tcW w:w="3078" w:type="pct"/>
                  <w:noWrap w:val="0"/>
                  <w:vAlign w:val="center"/>
                </w:tcPr>
                <w:p w14:paraId="0B1E5FEE">
                  <w:pPr>
                    <w:pStyle w:val="230"/>
                    <w:keepNext w:val="0"/>
                    <w:keepLines w:val="0"/>
                    <w:pageBreakBefore w:val="0"/>
                    <w:widowControl/>
                    <w:kinsoku/>
                    <w:wordWrap/>
                    <w:overflowPunct/>
                    <w:topLinePunct w:val="0"/>
                    <w:autoSpaceDE/>
                    <w:autoSpaceDN/>
                    <w:bidi w:val="0"/>
                    <w:adjustRightInd/>
                    <w:spacing w:before="45" w:line="228" w:lineRule="auto"/>
                    <w:ind w:left="110"/>
                    <w:jc w:val="center"/>
                    <w:rPr>
                      <w:rFonts w:hint="default" w:ascii="Times New Roman" w:hAnsi="Times New Roman" w:eastAsia="宋体" w:cs="Times New Roman"/>
                      <w:color w:val="auto"/>
                      <w:spacing w:val="2"/>
                      <w:sz w:val="21"/>
                      <w:szCs w:val="21"/>
                      <w:highlight w:val="none"/>
                      <w:u w:val="none"/>
                    </w:rPr>
                  </w:pPr>
                  <w:r>
                    <w:rPr>
                      <w:rFonts w:hint="default" w:ascii="Times New Roman" w:hAnsi="Times New Roman" w:eastAsia="宋体" w:cs="Times New Roman"/>
                      <w:color w:val="auto"/>
                      <w:spacing w:val="2"/>
                      <w:sz w:val="21"/>
                      <w:szCs w:val="21"/>
                      <w:highlight w:val="none"/>
                      <w:u w:val="none"/>
                    </w:rPr>
                    <w:t>海洋监测规范</w:t>
                  </w:r>
                  <w:r>
                    <w:rPr>
                      <w:rFonts w:hint="eastAsia" w:ascii="Times New Roman" w:hAnsi="Times New Roman" w:cs="Times New Roman"/>
                      <w:color w:val="auto"/>
                      <w:spacing w:val="2"/>
                      <w:sz w:val="21"/>
                      <w:szCs w:val="21"/>
                      <w:highlight w:val="none"/>
                      <w:u w:val="none"/>
                      <w:lang w:val="en-US" w:eastAsia="zh-CN"/>
                    </w:rPr>
                    <w:t xml:space="preserve"> </w:t>
                  </w:r>
                  <w:r>
                    <w:rPr>
                      <w:rFonts w:hint="default" w:ascii="Times New Roman" w:hAnsi="Times New Roman" w:eastAsia="宋体" w:cs="Times New Roman"/>
                      <w:color w:val="auto"/>
                      <w:spacing w:val="2"/>
                      <w:sz w:val="21"/>
                      <w:szCs w:val="21"/>
                      <w:highlight w:val="none"/>
                      <w:u w:val="none"/>
                    </w:rPr>
                    <w:t>第5部分：沉淀物分析</w:t>
                  </w:r>
                </w:p>
                <w:p w14:paraId="0DD90153">
                  <w:pPr>
                    <w:pStyle w:val="230"/>
                    <w:keepNext w:val="0"/>
                    <w:keepLines w:val="0"/>
                    <w:pageBreakBefore w:val="0"/>
                    <w:widowControl/>
                    <w:kinsoku/>
                    <w:wordWrap/>
                    <w:overflowPunct/>
                    <w:topLinePunct w:val="0"/>
                    <w:autoSpaceDE/>
                    <w:autoSpaceDN/>
                    <w:bidi w:val="0"/>
                    <w:adjustRightInd/>
                    <w:spacing w:before="45" w:line="228" w:lineRule="auto"/>
                    <w:ind w:left="11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11.1原子荧光</w:t>
                  </w:r>
                  <w:r>
                    <w:rPr>
                      <w:rFonts w:hint="default" w:ascii="Times New Roman" w:hAnsi="Times New Roman" w:eastAsia="宋体" w:cs="Times New Roman"/>
                      <w:color w:val="auto"/>
                      <w:spacing w:val="3"/>
                      <w:sz w:val="21"/>
                      <w:szCs w:val="21"/>
                      <w:highlight w:val="none"/>
                      <w:u w:val="none"/>
                    </w:rPr>
                    <w:t>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3"/>
                      <w:sz w:val="21"/>
                      <w:szCs w:val="21"/>
                      <w:highlight w:val="none"/>
                      <w:u w:val="none"/>
                    </w:rPr>
                    <w:t>17378.5-2007）</w:t>
                  </w:r>
                </w:p>
              </w:tc>
              <w:tc>
                <w:tcPr>
                  <w:tcW w:w="956" w:type="pct"/>
                  <w:noWrap w:val="0"/>
                  <w:vAlign w:val="center"/>
                </w:tcPr>
                <w:p w14:paraId="4F0873BA">
                  <w:pPr>
                    <w:pStyle w:val="230"/>
                    <w:keepNext w:val="0"/>
                    <w:keepLines w:val="0"/>
                    <w:pageBreakBefore w:val="0"/>
                    <w:widowControl/>
                    <w:kinsoku/>
                    <w:wordWrap/>
                    <w:overflowPunct/>
                    <w:topLinePunct w:val="0"/>
                    <w:autoSpaceDE/>
                    <w:autoSpaceDN/>
                    <w:bidi w:val="0"/>
                    <w:adjustRightInd/>
                    <w:spacing w:before="181" w:line="231" w:lineRule="auto"/>
                    <w:ind w:left="147"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0.06(ω/10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088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2B80127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581" w:type="pct"/>
                  <w:noWrap w:val="0"/>
                  <w:vAlign w:val="center"/>
                </w:tcPr>
                <w:p w14:paraId="2C5894A0">
                  <w:pPr>
                    <w:keepNext w:val="0"/>
                    <w:keepLines w:val="0"/>
                    <w:pageBreakBefore w:val="0"/>
                    <w:widowControl/>
                    <w:kinsoku/>
                    <w:wordWrap/>
                    <w:overflowPunct/>
                    <w:topLinePunct w:val="0"/>
                    <w:autoSpaceDE/>
                    <w:autoSpaceDN/>
                    <w:bidi w:val="0"/>
                    <w:adjustRightInd/>
                    <w:spacing w:before="165" w:line="229"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u w:val="none"/>
                    </w:rPr>
                    <w:t>铜</w:t>
                  </w:r>
                </w:p>
              </w:tc>
              <w:tc>
                <w:tcPr>
                  <w:tcW w:w="3078" w:type="pct"/>
                  <w:noWrap w:val="0"/>
                  <w:vAlign w:val="center"/>
                </w:tcPr>
                <w:p w14:paraId="0D6BB62C">
                  <w:pPr>
                    <w:pStyle w:val="230"/>
                    <w:keepNext w:val="0"/>
                    <w:keepLines w:val="0"/>
                    <w:pageBreakBefore w:val="0"/>
                    <w:widowControl/>
                    <w:kinsoku/>
                    <w:wordWrap/>
                    <w:overflowPunct/>
                    <w:topLinePunct w:val="0"/>
                    <w:autoSpaceDE/>
                    <w:autoSpaceDN/>
                    <w:bidi w:val="0"/>
                    <w:adjustRightInd/>
                    <w:spacing w:before="30" w:line="228" w:lineRule="auto"/>
                    <w:ind w:left="122"/>
                    <w:jc w:val="center"/>
                    <w:rPr>
                      <w:rFonts w:hint="default" w:ascii="Times New Roman" w:hAnsi="Times New Roman" w:eastAsia="宋体" w:cs="Times New Roman"/>
                      <w:color w:val="auto"/>
                      <w:spacing w:val="7"/>
                      <w:sz w:val="21"/>
                      <w:szCs w:val="21"/>
                      <w:highlight w:val="none"/>
                      <w:u w:val="none"/>
                    </w:rPr>
                  </w:pPr>
                  <w:r>
                    <w:rPr>
                      <w:rFonts w:hint="default" w:ascii="Times New Roman" w:hAnsi="Times New Roman" w:eastAsia="宋体" w:cs="Times New Roman"/>
                      <w:color w:val="auto"/>
                      <w:spacing w:val="7"/>
                      <w:sz w:val="21"/>
                      <w:szCs w:val="21"/>
                      <w:highlight w:val="none"/>
                      <w:u w:val="none"/>
                    </w:rPr>
                    <w:t>海洋监测规范</w:t>
                  </w:r>
                  <w:r>
                    <w:rPr>
                      <w:rFonts w:hint="eastAsia" w:ascii="Times New Roman" w:hAnsi="Times New Roman" w:cs="Times New Roman"/>
                      <w:color w:val="auto"/>
                      <w:spacing w:val="7"/>
                      <w:sz w:val="21"/>
                      <w:szCs w:val="21"/>
                      <w:highlight w:val="none"/>
                      <w:u w:val="none"/>
                      <w:lang w:val="en-US" w:eastAsia="zh-CN"/>
                    </w:rPr>
                    <w:t xml:space="preserve"> </w:t>
                  </w:r>
                  <w:r>
                    <w:rPr>
                      <w:rFonts w:hint="default" w:ascii="Times New Roman" w:hAnsi="Times New Roman" w:eastAsia="宋体" w:cs="Times New Roman"/>
                      <w:color w:val="auto"/>
                      <w:spacing w:val="7"/>
                      <w:sz w:val="21"/>
                      <w:szCs w:val="21"/>
                      <w:highlight w:val="none"/>
                      <w:u w:val="none"/>
                    </w:rPr>
                    <w:t>第5部分：沉淀物分析</w:t>
                  </w:r>
                </w:p>
                <w:p w14:paraId="6554C456">
                  <w:pPr>
                    <w:pStyle w:val="230"/>
                    <w:keepNext w:val="0"/>
                    <w:keepLines w:val="0"/>
                    <w:pageBreakBefore w:val="0"/>
                    <w:widowControl/>
                    <w:kinsoku/>
                    <w:wordWrap/>
                    <w:overflowPunct/>
                    <w:topLinePunct w:val="0"/>
                    <w:autoSpaceDE/>
                    <w:autoSpaceDN/>
                    <w:bidi w:val="0"/>
                    <w:adjustRightInd/>
                    <w:spacing w:before="30" w:line="228" w:lineRule="auto"/>
                    <w:ind w:left="122"/>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7"/>
                      <w:sz w:val="21"/>
                      <w:szCs w:val="21"/>
                      <w:highlight w:val="none"/>
                      <w:u w:val="none"/>
                    </w:rPr>
                    <w:t>6.2火焰原子</w:t>
                  </w:r>
                  <w:r>
                    <w:rPr>
                      <w:rFonts w:hint="default" w:ascii="Times New Roman" w:hAnsi="Times New Roman" w:eastAsia="宋体" w:cs="Times New Roman"/>
                      <w:color w:val="auto"/>
                      <w:spacing w:val="5"/>
                      <w:sz w:val="21"/>
                      <w:szCs w:val="21"/>
                      <w:highlight w:val="none"/>
                      <w:u w:val="none"/>
                    </w:rPr>
                    <w:t>吸收分光光度法（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5"/>
                      <w:sz w:val="21"/>
                      <w:szCs w:val="21"/>
                      <w:highlight w:val="none"/>
                      <w:u w:val="none"/>
                    </w:rPr>
                    <w:t>17378.5-2007）</w:t>
                  </w:r>
                </w:p>
              </w:tc>
              <w:tc>
                <w:tcPr>
                  <w:tcW w:w="956" w:type="pct"/>
                  <w:noWrap w:val="0"/>
                  <w:vAlign w:val="center"/>
                </w:tcPr>
                <w:p w14:paraId="4D8A7FEC">
                  <w:pPr>
                    <w:pStyle w:val="230"/>
                    <w:keepNext w:val="0"/>
                    <w:keepLines w:val="0"/>
                    <w:pageBreakBefore w:val="0"/>
                    <w:widowControl/>
                    <w:kinsoku/>
                    <w:wordWrap/>
                    <w:overflowPunct/>
                    <w:topLinePunct w:val="0"/>
                    <w:autoSpaceDE/>
                    <w:autoSpaceDN/>
                    <w:bidi w:val="0"/>
                    <w:adjustRightInd/>
                    <w:spacing w:before="164" w:line="231" w:lineRule="auto"/>
                    <w:ind w:left="196"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2.0(ω/10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50E5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2C5E7F0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81" w:type="pct"/>
                  <w:noWrap w:val="0"/>
                  <w:vAlign w:val="center"/>
                </w:tcPr>
                <w:p w14:paraId="61C37B00">
                  <w:pPr>
                    <w:keepNext w:val="0"/>
                    <w:keepLines w:val="0"/>
                    <w:pageBreakBefore w:val="0"/>
                    <w:widowControl/>
                    <w:kinsoku/>
                    <w:wordWrap/>
                    <w:overflowPunct/>
                    <w:topLinePunct w:val="0"/>
                    <w:autoSpaceDE/>
                    <w:autoSpaceDN/>
                    <w:bidi w:val="0"/>
                    <w:adjustRightInd/>
                    <w:spacing w:before="169" w:line="228"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总汞</w:t>
                  </w:r>
                </w:p>
              </w:tc>
              <w:tc>
                <w:tcPr>
                  <w:tcW w:w="3078" w:type="pct"/>
                  <w:noWrap w:val="0"/>
                  <w:vAlign w:val="center"/>
                </w:tcPr>
                <w:p w14:paraId="6A3F1DA0">
                  <w:pPr>
                    <w:pStyle w:val="230"/>
                    <w:keepNext w:val="0"/>
                    <w:keepLines w:val="0"/>
                    <w:pageBreakBefore w:val="0"/>
                    <w:widowControl/>
                    <w:kinsoku/>
                    <w:wordWrap/>
                    <w:overflowPunct/>
                    <w:topLinePunct w:val="0"/>
                    <w:autoSpaceDE/>
                    <w:autoSpaceDN/>
                    <w:bidi w:val="0"/>
                    <w:adjustRightInd/>
                    <w:spacing w:before="31" w:line="228" w:lineRule="auto"/>
                    <w:ind w:left="122"/>
                    <w:jc w:val="center"/>
                    <w:rPr>
                      <w:rFonts w:hint="default" w:ascii="Times New Roman" w:hAnsi="Times New Roman" w:eastAsia="宋体" w:cs="Times New Roman"/>
                      <w:color w:val="auto"/>
                      <w:spacing w:val="6"/>
                      <w:sz w:val="21"/>
                      <w:szCs w:val="21"/>
                      <w:highlight w:val="none"/>
                      <w:u w:val="none"/>
                    </w:rPr>
                  </w:pPr>
                  <w:r>
                    <w:rPr>
                      <w:rFonts w:hint="default" w:ascii="Times New Roman" w:hAnsi="Times New Roman" w:eastAsia="宋体" w:cs="Times New Roman"/>
                      <w:color w:val="auto"/>
                      <w:spacing w:val="6"/>
                      <w:sz w:val="21"/>
                      <w:szCs w:val="21"/>
                      <w:highlight w:val="none"/>
                      <w:u w:val="none"/>
                    </w:rPr>
                    <w:t>海洋监测规范</w:t>
                  </w:r>
                  <w:r>
                    <w:rPr>
                      <w:rFonts w:hint="eastAsia" w:ascii="Times New Roman" w:hAnsi="Times New Roman" w:cs="Times New Roman"/>
                      <w:color w:val="auto"/>
                      <w:spacing w:val="6"/>
                      <w:sz w:val="21"/>
                      <w:szCs w:val="21"/>
                      <w:highlight w:val="none"/>
                      <w:u w:val="none"/>
                      <w:lang w:val="en-US" w:eastAsia="zh-CN"/>
                    </w:rPr>
                    <w:t xml:space="preserve"> </w:t>
                  </w:r>
                  <w:r>
                    <w:rPr>
                      <w:rFonts w:hint="default" w:ascii="Times New Roman" w:hAnsi="Times New Roman" w:eastAsia="宋体" w:cs="Times New Roman"/>
                      <w:color w:val="auto"/>
                      <w:spacing w:val="6"/>
                      <w:sz w:val="21"/>
                      <w:szCs w:val="21"/>
                      <w:highlight w:val="none"/>
                      <w:u w:val="none"/>
                    </w:rPr>
                    <w:t>第5部分：沉淀物分析</w:t>
                  </w:r>
                </w:p>
                <w:p w14:paraId="31B1B437">
                  <w:pPr>
                    <w:pStyle w:val="230"/>
                    <w:keepNext w:val="0"/>
                    <w:keepLines w:val="0"/>
                    <w:pageBreakBefore w:val="0"/>
                    <w:widowControl/>
                    <w:kinsoku/>
                    <w:wordWrap/>
                    <w:overflowPunct/>
                    <w:topLinePunct w:val="0"/>
                    <w:autoSpaceDE/>
                    <w:autoSpaceDN/>
                    <w:bidi w:val="0"/>
                    <w:adjustRightInd/>
                    <w:spacing w:before="31" w:line="228" w:lineRule="auto"/>
                    <w:ind w:left="122"/>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5</w:t>
                  </w:r>
                  <w:r>
                    <w:rPr>
                      <w:rFonts w:hint="default" w:ascii="Times New Roman" w:hAnsi="Times New Roman" w:eastAsia="宋体" w:cs="Times New Roman"/>
                      <w:color w:val="auto"/>
                      <w:spacing w:val="5"/>
                      <w:sz w:val="21"/>
                      <w:szCs w:val="21"/>
                      <w:highlight w:val="none"/>
                      <w:u w:val="none"/>
                    </w:rPr>
                    <w:t>.1原子荧光</w:t>
                  </w:r>
                  <w:r>
                    <w:rPr>
                      <w:rFonts w:hint="default" w:ascii="Times New Roman" w:hAnsi="Times New Roman" w:eastAsia="宋体" w:cs="Times New Roman"/>
                      <w:color w:val="auto"/>
                      <w:spacing w:val="3"/>
                      <w:sz w:val="21"/>
                      <w:szCs w:val="21"/>
                      <w:highlight w:val="none"/>
                      <w:u w:val="none"/>
                    </w:rPr>
                    <w:t>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3"/>
                      <w:sz w:val="21"/>
                      <w:szCs w:val="21"/>
                      <w:highlight w:val="none"/>
                      <w:u w:val="none"/>
                    </w:rPr>
                    <w:t>17378.5-2007）</w:t>
                  </w:r>
                </w:p>
              </w:tc>
              <w:tc>
                <w:tcPr>
                  <w:tcW w:w="956" w:type="pct"/>
                  <w:noWrap w:val="0"/>
                  <w:vAlign w:val="center"/>
                </w:tcPr>
                <w:p w14:paraId="4EF6EC15">
                  <w:pPr>
                    <w:pStyle w:val="230"/>
                    <w:keepNext w:val="0"/>
                    <w:keepLines w:val="0"/>
                    <w:pageBreakBefore w:val="0"/>
                    <w:widowControl/>
                    <w:kinsoku/>
                    <w:wordWrap/>
                    <w:overflowPunct/>
                    <w:topLinePunct w:val="0"/>
                    <w:autoSpaceDE/>
                    <w:autoSpaceDN/>
                    <w:bidi w:val="0"/>
                    <w:adjustRightInd/>
                    <w:spacing w:before="168" w:line="231" w:lineRule="auto"/>
                    <w:ind w:left="125"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1"/>
                      <w:sz w:val="21"/>
                      <w:szCs w:val="21"/>
                      <w:highlight w:val="none"/>
                      <w:u w:val="none"/>
                    </w:rPr>
                    <w:t>0.002</w:t>
                  </w:r>
                  <w:r>
                    <w:rPr>
                      <w:rFonts w:hint="default" w:ascii="Times New Roman" w:hAnsi="Times New Roman" w:eastAsia="宋体" w:cs="Times New Roman"/>
                      <w:color w:val="auto"/>
                      <w:spacing w:val="-2"/>
                      <w:sz w:val="21"/>
                      <w:szCs w:val="21"/>
                      <w:highlight w:val="none"/>
                      <w:u w:val="none"/>
                    </w:rPr>
                    <w:t>(ω/10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6990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22AEAC0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81" w:type="pct"/>
                  <w:noWrap w:val="0"/>
                  <w:vAlign w:val="center"/>
                </w:tcPr>
                <w:p w14:paraId="05042F4A">
                  <w:pPr>
                    <w:keepNext w:val="0"/>
                    <w:keepLines w:val="0"/>
                    <w:pageBreakBefore w:val="0"/>
                    <w:widowControl/>
                    <w:kinsoku/>
                    <w:wordWrap/>
                    <w:overflowPunct/>
                    <w:topLinePunct w:val="0"/>
                    <w:autoSpaceDE/>
                    <w:autoSpaceDN/>
                    <w:bidi w:val="0"/>
                    <w:adjustRightInd/>
                    <w:spacing w:before="169" w:line="227"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有机碳</w:t>
                  </w:r>
                </w:p>
              </w:tc>
              <w:tc>
                <w:tcPr>
                  <w:tcW w:w="3078" w:type="pct"/>
                  <w:noWrap w:val="0"/>
                  <w:vAlign w:val="center"/>
                </w:tcPr>
                <w:p w14:paraId="2572EE7F">
                  <w:pPr>
                    <w:pStyle w:val="230"/>
                    <w:keepNext w:val="0"/>
                    <w:keepLines w:val="0"/>
                    <w:pageBreakBefore w:val="0"/>
                    <w:widowControl/>
                    <w:kinsoku/>
                    <w:wordWrap/>
                    <w:overflowPunct/>
                    <w:topLinePunct w:val="0"/>
                    <w:autoSpaceDE/>
                    <w:autoSpaceDN/>
                    <w:bidi w:val="0"/>
                    <w:adjustRightInd/>
                    <w:spacing w:before="34" w:line="228" w:lineRule="auto"/>
                    <w:ind w:left="110"/>
                    <w:jc w:val="center"/>
                    <w:rPr>
                      <w:rFonts w:hint="default" w:ascii="Times New Roman" w:hAnsi="Times New Roman" w:eastAsia="宋体" w:cs="Times New Roman"/>
                      <w:color w:val="auto"/>
                      <w:spacing w:val="2"/>
                      <w:sz w:val="21"/>
                      <w:szCs w:val="21"/>
                      <w:highlight w:val="none"/>
                      <w:u w:val="none"/>
                    </w:rPr>
                  </w:pPr>
                  <w:r>
                    <w:rPr>
                      <w:rFonts w:hint="default" w:ascii="Times New Roman" w:hAnsi="Times New Roman" w:eastAsia="宋体" w:cs="Times New Roman"/>
                      <w:color w:val="auto"/>
                      <w:spacing w:val="2"/>
                      <w:sz w:val="21"/>
                      <w:szCs w:val="21"/>
                      <w:highlight w:val="none"/>
                      <w:u w:val="none"/>
                    </w:rPr>
                    <w:t>海洋监测规范</w:t>
                  </w:r>
                  <w:r>
                    <w:rPr>
                      <w:rFonts w:hint="eastAsia" w:ascii="Times New Roman" w:hAnsi="Times New Roman" w:cs="Times New Roman"/>
                      <w:color w:val="auto"/>
                      <w:spacing w:val="2"/>
                      <w:sz w:val="21"/>
                      <w:szCs w:val="21"/>
                      <w:highlight w:val="none"/>
                      <w:u w:val="none"/>
                      <w:lang w:val="en-US" w:eastAsia="zh-CN"/>
                    </w:rPr>
                    <w:t xml:space="preserve"> </w:t>
                  </w:r>
                  <w:r>
                    <w:rPr>
                      <w:rFonts w:hint="default" w:ascii="Times New Roman" w:hAnsi="Times New Roman" w:eastAsia="宋体" w:cs="Times New Roman"/>
                      <w:color w:val="auto"/>
                      <w:spacing w:val="2"/>
                      <w:sz w:val="21"/>
                      <w:szCs w:val="21"/>
                      <w:highlight w:val="none"/>
                      <w:u w:val="none"/>
                    </w:rPr>
                    <w:t>第5部分：沉淀物分析</w:t>
                  </w:r>
                </w:p>
                <w:p w14:paraId="2D04C5EA">
                  <w:pPr>
                    <w:pStyle w:val="230"/>
                    <w:keepNext w:val="0"/>
                    <w:keepLines w:val="0"/>
                    <w:pageBreakBefore w:val="0"/>
                    <w:widowControl/>
                    <w:kinsoku/>
                    <w:wordWrap/>
                    <w:overflowPunct/>
                    <w:topLinePunct w:val="0"/>
                    <w:autoSpaceDE/>
                    <w:autoSpaceDN/>
                    <w:bidi w:val="0"/>
                    <w:adjustRightInd/>
                    <w:spacing w:before="34" w:line="228" w:lineRule="auto"/>
                    <w:ind w:left="11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18.1重铬酸钾</w:t>
                  </w:r>
                  <w:r>
                    <w:rPr>
                      <w:rFonts w:hint="default" w:ascii="Times New Roman" w:hAnsi="Times New Roman" w:eastAsia="宋体" w:cs="Times New Roman"/>
                      <w:color w:val="auto"/>
                      <w:spacing w:val="5"/>
                      <w:sz w:val="21"/>
                      <w:szCs w:val="21"/>
                      <w:highlight w:val="none"/>
                      <w:u w:val="none"/>
                    </w:rPr>
                    <w:t>氧化-还原容量法（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5"/>
                      <w:sz w:val="21"/>
                      <w:szCs w:val="21"/>
                      <w:highlight w:val="none"/>
                      <w:u w:val="none"/>
                    </w:rPr>
                    <w:t>17378.5-2007）</w:t>
                  </w:r>
                </w:p>
              </w:tc>
              <w:tc>
                <w:tcPr>
                  <w:tcW w:w="956" w:type="pct"/>
                  <w:noWrap w:val="0"/>
                  <w:vAlign w:val="center"/>
                </w:tcPr>
                <w:p w14:paraId="251E7991">
                  <w:pPr>
                    <w:pStyle w:val="230"/>
                    <w:keepNext w:val="0"/>
                    <w:keepLines w:val="0"/>
                    <w:pageBreakBefore w:val="0"/>
                    <w:widowControl/>
                    <w:kinsoku/>
                    <w:wordWrap/>
                    <w:overflowPunct/>
                    <w:topLinePunct w:val="0"/>
                    <w:autoSpaceDE/>
                    <w:autoSpaceDN/>
                    <w:bidi w:val="0"/>
                    <w:adjustRightInd/>
                    <w:spacing w:before="201" w:line="199" w:lineRule="auto"/>
                    <w:ind w:left="766"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w:t>
                  </w:r>
                </w:p>
              </w:tc>
            </w:tr>
            <w:tr w14:paraId="038E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5AF8D3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581" w:type="pct"/>
                  <w:noWrap w:val="0"/>
                  <w:vAlign w:val="center"/>
                </w:tcPr>
                <w:p w14:paraId="268A3E7D">
                  <w:pPr>
                    <w:keepNext w:val="0"/>
                    <w:keepLines w:val="0"/>
                    <w:pageBreakBefore w:val="0"/>
                    <w:widowControl/>
                    <w:kinsoku/>
                    <w:wordWrap/>
                    <w:overflowPunct/>
                    <w:topLinePunct w:val="0"/>
                    <w:autoSpaceDE/>
                    <w:autoSpaceDN/>
                    <w:bidi w:val="0"/>
                    <w:adjustRightInd/>
                    <w:spacing w:before="169" w:line="229"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7"/>
                      <w:sz w:val="21"/>
                      <w:szCs w:val="21"/>
                      <w:highlight w:val="none"/>
                      <w:u w:val="none"/>
                    </w:rPr>
                    <w:t>硫化物</w:t>
                  </w:r>
                </w:p>
              </w:tc>
              <w:tc>
                <w:tcPr>
                  <w:tcW w:w="3078" w:type="pct"/>
                  <w:noWrap w:val="0"/>
                  <w:vAlign w:val="center"/>
                </w:tcPr>
                <w:p w14:paraId="1AB6D22D">
                  <w:pPr>
                    <w:pStyle w:val="230"/>
                    <w:keepNext w:val="0"/>
                    <w:keepLines w:val="0"/>
                    <w:pageBreakBefore w:val="0"/>
                    <w:widowControl/>
                    <w:kinsoku/>
                    <w:wordWrap/>
                    <w:overflowPunct/>
                    <w:topLinePunct w:val="0"/>
                    <w:autoSpaceDE/>
                    <w:autoSpaceDN/>
                    <w:bidi w:val="0"/>
                    <w:adjustRightInd/>
                    <w:spacing w:before="35" w:line="228" w:lineRule="auto"/>
                    <w:ind w:left="110"/>
                    <w:jc w:val="center"/>
                    <w:rPr>
                      <w:rFonts w:hint="default" w:ascii="Times New Roman" w:hAnsi="Times New Roman" w:eastAsia="宋体" w:cs="Times New Roman"/>
                      <w:color w:val="auto"/>
                      <w:spacing w:val="2"/>
                      <w:sz w:val="21"/>
                      <w:szCs w:val="21"/>
                      <w:highlight w:val="none"/>
                      <w:u w:val="none"/>
                    </w:rPr>
                  </w:pPr>
                  <w:r>
                    <w:rPr>
                      <w:rFonts w:hint="default" w:ascii="Times New Roman" w:hAnsi="Times New Roman" w:eastAsia="宋体" w:cs="Times New Roman"/>
                      <w:color w:val="auto"/>
                      <w:spacing w:val="2"/>
                      <w:sz w:val="21"/>
                      <w:szCs w:val="21"/>
                      <w:highlight w:val="none"/>
                      <w:u w:val="none"/>
                    </w:rPr>
                    <w:t>海洋监测规范</w:t>
                  </w:r>
                  <w:r>
                    <w:rPr>
                      <w:rFonts w:hint="eastAsia" w:ascii="Times New Roman" w:hAnsi="Times New Roman" w:cs="Times New Roman"/>
                      <w:color w:val="auto"/>
                      <w:spacing w:val="2"/>
                      <w:sz w:val="21"/>
                      <w:szCs w:val="21"/>
                      <w:highlight w:val="none"/>
                      <w:u w:val="none"/>
                      <w:lang w:val="en-US" w:eastAsia="zh-CN"/>
                    </w:rPr>
                    <w:t xml:space="preserve"> </w:t>
                  </w:r>
                  <w:r>
                    <w:rPr>
                      <w:rFonts w:hint="default" w:ascii="Times New Roman" w:hAnsi="Times New Roman" w:eastAsia="宋体" w:cs="Times New Roman"/>
                      <w:color w:val="auto"/>
                      <w:spacing w:val="2"/>
                      <w:sz w:val="21"/>
                      <w:szCs w:val="21"/>
                      <w:highlight w:val="none"/>
                      <w:u w:val="none"/>
                    </w:rPr>
                    <w:t>第5部分：沉积物分析</w:t>
                  </w:r>
                </w:p>
                <w:p w14:paraId="2CA639C6">
                  <w:pPr>
                    <w:pStyle w:val="230"/>
                    <w:keepNext w:val="0"/>
                    <w:keepLines w:val="0"/>
                    <w:pageBreakBefore w:val="0"/>
                    <w:widowControl/>
                    <w:kinsoku/>
                    <w:wordWrap/>
                    <w:overflowPunct/>
                    <w:topLinePunct w:val="0"/>
                    <w:autoSpaceDE/>
                    <w:autoSpaceDN/>
                    <w:bidi w:val="0"/>
                    <w:adjustRightInd/>
                    <w:spacing w:before="35" w:line="228" w:lineRule="auto"/>
                    <w:ind w:left="11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17.1亚甲基蓝</w:t>
                  </w:r>
                  <w:r>
                    <w:rPr>
                      <w:rFonts w:hint="default" w:ascii="Times New Roman" w:hAnsi="Times New Roman" w:eastAsia="宋体" w:cs="Times New Roman"/>
                      <w:color w:val="auto"/>
                      <w:spacing w:val="4"/>
                      <w:sz w:val="21"/>
                      <w:szCs w:val="21"/>
                      <w:highlight w:val="none"/>
                      <w:u w:val="none"/>
                    </w:rPr>
                    <w:t>分光光度法（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4"/>
                      <w:sz w:val="21"/>
                      <w:szCs w:val="21"/>
                      <w:highlight w:val="none"/>
                      <w:u w:val="none"/>
                    </w:rPr>
                    <w:t>17378.5-2007）</w:t>
                  </w:r>
                </w:p>
              </w:tc>
              <w:tc>
                <w:tcPr>
                  <w:tcW w:w="956" w:type="pct"/>
                  <w:noWrap w:val="0"/>
                  <w:vAlign w:val="center"/>
                </w:tcPr>
                <w:p w14:paraId="4AAA5E7B">
                  <w:pPr>
                    <w:pStyle w:val="230"/>
                    <w:keepNext w:val="0"/>
                    <w:keepLines w:val="0"/>
                    <w:pageBreakBefore w:val="0"/>
                    <w:widowControl/>
                    <w:kinsoku/>
                    <w:wordWrap/>
                    <w:overflowPunct/>
                    <w:topLinePunct w:val="0"/>
                    <w:autoSpaceDE/>
                    <w:autoSpaceDN/>
                    <w:bidi w:val="0"/>
                    <w:adjustRightInd/>
                    <w:spacing w:before="169" w:line="231" w:lineRule="auto"/>
                    <w:ind w:left="199"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0.3(ω/10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67B2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4D1BCF3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1" w:type="pct"/>
                  <w:noWrap w:val="0"/>
                  <w:vAlign w:val="center"/>
                </w:tcPr>
                <w:p w14:paraId="3ACD139E">
                  <w:pPr>
                    <w:keepNext w:val="0"/>
                    <w:keepLines w:val="0"/>
                    <w:pageBreakBefore w:val="0"/>
                    <w:widowControl/>
                    <w:kinsoku/>
                    <w:wordWrap/>
                    <w:overflowPunct/>
                    <w:topLinePunct w:val="0"/>
                    <w:autoSpaceDE/>
                    <w:autoSpaceDN/>
                    <w:bidi w:val="0"/>
                    <w:adjustRightInd/>
                    <w:spacing w:before="170" w:line="228"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6"/>
                      <w:sz w:val="21"/>
                      <w:szCs w:val="21"/>
                      <w:highlight w:val="none"/>
                      <w:u w:val="none"/>
                    </w:rPr>
                    <w:t>石油类</w:t>
                  </w:r>
                </w:p>
              </w:tc>
              <w:tc>
                <w:tcPr>
                  <w:tcW w:w="3078" w:type="pct"/>
                  <w:noWrap w:val="0"/>
                  <w:vAlign w:val="center"/>
                </w:tcPr>
                <w:p w14:paraId="396B44E7">
                  <w:pPr>
                    <w:pStyle w:val="230"/>
                    <w:keepNext w:val="0"/>
                    <w:keepLines w:val="0"/>
                    <w:pageBreakBefore w:val="0"/>
                    <w:widowControl/>
                    <w:kinsoku/>
                    <w:wordWrap/>
                    <w:overflowPunct/>
                    <w:topLinePunct w:val="0"/>
                    <w:autoSpaceDE/>
                    <w:autoSpaceDN/>
                    <w:bidi w:val="0"/>
                    <w:adjustRightInd/>
                    <w:spacing w:before="36" w:line="228" w:lineRule="auto"/>
                    <w:ind w:left="122"/>
                    <w:jc w:val="center"/>
                    <w:rPr>
                      <w:rFonts w:hint="default" w:ascii="Times New Roman" w:hAnsi="Times New Roman" w:eastAsia="宋体" w:cs="Times New Roman"/>
                      <w:color w:val="auto"/>
                      <w:spacing w:val="5"/>
                      <w:sz w:val="21"/>
                      <w:szCs w:val="21"/>
                      <w:highlight w:val="none"/>
                      <w:u w:val="none"/>
                    </w:rPr>
                  </w:pPr>
                  <w:r>
                    <w:rPr>
                      <w:rFonts w:hint="default" w:ascii="Times New Roman" w:hAnsi="Times New Roman" w:eastAsia="宋体" w:cs="Times New Roman"/>
                      <w:color w:val="auto"/>
                      <w:spacing w:val="5"/>
                      <w:sz w:val="21"/>
                      <w:szCs w:val="21"/>
                      <w:highlight w:val="none"/>
                      <w:u w:val="none"/>
                    </w:rPr>
                    <w:t>海洋监测规范</w:t>
                  </w:r>
                  <w:r>
                    <w:rPr>
                      <w:rFonts w:hint="eastAsia" w:ascii="Times New Roman" w:hAnsi="Times New Roman" w:cs="Times New Roman"/>
                      <w:color w:val="auto"/>
                      <w:spacing w:val="5"/>
                      <w:sz w:val="21"/>
                      <w:szCs w:val="21"/>
                      <w:highlight w:val="none"/>
                      <w:u w:val="none"/>
                      <w:lang w:val="en-US" w:eastAsia="zh-CN"/>
                    </w:rPr>
                    <w:t xml:space="preserve"> </w:t>
                  </w:r>
                  <w:r>
                    <w:rPr>
                      <w:rFonts w:hint="default" w:ascii="Times New Roman" w:hAnsi="Times New Roman" w:eastAsia="宋体" w:cs="Times New Roman"/>
                      <w:color w:val="auto"/>
                      <w:spacing w:val="5"/>
                      <w:sz w:val="21"/>
                      <w:szCs w:val="21"/>
                      <w:highlight w:val="none"/>
                      <w:u w:val="none"/>
                    </w:rPr>
                    <w:t>第5部分：沉积物分析</w:t>
                  </w:r>
                </w:p>
                <w:p w14:paraId="5934F303">
                  <w:pPr>
                    <w:pStyle w:val="230"/>
                    <w:keepNext w:val="0"/>
                    <w:keepLines w:val="0"/>
                    <w:pageBreakBefore w:val="0"/>
                    <w:widowControl/>
                    <w:kinsoku/>
                    <w:wordWrap/>
                    <w:overflowPunct/>
                    <w:topLinePunct w:val="0"/>
                    <w:autoSpaceDE/>
                    <w:autoSpaceDN/>
                    <w:bidi w:val="0"/>
                    <w:adjustRightInd/>
                    <w:spacing w:before="36" w:line="228" w:lineRule="auto"/>
                    <w:ind w:left="122"/>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5"/>
                      <w:sz w:val="21"/>
                      <w:szCs w:val="21"/>
                      <w:highlight w:val="none"/>
                      <w:u w:val="none"/>
                    </w:rPr>
                    <w:t>13.1荧光分光</w:t>
                  </w:r>
                  <w:r>
                    <w:rPr>
                      <w:rFonts w:hint="default" w:ascii="Times New Roman" w:hAnsi="Times New Roman" w:eastAsia="宋体" w:cs="Times New Roman"/>
                      <w:color w:val="auto"/>
                      <w:spacing w:val="4"/>
                      <w:sz w:val="21"/>
                      <w:szCs w:val="21"/>
                      <w:highlight w:val="none"/>
                      <w:u w:val="none"/>
                    </w:rPr>
                    <w:t>光度法（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4"/>
                      <w:sz w:val="21"/>
                      <w:szCs w:val="21"/>
                      <w:highlight w:val="none"/>
                      <w:u w:val="none"/>
                    </w:rPr>
                    <w:t>17378.5-2007）</w:t>
                  </w:r>
                </w:p>
              </w:tc>
              <w:tc>
                <w:tcPr>
                  <w:tcW w:w="956" w:type="pct"/>
                  <w:noWrap w:val="0"/>
                  <w:vAlign w:val="center"/>
                </w:tcPr>
                <w:p w14:paraId="4FF73B1C">
                  <w:pPr>
                    <w:pStyle w:val="230"/>
                    <w:keepNext w:val="0"/>
                    <w:keepLines w:val="0"/>
                    <w:pageBreakBefore w:val="0"/>
                    <w:widowControl/>
                    <w:kinsoku/>
                    <w:wordWrap/>
                    <w:overflowPunct/>
                    <w:topLinePunct w:val="0"/>
                    <w:autoSpaceDE/>
                    <w:autoSpaceDN/>
                    <w:bidi w:val="0"/>
                    <w:adjustRightInd/>
                    <w:spacing w:before="170" w:line="231" w:lineRule="auto"/>
                    <w:ind w:left="216"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4"/>
                      <w:sz w:val="21"/>
                      <w:szCs w:val="21"/>
                      <w:highlight w:val="none"/>
                      <w:u w:val="none"/>
                    </w:rPr>
                    <w:t>1.0</w:t>
                  </w:r>
                  <w:r>
                    <w:rPr>
                      <w:rFonts w:hint="default" w:ascii="Times New Roman" w:hAnsi="Times New Roman" w:eastAsia="宋体" w:cs="Times New Roman"/>
                      <w:color w:val="auto"/>
                      <w:spacing w:val="-2"/>
                      <w:sz w:val="21"/>
                      <w:szCs w:val="21"/>
                      <w:highlight w:val="none"/>
                      <w:u w:val="none"/>
                    </w:rPr>
                    <w:t>(ω/10</w:t>
                  </w:r>
                  <w:r>
                    <w:rPr>
                      <w:rFonts w:hint="default" w:ascii="Times New Roman" w:hAnsi="Times New Roman" w:eastAsia="宋体" w:cs="Times New Roman"/>
                      <w:color w:val="auto"/>
                      <w:spacing w:val="-2"/>
                      <w:position w:val="6"/>
                      <w:sz w:val="21"/>
                      <w:szCs w:val="21"/>
                      <w:highlight w:val="none"/>
                      <w:u w:val="none"/>
                      <w:vertAlign w:val="superscript"/>
                    </w:rPr>
                    <w:t>-6</w:t>
                  </w:r>
                  <w:r>
                    <w:rPr>
                      <w:rFonts w:hint="default" w:ascii="Times New Roman" w:hAnsi="Times New Roman" w:eastAsia="宋体" w:cs="Times New Roman"/>
                      <w:color w:val="auto"/>
                      <w:spacing w:val="-2"/>
                      <w:sz w:val="21"/>
                      <w:szCs w:val="21"/>
                      <w:highlight w:val="none"/>
                      <w:u w:val="none"/>
                    </w:rPr>
                    <w:t>）</w:t>
                  </w:r>
                </w:p>
              </w:tc>
            </w:tr>
            <w:tr w14:paraId="3AFE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14:paraId="6A0F7E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581" w:type="pct"/>
                  <w:noWrap w:val="0"/>
                  <w:vAlign w:val="center"/>
                </w:tcPr>
                <w:p w14:paraId="56890FD8">
                  <w:pPr>
                    <w:keepNext w:val="0"/>
                    <w:keepLines w:val="0"/>
                    <w:pageBreakBefore w:val="0"/>
                    <w:widowControl/>
                    <w:kinsoku/>
                    <w:wordWrap/>
                    <w:overflowPunct/>
                    <w:topLinePunct w:val="0"/>
                    <w:autoSpaceDE/>
                    <w:autoSpaceDN/>
                    <w:bidi w:val="0"/>
                    <w:adjustRightInd/>
                    <w:spacing w:before="172" w:line="228"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4"/>
                      <w:sz w:val="21"/>
                      <w:szCs w:val="21"/>
                      <w:highlight w:val="none"/>
                      <w:u w:val="none"/>
                    </w:rPr>
                    <w:t>粒度</w:t>
                  </w:r>
                </w:p>
              </w:tc>
              <w:tc>
                <w:tcPr>
                  <w:tcW w:w="3078" w:type="pct"/>
                  <w:noWrap w:val="0"/>
                  <w:vAlign w:val="center"/>
                </w:tcPr>
                <w:p w14:paraId="52DD5789">
                  <w:pPr>
                    <w:pStyle w:val="230"/>
                    <w:keepNext w:val="0"/>
                    <w:keepLines w:val="0"/>
                    <w:pageBreakBefore w:val="0"/>
                    <w:widowControl/>
                    <w:kinsoku/>
                    <w:wordWrap/>
                    <w:overflowPunct/>
                    <w:topLinePunct w:val="0"/>
                    <w:autoSpaceDE/>
                    <w:autoSpaceDN/>
                    <w:bidi w:val="0"/>
                    <w:adjustRightInd/>
                    <w:spacing w:before="36" w:line="232" w:lineRule="auto"/>
                    <w:ind w:left="629" w:leftChars="0" w:right="94" w:rightChars="0" w:hanging="519" w:firstLineChars="0"/>
                    <w:jc w:val="center"/>
                    <w:rPr>
                      <w:rFonts w:hint="default" w:ascii="Times New Roman" w:hAnsi="Times New Roman" w:eastAsia="宋体" w:cs="Times New Roman"/>
                      <w:color w:val="auto"/>
                      <w:spacing w:val="3"/>
                      <w:sz w:val="21"/>
                      <w:szCs w:val="21"/>
                      <w:highlight w:val="none"/>
                      <w:u w:val="none"/>
                    </w:rPr>
                  </w:pPr>
                  <w:r>
                    <w:rPr>
                      <w:rFonts w:hint="default" w:ascii="Times New Roman" w:hAnsi="Times New Roman" w:eastAsia="宋体" w:cs="Times New Roman"/>
                      <w:color w:val="auto"/>
                      <w:spacing w:val="3"/>
                      <w:sz w:val="21"/>
                      <w:szCs w:val="21"/>
                      <w:highlight w:val="none"/>
                      <w:u w:val="none"/>
                    </w:rPr>
                    <w:t>海洋调查规范</w:t>
                  </w:r>
                  <w:r>
                    <w:rPr>
                      <w:rFonts w:hint="eastAsia" w:ascii="Times New Roman" w:hAnsi="Times New Roman" w:cs="Times New Roman"/>
                      <w:color w:val="auto"/>
                      <w:spacing w:val="3"/>
                      <w:sz w:val="21"/>
                      <w:szCs w:val="21"/>
                      <w:highlight w:val="none"/>
                      <w:u w:val="none"/>
                      <w:lang w:val="en-US" w:eastAsia="zh-CN"/>
                    </w:rPr>
                    <w:t xml:space="preserve"> </w:t>
                  </w:r>
                  <w:r>
                    <w:rPr>
                      <w:rFonts w:hint="default" w:ascii="Times New Roman" w:hAnsi="Times New Roman" w:eastAsia="宋体" w:cs="Times New Roman"/>
                      <w:color w:val="auto"/>
                      <w:spacing w:val="3"/>
                      <w:sz w:val="21"/>
                      <w:szCs w:val="21"/>
                      <w:highlight w:val="none"/>
                      <w:u w:val="none"/>
                    </w:rPr>
                    <w:t>第8部分：海洋地质地球物理调查</w:t>
                  </w:r>
                </w:p>
                <w:p w14:paraId="7BEB697D">
                  <w:pPr>
                    <w:pStyle w:val="230"/>
                    <w:keepNext w:val="0"/>
                    <w:keepLines w:val="0"/>
                    <w:pageBreakBefore w:val="0"/>
                    <w:widowControl/>
                    <w:kinsoku/>
                    <w:wordWrap/>
                    <w:overflowPunct/>
                    <w:topLinePunct w:val="0"/>
                    <w:autoSpaceDE/>
                    <w:autoSpaceDN/>
                    <w:bidi w:val="0"/>
                    <w:adjustRightInd/>
                    <w:spacing w:before="36" w:line="232" w:lineRule="auto"/>
                    <w:ind w:left="629" w:leftChars="0" w:right="94" w:rightChars="0" w:hanging="519"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3"/>
                      <w:sz w:val="21"/>
                      <w:szCs w:val="21"/>
                      <w:highlight w:val="none"/>
                      <w:u w:val="none"/>
                    </w:rPr>
                    <w:t>(6.3.2.3</w:t>
                  </w:r>
                  <w:r>
                    <w:rPr>
                      <w:rFonts w:hint="default" w:ascii="Times New Roman" w:hAnsi="Times New Roman" w:eastAsia="宋体" w:cs="Times New Roman"/>
                      <w:color w:val="auto"/>
                      <w:spacing w:val="6"/>
                      <w:sz w:val="21"/>
                      <w:szCs w:val="21"/>
                      <w:highlight w:val="none"/>
                      <w:u w:val="none"/>
                    </w:rPr>
                    <w:t>沉积物粒度分析激光法)</w:t>
                  </w:r>
                  <w:r>
                    <w:rPr>
                      <w:rFonts w:hint="default" w:ascii="Times New Roman" w:hAnsi="Times New Roman" w:eastAsia="宋体" w:cs="Times New Roman"/>
                      <w:color w:val="auto"/>
                      <w:sz w:val="21"/>
                      <w:szCs w:val="21"/>
                      <w:highlight w:val="none"/>
                      <w:u w:val="none"/>
                    </w:rPr>
                    <w:t>GB</w:t>
                  </w:r>
                  <w:r>
                    <w:rPr>
                      <w:rFonts w:hint="default" w:ascii="Times New Roman" w:hAnsi="Times New Roman" w:eastAsia="宋体" w:cs="Times New Roman"/>
                      <w:color w:val="auto"/>
                      <w:spacing w:val="6"/>
                      <w:sz w:val="21"/>
                      <w:szCs w:val="21"/>
                      <w:highlight w:val="none"/>
                      <w:u w:val="none"/>
                    </w:rPr>
                    <w:t>/T12763.8</w:t>
                  </w:r>
                  <w:r>
                    <w:rPr>
                      <w:rFonts w:hint="default" w:ascii="Times New Roman" w:hAnsi="Times New Roman" w:eastAsia="宋体" w:cs="Times New Roman"/>
                      <w:color w:val="auto"/>
                      <w:spacing w:val="5"/>
                      <w:sz w:val="21"/>
                      <w:szCs w:val="21"/>
                      <w:highlight w:val="none"/>
                      <w:u w:val="none"/>
                    </w:rPr>
                    <w:t>-2007</w:t>
                  </w:r>
                </w:p>
              </w:tc>
              <w:tc>
                <w:tcPr>
                  <w:tcW w:w="956" w:type="pct"/>
                  <w:noWrap w:val="0"/>
                  <w:vAlign w:val="center"/>
                </w:tcPr>
                <w:p w14:paraId="65512310">
                  <w:pPr>
                    <w:pStyle w:val="230"/>
                    <w:keepNext w:val="0"/>
                    <w:keepLines w:val="0"/>
                    <w:pageBreakBefore w:val="0"/>
                    <w:widowControl/>
                    <w:kinsoku/>
                    <w:wordWrap/>
                    <w:overflowPunct/>
                    <w:topLinePunct w:val="0"/>
                    <w:autoSpaceDE/>
                    <w:autoSpaceDN/>
                    <w:bidi w:val="0"/>
                    <w:adjustRightInd/>
                    <w:spacing w:before="206" w:line="199" w:lineRule="auto"/>
                    <w:ind w:left="766" w:leftChars="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2"/>
                      <w:sz w:val="21"/>
                      <w:szCs w:val="21"/>
                      <w:highlight w:val="none"/>
                      <w:u w:val="none"/>
                    </w:rPr>
                    <w:t>/</w:t>
                  </w:r>
                </w:p>
              </w:tc>
            </w:tr>
          </w:tbl>
          <w:p w14:paraId="1EA0B3F5">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none"/>
                <w:lang w:val="en-US" w:eastAsia="zh-CN" w:bidi="ar-SA"/>
              </w:rPr>
            </w:pPr>
            <w:r>
              <w:rPr>
                <w:rFonts w:hint="eastAsia" w:ascii="Times New Roman" w:hAnsi="Times New Roman" w:eastAsia="黑体" w:cs="Times New Roman"/>
                <w:b/>
                <w:bCs/>
                <w:color w:val="auto"/>
                <w:kern w:val="2"/>
                <w:sz w:val="24"/>
                <w:szCs w:val="28"/>
                <w:highlight w:val="none"/>
                <w:u w:val="none"/>
                <w:lang w:val="en-US" w:eastAsia="zh-CN" w:bidi="ar-SA"/>
              </w:rPr>
              <w:t>3.1.4.3疏浚物监测结果</w:t>
            </w:r>
          </w:p>
          <w:p w14:paraId="01573F94">
            <w:pPr>
              <w:widowControl/>
              <w:spacing w:line="360" w:lineRule="auto"/>
              <w:ind w:firstLine="480" w:firstLineChars="20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lang w:val="en-US" w:eastAsia="zh-CN"/>
              </w:rPr>
              <w:t>疏浚物监测结果详见表3.1-</w:t>
            </w:r>
            <w:r>
              <w:rPr>
                <w:rFonts w:hint="eastAsia" w:cs="Times New Roman"/>
                <w:color w:val="auto"/>
                <w:sz w:val="24"/>
                <w:highlight w:val="none"/>
                <w:u w:val="none"/>
                <w:lang w:val="en-US" w:eastAsia="zh-CN"/>
              </w:rPr>
              <w:t>28</w:t>
            </w:r>
            <w:r>
              <w:rPr>
                <w:rFonts w:hint="eastAsia" w:ascii="Times New Roman" w:hAnsi="Times New Roman" w:eastAsia="宋体" w:cs="Times New Roman"/>
                <w:color w:val="auto"/>
                <w:sz w:val="24"/>
                <w:highlight w:val="none"/>
                <w:u w:val="none"/>
                <w:lang w:val="en-US" w:eastAsia="zh-CN"/>
              </w:rPr>
              <w:t>，疏浚物粒度分析结果详见表3.1-</w:t>
            </w:r>
            <w:r>
              <w:rPr>
                <w:rFonts w:hint="eastAsia" w:cs="Times New Roman"/>
                <w:color w:val="auto"/>
                <w:sz w:val="24"/>
                <w:highlight w:val="none"/>
                <w:u w:val="none"/>
                <w:lang w:val="en-US" w:eastAsia="zh-CN"/>
              </w:rPr>
              <w:t>29</w:t>
            </w:r>
            <w:r>
              <w:rPr>
                <w:rFonts w:hint="eastAsia" w:ascii="Times New Roman" w:hAnsi="Times New Roman" w:eastAsia="宋体" w:cs="Times New Roman"/>
                <w:color w:val="auto"/>
                <w:sz w:val="24"/>
                <w:highlight w:val="none"/>
                <w:u w:val="none"/>
              </w:rPr>
              <w:t>。</w:t>
            </w:r>
          </w:p>
          <w:p w14:paraId="42C56991">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eastAsia"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w:t>
            </w:r>
            <w:r>
              <w:rPr>
                <w:rFonts w:hint="eastAsia" w:cs="Times New Roman"/>
                <w:b/>
                <w:bCs/>
                <w:color w:val="auto"/>
                <w:kern w:val="2"/>
                <w:sz w:val="21"/>
                <w:szCs w:val="21"/>
                <w:highlight w:val="none"/>
                <w:u w:val="none"/>
                <w:lang w:val="en-US" w:eastAsia="zh-CN" w:bidi="ar-SA"/>
              </w:rPr>
              <w:t>-28</w:t>
            </w:r>
            <w:r>
              <w:rPr>
                <w:rFonts w:hint="eastAsia" w:ascii="Times New Roman" w:hAnsi="Times New Roman" w:eastAsia="宋体" w:cs="Times New Roman"/>
                <w:b/>
                <w:bCs/>
                <w:color w:val="auto"/>
                <w:kern w:val="2"/>
                <w:sz w:val="21"/>
                <w:szCs w:val="21"/>
                <w:highlight w:val="none"/>
                <w:u w:val="none"/>
                <w:lang w:val="en-US" w:eastAsia="zh-CN" w:bidi="ar-SA"/>
              </w:rPr>
              <w:t>疏浚物监测结果</w:t>
            </w:r>
          </w:p>
          <w:tbl>
            <w:tblPr>
              <w:tblStyle w:val="229"/>
              <w:tblW w:w="499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3"/>
              <w:gridCol w:w="736"/>
              <w:gridCol w:w="613"/>
              <w:gridCol w:w="733"/>
              <w:gridCol w:w="620"/>
              <w:gridCol w:w="719"/>
              <w:gridCol w:w="726"/>
              <w:gridCol w:w="719"/>
              <w:gridCol w:w="719"/>
              <w:gridCol w:w="726"/>
              <w:gridCol w:w="801"/>
            </w:tblGrid>
            <w:tr w14:paraId="49C9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718" w:type="pct"/>
                  <w:vMerge w:val="restart"/>
                  <w:tcBorders>
                    <w:bottom w:val="nil"/>
                  </w:tcBorders>
                  <w:noWrap w:val="0"/>
                  <w:vAlign w:val="center"/>
                </w:tcPr>
                <w:p w14:paraId="2021156A">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4"/>
                      <w:sz w:val="21"/>
                      <w:szCs w:val="21"/>
                      <w:highlight w:val="none"/>
                      <w:u w:val="none"/>
                    </w:rPr>
                    <w:t>站位编号</w:t>
                  </w:r>
                </w:p>
              </w:tc>
              <w:tc>
                <w:tcPr>
                  <w:tcW w:w="4281" w:type="pct"/>
                  <w:gridSpan w:val="10"/>
                  <w:noWrap w:val="0"/>
                  <w:vAlign w:val="center"/>
                </w:tcPr>
                <w:p w14:paraId="65D3928F">
                  <w:pPr>
                    <w:keepNext w:val="0"/>
                    <w:keepLines w:val="0"/>
                    <w:pageBreakBefore w:val="0"/>
                    <w:widowControl w:val="0"/>
                    <w:kinsoku/>
                    <w:wordWrap/>
                    <w:overflowPunct/>
                    <w:topLinePunct w:val="0"/>
                    <w:autoSpaceDE/>
                    <w:autoSpaceDN/>
                    <w:bidi w:val="0"/>
                    <w:adjustRightInd/>
                    <w:snapToGrid/>
                    <w:spacing w:line="283" w:lineRule="exact"/>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b/>
                      <w:bCs/>
                      <w:color w:val="auto"/>
                      <w:spacing w:val="-1"/>
                      <w:sz w:val="21"/>
                      <w:szCs w:val="21"/>
                      <w:highlight w:val="none"/>
                      <w:u w:val="none"/>
                    </w:rPr>
                    <w:t>ω/10</w:t>
                  </w:r>
                  <w:r>
                    <w:rPr>
                      <w:rFonts w:hint="eastAsia" w:ascii="Times New Roman" w:hAnsi="Times New Roman" w:eastAsia="宋体" w:cs="Times New Roman"/>
                      <w:b/>
                      <w:bCs/>
                      <w:color w:val="auto"/>
                      <w:spacing w:val="-1"/>
                      <w:sz w:val="21"/>
                      <w:szCs w:val="21"/>
                      <w:highlight w:val="none"/>
                      <w:u w:val="none"/>
                      <w:vertAlign w:val="superscript"/>
                      <w:lang w:val="en-US" w:eastAsia="zh-CN"/>
                    </w:rPr>
                    <w:t>-6</w:t>
                  </w:r>
                </w:p>
              </w:tc>
            </w:tr>
            <w:tr w14:paraId="637E9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18" w:type="pct"/>
                  <w:vMerge w:val="continue"/>
                  <w:tcBorders>
                    <w:top w:val="nil"/>
                  </w:tcBorders>
                  <w:noWrap w:val="0"/>
                  <w:vAlign w:val="center"/>
                </w:tcPr>
                <w:p w14:paraId="7471F76A">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szCs w:val="21"/>
                      <w:highlight w:val="none"/>
                      <w:u w:val="none"/>
                    </w:rPr>
                  </w:pPr>
                </w:p>
              </w:tc>
              <w:tc>
                <w:tcPr>
                  <w:tcW w:w="443" w:type="pct"/>
                  <w:noWrap w:val="0"/>
                  <w:vAlign w:val="center"/>
                </w:tcPr>
                <w:p w14:paraId="7DA85F7D">
                  <w:pPr>
                    <w:pStyle w:val="230"/>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有机碳*</w:t>
                  </w:r>
                </w:p>
              </w:tc>
              <w:tc>
                <w:tcPr>
                  <w:tcW w:w="369" w:type="pct"/>
                  <w:noWrap w:val="0"/>
                  <w:vAlign w:val="center"/>
                </w:tcPr>
                <w:p w14:paraId="0517AC4A">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5"/>
                      <w:sz w:val="21"/>
                      <w:szCs w:val="21"/>
                      <w:highlight w:val="none"/>
                      <w:u w:val="none"/>
                    </w:rPr>
                    <w:t>油类</w:t>
                  </w:r>
                </w:p>
              </w:tc>
              <w:tc>
                <w:tcPr>
                  <w:tcW w:w="441" w:type="pct"/>
                  <w:noWrap w:val="0"/>
                  <w:vAlign w:val="center"/>
                </w:tcPr>
                <w:p w14:paraId="2C55E21A">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4"/>
                      <w:sz w:val="21"/>
                      <w:szCs w:val="21"/>
                      <w:highlight w:val="none"/>
                      <w:u w:val="none"/>
                    </w:rPr>
                    <w:t>硫化物</w:t>
                  </w:r>
                </w:p>
              </w:tc>
              <w:tc>
                <w:tcPr>
                  <w:tcW w:w="373" w:type="pct"/>
                  <w:noWrap w:val="0"/>
                  <w:vAlign w:val="center"/>
                </w:tcPr>
                <w:p w14:paraId="3B50C3E3">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铜</w:t>
                  </w:r>
                </w:p>
              </w:tc>
              <w:tc>
                <w:tcPr>
                  <w:tcW w:w="433" w:type="pct"/>
                  <w:noWrap w:val="0"/>
                  <w:vAlign w:val="center"/>
                </w:tcPr>
                <w:p w14:paraId="66EE5010">
                  <w:pPr>
                    <w:pStyle w:val="230"/>
                    <w:keepNext w:val="0"/>
                    <w:keepLines w:val="0"/>
                    <w:pageBreakBefore w:val="0"/>
                    <w:widowControl w:val="0"/>
                    <w:kinsoku/>
                    <w:wordWrap/>
                    <w:overflowPunct/>
                    <w:topLinePunct w:val="0"/>
                    <w:autoSpaceDE/>
                    <w:autoSpaceDN/>
                    <w:bidi w:val="0"/>
                    <w:adjustRightInd/>
                    <w:snapToGrid/>
                    <w:spacing w:line="22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铅</w:t>
                  </w:r>
                </w:p>
              </w:tc>
              <w:tc>
                <w:tcPr>
                  <w:tcW w:w="437" w:type="pct"/>
                  <w:noWrap w:val="0"/>
                  <w:vAlign w:val="center"/>
                </w:tcPr>
                <w:p w14:paraId="38C38422">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锌</w:t>
                  </w:r>
                </w:p>
              </w:tc>
              <w:tc>
                <w:tcPr>
                  <w:tcW w:w="433" w:type="pct"/>
                  <w:noWrap w:val="0"/>
                  <w:vAlign w:val="center"/>
                </w:tcPr>
                <w:p w14:paraId="38739358">
                  <w:pPr>
                    <w:pStyle w:val="230"/>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镉</w:t>
                  </w:r>
                </w:p>
              </w:tc>
              <w:tc>
                <w:tcPr>
                  <w:tcW w:w="433" w:type="pct"/>
                  <w:noWrap w:val="0"/>
                  <w:vAlign w:val="center"/>
                </w:tcPr>
                <w:p w14:paraId="6F78648F">
                  <w:pPr>
                    <w:pStyle w:val="230"/>
                    <w:keepNext w:val="0"/>
                    <w:keepLines w:val="0"/>
                    <w:pageBreakBefore w:val="0"/>
                    <w:widowControl w:val="0"/>
                    <w:kinsoku/>
                    <w:wordWrap/>
                    <w:overflowPunct/>
                    <w:topLinePunct w:val="0"/>
                    <w:autoSpaceDE/>
                    <w:autoSpaceDN/>
                    <w:bidi w:val="0"/>
                    <w:adjustRightInd/>
                    <w:snapToGrid/>
                    <w:spacing w:line="223"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铬</w:t>
                  </w:r>
                </w:p>
              </w:tc>
              <w:tc>
                <w:tcPr>
                  <w:tcW w:w="437" w:type="pct"/>
                  <w:noWrap w:val="0"/>
                  <w:vAlign w:val="center"/>
                </w:tcPr>
                <w:p w14:paraId="15EFBDD1">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汞</w:t>
                  </w:r>
                </w:p>
              </w:tc>
              <w:tc>
                <w:tcPr>
                  <w:tcW w:w="476" w:type="pct"/>
                  <w:noWrap w:val="0"/>
                  <w:vAlign w:val="center"/>
                </w:tcPr>
                <w:p w14:paraId="0BB563FB">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砷</w:t>
                  </w:r>
                </w:p>
              </w:tc>
            </w:tr>
            <w:tr w14:paraId="338E7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8" w:type="pct"/>
                  <w:noWrap w:val="0"/>
                  <w:vAlign w:val="center"/>
                </w:tcPr>
                <w:p w14:paraId="51CE43E1">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GQ1</w:t>
                  </w:r>
                </w:p>
              </w:tc>
              <w:tc>
                <w:tcPr>
                  <w:tcW w:w="443" w:type="pct"/>
                  <w:noWrap w:val="0"/>
                  <w:vAlign w:val="center"/>
                </w:tcPr>
                <w:p w14:paraId="756A59A9">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52712CF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47557F1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3D0DB61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551D8ABD">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7BDD36A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48EECC6B">
                  <w:pPr>
                    <w:pStyle w:val="230"/>
                    <w:keepNext w:val="0"/>
                    <w:keepLines w:val="0"/>
                    <w:pageBreakBefore w:val="0"/>
                    <w:widowControl w:val="0"/>
                    <w:kinsoku/>
                    <w:wordWrap/>
                    <w:overflowPunct/>
                    <w:topLinePunct w:val="0"/>
                    <w:autoSpaceDE/>
                    <w:autoSpaceDN/>
                    <w:bidi w:val="0"/>
                    <w:adjustRightInd/>
                    <w:snapToGrid/>
                    <w:spacing w:line="285" w:lineRule="exact"/>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11E1E425">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674B5E7D">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4D618FC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3B49B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8" w:type="pct"/>
                  <w:noWrap w:val="0"/>
                  <w:vAlign w:val="center"/>
                </w:tcPr>
                <w:p w14:paraId="686F7EA0">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GQ2</w:t>
                  </w:r>
                </w:p>
              </w:tc>
              <w:tc>
                <w:tcPr>
                  <w:tcW w:w="443" w:type="pct"/>
                  <w:noWrap w:val="0"/>
                  <w:vAlign w:val="center"/>
                </w:tcPr>
                <w:p w14:paraId="5D831DF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551D29D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338DD634">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35AC653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4CEF77F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3C4878FF">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4AB4D8D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714F571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2D57DA0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46CCF949">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37AC0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18" w:type="pct"/>
                  <w:noWrap w:val="0"/>
                  <w:vAlign w:val="center"/>
                </w:tcPr>
                <w:p w14:paraId="2AFE0A94">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GQ3</w:t>
                  </w:r>
                </w:p>
              </w:tc>
              <w:tc>
                <w:tcPr>
                  <w:tcW w:w="443" w:type="pct"/>
                  <w:noWrap w:val="0"/>
                  <w:vAlign w:val="center"/>
                </w:tcPr>
                <w:p w14:paraId="0AACECA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79C93F70">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7EEDF3C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4001C22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55ADEEE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64F29005">
                  <w:pPr>
                    <w:keepNext w:val="0"/>
                    <w:keepLines w:val="0"/>
                    <w:pageBreakBefore w:val="0"/>
                    <w:widowControl w:val="0"/>
                    <w:kinsoku/>
                    <w:wordWrap/>
                    <w:overflowPunct/>
                    <w:topLinePunct w:val="0"/>
                    <w:autoSpaceDE/>
                    <w:autoSpaceDN/>
                    <w:bidi w:val="0"/>
                    <w:adjustRightInd/>
                    <w:snapToGrid/>
                    <w:spacing w:line="236"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29D067B9">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03EFBE1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3B99B99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5ED6B18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34861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8" w:type="pct"/>
                  <w:noWrap w:val="0"/>
                  <w:vAlign w:val="center"/>
                </w:tcPr>
                <w:p w14:paraId="6800025E">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GQ4</w:t>
                  </w:r>
                </w:p>
              </w:tc>
              <w:tc>
                <w:tcPr>
                  <w:tcW w:w="443" w:type="pct"/>
                  <w:noWrap w:val="0"/>
                  <w:vAlign w:val="center"/>
                </w:tcPr>
                <w:p w14:paraId="50A28EB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3ABDD6A9">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71844C5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3AAE70F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0599139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4A6E2289">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3C9E334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1D4D1F5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0072D63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384319F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667C2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8" w:type="pct"/>
                  <w:noWrap w:val="0"/>
                  <w:vAlign w:val="center"/>
                </w:tcPr>
                <w:p w14:paraId="4ED6C50D">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GQ5</w:t>
                  </w:r>
                </w:p>
              </w:tc>
              <w:tc>
                <w:tcPr>
                  <w:tcW w:w="443" w:type="pct"/>
                  <w:noWrap w:val="0"/>
                  <w:vAlign w:val="center"/>
                </w:tcPr>
                <w:p w14:paraId="2C125AF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44F405A5">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30CAE92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7AD43C6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6E446B4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03B49652">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5791DBB4">
                  <w:pPr>
                    <w:pStyle w:val="230"/>
                    <w:keepNext w:val="0"/>
                    <w:keepLines w:val="0"/>
                    <w:pageBreakBefore w:val="0"/>
                    <w:widowControl w:val="0"/>
                    <w:kinsoku/>
                    <w:wordWrap/>
                    <w:overflowPunct/>
                    <w:topLinePunct w:val="0"/>
                    <w:autoSpaceDE/>
                    <w:autoSpaceDN/>
                    <w:bidi w:val="0"/>
                    <w:adjustRightInd/>
                    <w:snapToGrid/>
                    <w:spacing w:line="285" w:lineRule="exact"/>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5B1A7F2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32AA80A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3959E18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00376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18" w:type="pct"/>
                  <w:noWrap w:val="0"/>
                  <w:vAlign w:val="center"/>
                </w:tcPr>
                <w:p w14:paraId="56318714">
                  <w:pPr>
                    <w:keepNext w:val="0"/>
                    <w:keepLines w:val="0"/>
                    <w:pageBreakBefore w:val="0"/>
                    <w:widowControl w:val="0"/>
                    <w:kinsoku/>
                    <w:wordWrap/>
                    <w:overflowPunct/>
                    <w:topLinePunct w:val="0"/>
                    <w:autoSpaceDE/>
                    <w:autoSpaceDN/>
                    <w:bidi w:val="0"/>
                    <w:adjustRightInd/>
                    <w:snapToGrid/>
                    <w:spacing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GQ6</w:t>
                  </w:r>
                </w:p>
              </w:tc>
              <w:tc>
                <w:tcPr>
                  <w:tcW w:w="443" w:type="pct"/>
                  <w:noWrap w:val="0"/>
                  <w:vAlign w:val="center"/>
                </w:tcPr>
                <w:p w14:paraId="0F9B406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581704F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223C713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3DBAACB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5009728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6D6FAB8C">
                  <w:pPr>
                    <w:keepNext w:val="0"/>
                    <w:keepLines w:val="0"/>
                    <w:pageBreakBefore w:val="0"/>
                    <w:widowControl w:val="0"/>
                    <w:kinsoku/>
                    <w:wordWrap/>
                    <w:overflowPunct/>
                    <w:topLinePunct w:val="0"/>
                    <w:autoSpaceDE/>
                    <w:autoSpaceDN/>
                    <w:bidi w:val="0"/>
                    <w:adjustRightInd/>
                    <w:snapToGrid/>
                    <w:spacing w:line="234"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326C4C6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4136D8F5">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283E556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1F1067B9">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2E5F3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18" w:type="pct"/>
                  <w:noWrap w:val="0"/>
                  <w:vAlign w:val="center"/>
                </w:tcPr>
                <w:p w14:paraId="280EFD73">
                  <w:pPr>
                    <w:pStyle w:val="230"/>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1"/>
                      <w:sz w:val="21"/>
                      <w:szCs w:val="21"/>
                      <w:highlight w:val="none"/>
                      <w:u w:val="none"/>
                    </w:rPr>
                    <w:t>GQ9（对照点）</w:t>
                  </w:r>
                </w:p>
              </w:tc>
              <w:tc>
                <w:tcPr>
                  <w:tcW w:w="443" w:type="pct"/>
                  <w:noWrap w:val="0"/>
                  <w:vAlign w:val="center"/>
                </w:tcPr>
                <w:p w14:paraId="524FA60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69" w:type="pct"/>
                  <w:noWrap w:val="0"/>
                  <w:vAlign w:val="center"/>
                </w:tcPr>
                <w:p w14:paraId="2C316BC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41" w:type="pct"/>
                  <w:noWrap w:val="0"/>
                  <w:vAlign w:val="center"/>
                </w:tcPr>
                <w:p w14:paraId="7C042FC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373" w:type="pct"/>
                  <w:noWrap w:val="0"/>
                  <w:vAlign w:val="center"/>
                </w:tcPr>
                <w:p w14:paraId="3A793F6D">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23E7E3C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1D07010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7C7C75E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3" w:type="pct"/>
                  <w:noWrap w:val="0"/>
                  <w:vAlign w:val="center"/>
                </w:tcPr>
                <w:p w14:paraId="05B9ECD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37" w:type="pct"/>
                  <w:noWrap w:val="0"/>
                  <w:vAlign w:val="center"/>
                </w:tcPr>
                <w:p w14:paraId="1973120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c>
                <w:tcPr>
                  <w:tcW w:w="476" w:type="pct"/>
                  <w:noWrap w:val="0"/>
                  <w:vAlign w:val="center"/>
                </w:tcPr>
                <w:p w14:paraId="4658B75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color w:val="auto"/>
                      <w:sz w:val="21"/>
                      <w:szCs w:val="21"/>
                      <w:highlight w:val="none"/>
                      <w:u w:val="none"/>
                    </w:rPr>
                  </w:pPr>
                </w:p>
              </w:tc>
            </w:tr>
            <w:tr w14:paraId="759ED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718" w:type="pct"/>
                  <w:noWrap w:val="0"/>
                  <w:vAlign w:val="center"/>
                </w:tcPr>
                <w:p w14:paraId="2F7012FE">
                  <w:pPr>
                    <w:pStyle w:val="230"/>
                    <w:keepNext w:val="0"/>
                    <w:keepLines w:val="0"/>
                    <w:pageBreakBefore w:val="0"/>
                    <w:widowControl w:val="0"/>
                    <w:kinsoku/>
                    <w:wordWrap/>
                    <w:overflowPunct/>
                    <w:topLinePunct w:val="0"/>
                    <w:autoSpaceDE/>
                    <w:autoSpaceDN/>
                    <w:bidi w:val="0"/>
                    <w:adjustRightInd/>
                    <w:snapToGrid/>
                    <w:spacing w:line="222"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3"/>
                      <w:sz w:val="21"/>
                      <w:szCs w:val="21"/>
                      <w:highlight w:val="none"/>
                      <w:u w:val="none"/>
                    </w:rPr>
                    <w:t>备注</w:t>
                  </w:r>
                </w:p>
              </w:tc>
              <w:tc>
                <w:tcPr>
                  <w:tcW w:w="4281" w:type="pct"/>
                  <w:gridSpan w:val="10"/>
                  <w:noWrap w:val="0"/>
                  <w:vAlign w:val="center"/>
                </w:tcPr>
                <w:p w14:paraId="2D1A7F38">
                  <w:pPr>
                    <w:pStyle w:val="230"/>
                    <w:keepNext w:val="0"/>
                    <w:keepLines w:val="0"/>
                    <w:pageBreakBefore w:val="0"/>
                    <w:widowControl w:val="0"/>
                    <w:kinsoku/>
                    <w:wordWrap/>
                    <w:overflowPunct/>
                    <w:topLinePunct w:val="0"/>
                    <w:autoSpaceDE/>
                    <w:autoSpaceDN/>
                    <w:bidi w:val="0"/>
                    <w:adjustRightInd/>
                    <w:snapToGrid/>
                    <w:spacing w:line="282" w:lineRule="exact"/>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position w:val="1"/>
                      <w:sz w:val="21"/>
                      <w:szCs w:val="21"/>
                      <w:highlight w:val="none"/>
                      <w:u w:val="none"/>
                    </w:rPr>
                    <w:t>*有机碳的单位为</w:t>
                  </w:r>
                  <w:r>
                    <w:rPr>
                      <w:rFonts w:hint="default" w:ascii="Times New Roman" w:hAnsi="Times New Roman" w:eastAsia="宋体" w:cs="Times New Roman"/>
                      <w:color w:val="auto"/>
                      <w:spacing w:val="-21"/>
                      <w:position w:val="1"/>
                      <w:sz w:val="21"/>
                      <w:szCs w:val="21"/>
                      <w:highlight w:val="none"/>
                      <w:u w:val="none"/>
                    </w:rPr>
                    <w:t xml:space="preserve"> </w:t>
                  </w:r>
                  <w:r>
                    <w:rPr>
                      <w:rFonts w:hint="default" w:ascii="Times New Roman" w:hAnsi="Times New Roman" w:eastAsia="宋体" w:cs="Times New Roman"/>
                      <w:color w:val="auto"/>
                      <w:position w:val="1"/>
                      <w:sz w:val="21"/>
                      <w:szCs w:val="21"/>
                      <w:highlight w:val="none"/>
                      <w:u w:val="none"/>
                    </w:rPr>
                    <w:t>10</w:t>
                  </w:r>
                  <w:r>
                    <w:rPr>
                      <w:rFonts w:hint="eastAsia" w:ascii="Times New Roman" w:hAnsi="Times New Roman" w:cs="Times New Roman"/>
                      <w:color w:val="auto"/>
                      <w:position w:val="1"/>
                      <w:sz w:val="21"/>
                      <w:szCs w:val="21"/>
                      <w:highlight w:val="none"/>
                      <w:u w:val="none"/>
                      <w:vertAlign w:val="superscript"/>
                      <w:lang w:val="en-US" w:eastAsia="zh-CN"/>
                    </w:rPr>
                    <w:t>-2</w:t>
                  </w:r>
                  <w:r>
                    <w:rPr>
                      <w:rFonts w:hint="default" w:ascii="Times New Roman" w:hAnsi="Times New Roman" w:eastAsia="宋体" w:cs="Times New Roman"/>
                      <w:color w:val="auto"/>
                      <w:position w:val="1"/>
                      <w:sz w:val="21"/>
                      <w:szCs w:val="21"/>
                      <w:highlight w:val="none"/>
                      <w:u w:val="none"/>
                    </w:rPr>
                    <w:t>，</w:t>
                  </w:r>
                  <w:r>
                    <w:rPr>
                      <w:rFonts w:hint="eastAsia" w:ascii="Times New Roman" w:hAnsi="Times New Roman" w:cs="Times New Roman"/>
                      <w:color w:val="auto"/>
                      <w:position w:val="1"/>
                      <w:sz w:val="21"/>
                      <w:szCs w:val="21"/>
                      <w:highlight w:val="none"/>
                      <w:u w:val="none"/>
                      <w:lang w:eastAsia="zh-CN"/>
                    </w:rPr>
                    <w:t>“</w:t>
                  </w:r>
                  <w:r>
                    <w:rPr>
                      <w:rFonts w:hint="default" w:ascii="Times New Roman" w:hAnsi="Times New Roman" w:eastAsia="宋体" w:cs="Times New Roman"/>
                      <w:color w:val="auto"/>
                      <w:position w:val="1"/>
                      <w:sz w:val="21"/>
                      <w:szCs w:val="21"/>
                      <w:highlight w:val="none"/>
                      <w:u w:val="none"/>
                    </w:rPr>
                    <w:t>&lt;检出限</w:t>
                  </w:r>
                  <w:r>
                    <w:rPr>
                      <w:rFonts w:hint="default" w:ascii="Times New Roman" w:hAnsi="Times New Roman" w:eastAsia="宋体" w:cs="Times New Roman"/>
                      <w:color w:val="auto"/>
                      <w:spacing w:val="-77"/>
                      <w:position w:val="1"/>
                      <w:sz w:val="21"/>
                      <w:szCs w:val="21"/>
                      <w:highlight w:val="none"/>
                      <w:u w:val="none"/>
                    </w:rPr>
                    <w:t xml:space="preserve"> </w:t>
                  </w:r>
                  <w:r>
                    <w:rPr>
                      <w:rFonts w:hint="eastAsia" w:ascii="Times New Roman" w:hAnsi="Times New Roman" w:cs="Times New Roman"/>
                      <w:color w:val="auto"/>
                      <w:position w:val="1"/>
                      <w:sz w:val="21"/>
                      <w:szCs w:val="21"/>
                      <w:highlight w:val="none"/>
                      <w:u w:val="none"/>
                      <w:lang w:eastAsia="zh-CN"/>
                    </w:rPr>
                    <w:t>”</w:t>
                  </w:r>
                  <w:r>
                    <w:rPr>
                      <w:rFonts w:hint="default" w:ascii="Times New Roman" w:hAnsi="Times New Roman" w:eastAsia="宋体" w:cs="Times New Roman"/>
                      <w:color w:val="auto"/>
                      <w:position w:val="1"/>
                      <w:sz w:val="21"/>
                      <w:szCs w:val="21"/>
                      <w:highlight w:val="none"/>
                      <w:u w:val="none"/>
                    </w:rPr>
                    <w:t>表示未检出。</w:t>
                  </w:r>
                </w:p>
              </w:tc>
            </w:tr>
          </w:tbl>
          <w:p w14:paraId="32BD3332">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w:t>
            </w:r>
            <w:r>
              <w:rPr>
                <w:rFonts w:hint="eastAsia" w:cs="Times New Roman"/>
                <w:b/>
                <w:bCs/>
                <w:color w:val="auto"/>
                <w:kern w:val="2"/>
                <w:sz w:val="21"/>
                <w:szCs w:val="21"/>
                <w:highlight w:val="none"/>
                <w:u w:val="none"/>
                <w:lang w:val="en-US" w:eastAsia="zh-CN" w:bidi="ar-SA"/>
              </w:rPr>
              <w:t>29</w:t>
            </w:r>
            <w:r>
              <w:rPr>
                <w:rFonts w:hint="eastAsia" w:ascii="Times New Roman" w:hAnsi="Times New Roman" w:eastAsia="宋体" w:cs="Times New Roman"/>
                <w:b/>
                <w:bCs/>
                <w:color w:val="auto"/>
                <w:kern w:val="2"/>
                <w:sz w:val="21"/>
                <w:szCs w:val="21"/>
                <w:highlight w:val="none"/>
                <w:u w:val="none"/>
                <w:lang w:val="en-US" w:eastAsia="zh-CN" w:bidi="ar-SA"/>
              </w:rPr>
              <w:t xml:space="preserve"> 疏浚物粒度分析结果</w:t>
            </w:r>
          </w:p>
          <w:tbl>
            <w:tblPr>
              <w:tblStyle w:val="22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25"/>
              <w:gridCol w:w="1328"/>
              <w:gridCol w:w="1329"/>
              <w:gridCol w:w="1328"/>
              <w:gridCol w:w="1336"/>
              <w:gridCol w:w="1669"/>
            </w:tblGrid>
            <w:tr w14:paraId="49E0C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vMerge w:val="restart"/>
                  <w:tcBorders>
                    <w:bottom w:val="nil"/>
                  </w:tcBorders>
                  <w:noWrap w:val="0"/>
                  <w:vAlign w:val="center"/>
                </w:tcPr>
                <w:p w14:paraId="4E097BE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站位编号</w:t>
                  </w:r>
                </w:p>
              </w:tc>
              <w:tc>
                <w:tcPr>
                  <w:tcW w:w="3198" w:type="pct"/>
                  <w:gridSpan w:val="4"/>
                  <w:noWrap w:val="0"/>
                  <w:vAlign w:val="center"/>
                </w:tcPr>
                <w:p w14:paraId="0EC82E2D">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粒组含量%</w:t>
                  </w:r>
                </w:p>
              </w:tc>
              <w:tc>
                <w:tcPr>
                  <w:tcW w:w="1003" w:type="pct"/>
                  <w:vMerge w:val="restart"/>
                  <w:tcBorders>
                    <w:bottom w:val="nil"/>
                  </w:tcBorders>
                  <w:noWrap w:val="0"/>
                  <w:vAlign w:val="center"/>
                </w:tcPr>
                <w:p w14:paraId="37FA2025">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p w14:paraId="0E07D028">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名称及代号</w:t>
                  </w:r>
                </w:p>
              </w:tc>
            </w:tr>
            <w:tr w14:paraId="49F3F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vMerge w:val="continue"/>
                  <w:tcBorders>
                    <w:top w:val="nil"/>
                  </w:tcBorders>
                  <w:noWrap w:val="0"/>
                  <w:vAlign w:val="center"/>
                </w:tcPr>
                <w:p w14:paraId="69D510C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7780F2F9">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砾石</w:t>
                  </w:r>
                </w:p>
                <w:p w14:paraId="0AFE311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(&gt;2mm）</w:t>
                  </w:r>
                </w:p>
              </w:tc>
              <w:tc>
                <w:tcPr>
                  <w:tcW w:w="799" w:type="pct"/>
                  <w:noWrap w:val="0"/>
                  <w:vAlign w:val="center"/>
                </w:tcPr>
                <w:p w14:paraId="732CA6A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砂</w:t>
                  </w:r>
                </w:p>
                <w:p w14:paraId="6EA0F1F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（63μm ，2mm]</w:t>
                  </w:r>
                </w:p>
              </w:tc>
              <w:tc>
                <w:tcPr>
                  <w:tcW w:w="798" w:type="pct"/>
                  <w:noWrap w:val="0"/>
                  <w:vAlign w:val="center"/>
                </w:tcPr>
                <w:p w14:paraId="6CBBE4B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粉砂</w:t>
                  </w:r>
                </w:p>
                <w:p w14:paraId="5CB0026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（4μm ，63μm]</w:t>
                  </w:r>
                </w:p>
              </w:tc>
              <w:tc>
                <w:tcPr>
                  <w:tcW w:w="803" w:type="pct"/>
                  <w:noWrap w:val="0"/>
                  <w:vAlign w:val="center"/>
                </w:tcPr>
                <w:p w14:paraId="01EF7F50">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黏土</w:t>
                  </w:r>
                </w:p>
                <w:p w14:paraId="4D7BD94C">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（0μm ，4μm]</w:t>
                  </w:r>
                </w:p>
              </w:tc>
              <w:tc>
                <w:tcPr>
                  <w:tcW w:w="1003" w:type="pct"/>
                  <w:vMerge w:val="continue"/>
                  <w:tcBorders>
                    <w:top w:val="nil"/>
                  </w:tcBorders>
                  <w:noWrap w:val="0"/>
                  <w:vAlign w:val="center"/>
                </w:tcPr>
                <w:p w14:paraId="176FFF49">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r>
            <w:tr w14:paraId="4043C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25CCA77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GQ1</w:t>
                  </w:r>
                </w:p>
              </w:tc>
              <w:tc>
                <w:tcPr>
                  <w:tcW w:w="798" w:type="pct"/>
                  <w:noWrap w:val="0"/>
                  <w:vAlign w:val="center"/>
                </w:tcPr>
                <w:p w14:paraId="0C559A2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33A5E5D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62057495">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10B7B1BB">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5C241803">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粉砂 T</w:t>
                  </w:r>
                </w:p>
              </w:tc>
            </w:tr>
            <w:tr w14:paraId="3428D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4D8B794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GQ2</w:t>
                  </w:r>
                </w:p>
              </w:tc>
              <w:tc>
                <w:tcPr>
                  <w:tcW w:w="798" w:type="pct"/>
                  <w:noWrap w:val="0"/>
                  <w:vAlign w:val="center"/>
                </w:tcPr>
                <w:p w14:paraId="716DE22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7ED8D8F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17C5949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67429B58">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138F061E">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砂质粉砂 S-T</w:t>
                  </w:r>
                </w:p>
              </w:tc>
            </w:tr>
            <w:tr w14:paraId="69EEE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481F691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GQ3</w:t>
                  </w:r>
                </w:p>
              </w:tc>
              <w:tc>
                <w:tcPr>
                  <w:tcW w:w="798" w:type="pct"/>
                  <w:noWrap w:val="0"/>
                  <w:vAlign w:val="center"/>
                </w:tcPr>
                <w:p w14:paraId="7E5220E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1CF4094E">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42B576E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1A872A63">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43A56266">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粉砂 T</w:t>
                  </w:r>
                </w:p>
              </w:tc>
            </w:tr>
            <w:tr w14:paraId="15A0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5E87E1B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GQ4</w:t>
                  </w:r>
                </w:p>
              </w:tc>
              <w:tc>
                <w:tcPr>
                  <w:tcW w:w="798" w:type="pct"/>
                  <w:noWrap w:val="0"/>
                  <w:vAlign w:val="center"/>
                </w:tcPr>
                <w:p w14:paraId="7AFC5E5F">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0916770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529BA2D4">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19BE5349">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1D7CB401">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粉砂 T</w:t>
                  </w:r>
                </w:p>
              </w:tc>
            </w:tr>
            <w:tr w14:paraId="4E9EE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6B230AC7">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GQ5</w:t>
                  </w:r>
                </w:p>
              </w:tc>
              <w:tc>
                <w:tcPr>
                  <w:tcW w:w="798" w:type="pct"/>
                  <w:noWrap w:val="0"/>
                  <w:vAlign w:val="center"/>
                </w:tcPr>
                <w:p w14:paraId="0F2D263C">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641EECF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7FE880A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3809D86D">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7DEFB5A5">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砂质粉砂 S-T</w:t>
                  </w:r>
                </w:p>
              </w:tc>
            </w:tr>
            <w:tr w14:paraId="44198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348E2650">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GQ6</w:t>
                  </w:r>
                </w:p>
              </w:tc>
              <w:tc>
                <w:tcPr>
                  <w:tcW w:w="798" w:type="pct"/>
                  <w:noWrap w:val="0"/>
                  <w:vAlign w:val="center"/>
                </w:tcPr>
                <w:p w14:paraId="571614D1">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2E226FB8">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09CAEA2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7220E571">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1B93081B">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粉砂质砂 T-S</w:t>
                  </w:r>
                </w:p>
              </w:tc>
            </w:tr>
            <w:tr w14:paraId="3E735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97" w:type="pct"/>
                  <w:noWrap w:val="0"/>
                  <w:vAlign w:val="center"/>
                </w:tcPr>
                <w:p w14:paraId="0170ECD2">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r>
                    <w:rPr>
                      <w:rFonts w:hint="default" w:ascii="Times New Roman" w:hAnsi="Times New Roman" w:eastAsia="宋体" w:cs="Times New Roman"/>
                      <w:b w:val="0"/>
                      <w:bCs w:val="0"/>
                      <w:color w:val="auto"/>
                      <w:spacing w:val="-2"/>
                      <w:sz w:val="21"/>
                      <w:szCs w:val="21"/>
                      <w:highlight w:val="none"/>
                      <w:u w:val="none"/>
                    </w:rPr>
                    <w:t>GQ9（对照点）</w:t>
                  </w:r>
                </w:p>
              </w:tc>
              <w:tc>
                <w:tcPr>
                  <w:tcW w:w="798" w:type="pct"/>
                  <w:noWrap w:val="0"/>
                  <w:vAlign w:val="center"/>
                </w:tcPr>
                <w:p w14:paraId="122FB216">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9" w:type="pct"/>
                  <w:noWrap w:val="0"/>
                  <w:vAlign w:val="center"/>
                </w:tcPr>
                <w:p w14:paraId="437C8B2A">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798" w:type="pct"/>
                  <w:noWrap w:val="0"/>
                  <w:vAlign w:val="center"/>
                </w:tcPr>
                <w:p w14:paraId="6E22B8BB">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eastAsia="宋体" w:cs="Times New Roman"/>
                      <w:b w:val="0"/>
                      <w:bCs w:val="0"/>
                      <w:color w:val="auto"/>
                      <w:spacing w:val="-2"/>
                      <w:sz w:val="21"/>
                      <w:szCs w:val="21"/>
                      <w:highlight w:val="none"/>
                      <w:u w:val="none"/>
                    </w:rPr>
                  </w:pPr>
                </w:p>
              </w:tc>
              <w:tc>
                <w:tcPr>
                  <w:tcW w:w="803" w:type="pct"/>
                  <w:noWrap w:val="0"/>
                  <w:vAlign w:val="center"/>
                </w:tcPr>
                <w:p w14:paraId="3DC6F1C3">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p>
              </w:tc>
              <w:tc>
                <w:tcPr>
                  <w:tcW w:w="1003" w:type="pct"/>
                  <w:noWrap w:val="0"/>
                  <w:vAlign w:val="center"/>
                </w:tcPr>
                <w:p w14:paraId="52B9AAF8">
                  <w:pPr>
                    <w:pStyle w:val="230"/>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eastAsia="宋体" w:cs="Times New Roman"/>
                      <w:b w:val="0"/>
                      <w:bCs w:val="0"/>
                      <w:color w:val="auto"/>
                      <w:spacing w:val="-4"/>
                      <w:sz w:val="21"/>
                      <w:szCs w:val="21"/>
                      <w:highlight w:val="none"/>
                      <w:u w:val="none"/>
                    </w:rPr>
                  </w:pPr>
                  <w:r>
                    <w:rPr>
                      <w:rFonts w:hint="default" w:ascii="Times New Roman" w:hAnsi="Times New Roman" w:eastAsia="宋体" w:cs="Times New Roman"/>
                      <w:b w:val="0"/>
                      <w:bCs w:val="0"/>
                      <w:color w:val="auto"/>
                      <w:spacing w:val="-4"/>
                      <w:sz w:val="21"/>
                      <w:szCs w:val="21"/>
                      <w:highlight w:val="none"/>
                      <w:u w:val="none"/>
                    </w:rPr>
                    <w:t>砂质粉砂 S-T</w:t>
                  </w:r>
                </w:p>
              </w:tc>
            </w:tr>
          </w:tbl>
          <w:p w14:paraId="3D87CFC7">
            <w:pPr>
              <w:keepNext/>
              <w:keepLines/>
              <w:pageBreakBefore w:val="0"/>
              <w:widowControl/>
              <w:numPr>
                <w:ilvl w:val="0"/>
                <w:numId w:val="0"/>
              </w:numPr>
              <w:tabs>
                <w:tab w:val="left" w:pos="0"/>
              </w:tabs>
              <w:kinsoku/>
              <w:wordWrap/>
              <w:overflowPunct/>
              <w:topLinePunct w:val="0"/>
              <w:autoSpaceDE/>
              <w:autoSpaceDN/>
              <w:bidi w:val="0"/>
              <w:adjustRightInd w:val="0"/>
              <w:snapToGrid w:val="0"/>
              <w:spacing w:line="360" w:lineRule="auto"/>
              <w:ind w:leftChars="200"/>
              <w:jc w:val="both"/>
              <w:textAlignment w:val="auto"/>
              <w:outlineLvl w:val="3"/>
              <w:rPr>
                <w:rFonts w:hint="eastAsia" w:ascii="Times New Roman" w:hAnsi="Times New Roman" w:eastAsia="黑体" w:cs="Times New Roman"/>
                <w:b/>
                <w:bCs/>
                <w:color w:val="auto"/>
                <w:kern w:val="2"/>
                <w:sz w:val="24"/>
                <w:szCs w:val="28"/>
                <w:highlight w:val="none"/>
                <w:u w:val="none"/>
                <w:lang w:val="en-US" w:eastAsia="zh-CN" w:bidi="ar-SA"/>
              </w:rPr>
            </w:pPr>
            <w:r>
              <w:rPr>
                <w:rFonts w:hint="eastAsia" w:ascii="Times New Roman" w:hAnsi="Times New Roman" w:eastAsia="黑体" w:cs="Times New Roman"/>
                <w:b/>
                <w:bCs/>
                <w:color w:val="auto"/>
                <w:kern w:val="2"/>
                <w:sz w:val="24"/>
                <w:szCs w:val="28"/>
                <w:highlight w:val="none"/>
                <w:u w:val="none"/>
                <w:lang w:val="en-US" w:eastAsia="zh-CN" w:bidi="ar-SA"/>
              </w:rPr>
              <w:t>3.1.4.4 疏浚物分类评价</w:t>
            </w:r>
          </w:p>
          <w:p w14:paraId="08CBA335">
            <w:pPr>
              <w:widowControl/>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（1）疏浚物分类评价方法</w:t>
            </w:r>
          </w:p>
          <w:p w14:paraId="499F0B11">
            <w:pPr>
              <w:widowControl/>
              <w:spacing w:line="360" w:lineRule="auto"/>
              <w:ind w:firstLine="480" w:firstLineChars="200"/>
              <w:rPr>
                <w:rFonts w:hint="default" w:ascii="Times New Roman" w:hAnsi="Times New Roman" w:eastAsia="宋体" w:cs="Times New Roman"/>
                <w:color w:val="auto"/>
                <w:sz w:val="24"/>
                <w:highlight w:val="none"/>
                <w:u w:val="none"/>
                <w:lang w:val="en-US"/>
              </w:rPr>
            </w:pPr>
            <w:r>
              <w:rPr>
                <w:rFonts w:hint="eastAsia" w:ascii="Times New Roman" w:hAnsi="Times New Roman" w:eastAsia="宋体" w:cs="Times New Roman"/>
                <w:color w:val="auto"/>
                <w:sz w:val="24"/>
                <w:highlight w:val="none"/>
                <w:u w:val="none"/>
                <w:lang w:val="en-US" w:eastAsia="zh-CN"/>
              </w:rPr>
              <w:t>按照《海洋倾倒物质评价规范疏浚物》（</w:t>
            </w:r>
            <w:r>
              <w:rPr>
                <w:rFonts w:hint="default" w:ascii="Times New Roman" w:hAnsi="Times New Roman" w:eastAsia="宋体" w:cs="Times New Roman"/>
                <w:color w:val="auto"/>
                <w:sz w:val="24"/>
                <w:highlight w:val="none"/>
                <w:u w:val="none"/>
                <w:lang w:val="en-US" w:eastAsia="zh-CN"/>
              </w:rPr>
              <w:t>GB 30980-2014</w:t>
            </w:r>
            <w:r>
              <w:rPr>
                <w:rFonts w:hint="eastAsia" w:ascii="Times New Roman" w:hAnsi="Times New Roman" w:eastAsia="宋体" w:cs="Times New Roman"/>
                <w:color w:val="auto"/>
                <w:sz w:val="24"/>
                <w:highlight w:val="none"/>
                <w:u w:val="none"/>
                <w:lang w:val="en-US" w:eastAsia="zh-CN"/>
              </w:rPr>
              <w:t>）中“</w:t>
            </w:r>
            <w:r>
              <w:rPr>
                <w:rFonts w:hint="default" w:ascii="Times New Roman" w:hAnsi="Times New Roman" w:eastAsia="宋体" w:cs="Times New Roman"/>
                <w:color w:val="auto"/>
                <w:sz w:val="24"/>
                <w:highlight w:val="none"/>
                <w:u w:val="none"/>
                <w:lang w:val="en-US" w:eastAsia="zh-CN"/>
              </w:rPr>
              <w:t xml:space="preserve">5 </w:t>
            </w:r>
            <w:r>
              <w:rPr>
                <w:rFonts w:hint="eastAsia" w:ascii="Times New Roman" w:hAnsi="Times New Roman" w:eastAsia="宋体" w:cs="Times New Roman"/>
                <w:color w:val="auto"/>
                <w:sz w:val="24"/>
                <w:highlight w:val="none"/>
                <w:u w:val="none"/>
                <w:lang w:val="en-US" w:eastAsia="zh-CN"/>
              </w:rPr>
              <w:t>疏浚物类别化学评价限值”和“</w:t>
            </w:r>
            <w:r>
              <w:rPr>
                <w:rFonts w:hint="default" w:ascii="Times New Roman" w:hAnsi="Times New Roman" w:eastAsia="宋体" w:cs="Times New Roman"/>
                <w:color w:val="auto"/>
                <w:sz w:val="24"/>
                <w:highlight w:val="none"/>
                <w:u w:val="none"/>
                <w:lang w:val="en-US" w:eastAsia="zh-CN"/>
              </w:rPr>
              <w:t xml:space="preserve">6 </w:t>
            </w:r>
            <w:r>
              <w:rPr>
                <w:rFonts w:hint="eastAsia" w:ascii="Times New Roman" w:hAnsi="Times New Roman" w:eastAsia="宋体" w:cs="Times New Roman"/>
                <w:color w:val="auto"/>
                <w:sz w:val="24"/>
                <w:highlight w:val="none"/>
                <w:u w:val="none"/>
                <w:lang w:val="en-US" w:eastAsia="zh-CN"/>
              </w:rPr>
              <w:t>疏浚物分类”规定，对疏浚物进行分类评价。疏浚物一共分为三类，分别为：清洁疏浚物（</w:t>
            </w:r>
            <w:r>
              <w:rPr>
                <w:rFonts w:hint="default" w:ascii="Times New Roman" w:hAnsi="Times New Roman" w:eastAsia="宋体" w:cs="Times New Roman"/>
                <w:color w:val="auto"/>
                <w:sz w:val="24"/>
                <w:highlight w:val="none"/>
                <w:u w:val="none"/>
                <w:lang w:val="en-US" w:eastAsia="zh-CN"/>
              </w:rPr>
              <w:t xml:space="preserve">I </w:t>
            </w:r>
            <w:r>
              <w:rPr>
                <w:rFonts w:hint="eastAsia" w:ascii="Times New Roman" w:hAnsi="Times New Roman" w:eastAsia="宋体" w:cs="Times New Roman"/>
                <w:color w:val="auto"/>
                <w:sz w:val="24"/>
                <w:highlight w:val="none"/>
                <w:u w:val="none"/>
                <w:lang w:val="en-US" w:eastAsia="zh-CN"/>
              </w:rPr>
              <w:t>类）、沾污疏浚物（Ⅱ类）和污染疏浚物（Ⅲ类），疏浚物类别化学评价限值和分类标准详见表3.1</w:t>
            </w:r>
            <w:r>
              <w:rPr>
                <w:rFonts w:hint="eastAsia" w:cs="Times New Roman"/>
                <w:color w:val="auto"/>
                <w:sz w:val="24"/>
                <w:highlight w:val="none"/>
                <w:u w:val="none"/>
                <w:lang w:val="en-US" w:eastAsia="zh-CN"/>
              </w:rPr>
              <w:t>-30</w:t>
            </w:r>
            <w:r>
              <w:rPr>
                <w:rFonts w:hint="eastAsia" w:ascii="Times New Roman" w:hAnsi="Times New Roman" w:eastAsia="宋体" w:cs="Times New Roman"/>
                <w:color w:val="auto"/>
                <w:sz w:val="24"/>
                <w:highlight w:val="none"/>
                <w:u w:val="none"/>
                <w:lang w:val="en-US" w:eastAsia="zh-CN"/>
              </w:rPr>
              <w:t>。</w:t>
            </w:r>
          </w:p>
          <w:p w14:paraId="751379CB">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表3.1-</w:t>
            </w:r>
            <w:r>
              <w:rPr>
                <w:rFonts w:hint="eastAsia" w:cs="Times New Roman"/>
                <w:b/>
                <w:bCs/>
                <w:color w:val="auto"/>
                <w:kern w:val="2"/>
                <w:sz w:val="21"/>
                <w:szCs w:val="21"/>
                <w:highlight w:val="none"/>
                <w:u w:val="none"/>
                <w:lang w:val="en-US" w:eastAsia="zh-CN" w:bidi="ar-SA"/>
              </w:rPr>
              <w:t>30</w:t>
            </w:r>
            <w:r>
              <w:rPr>
                <w:rFonts w:hint="eastAsia" w:ascii="Times New Roman" w:hAnsi="Times New Roman" w:eastAsia="宋体" w:cs="Times New Roman"/>
                <w:b/>
                <w:bCs/>
                <w:color w:val="auto"/>
                <w:kern w:val="2"/>
                <w:sz w:val="21"/>
                <w:szCs w:val="21"/>
                <w:highlight w:val="none"/>
                <w:u w:val="none"/>
                <w:lang w:val="en-US" w:eastAsia="zh-CN" w:bidi="ar-SA"/>
              </w:rPr>
              <w:t xml:space="preserve"> 《海洋倾倒物质评价规范疏浚物》（GB30980-2014）（摘录）</w:t>
            </w:r>
          </w:p>
          <w:tbl>
            <w:tblPr>
              <w:tblStyle w:val="2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5"/>
              <w:gridCol w:w="1382"/>
              <w:gridCol w:w="1384"/>
              <w:gridCol w:w="1380"/>
              <w:gridCol w:w="1382"/>
              <w:gridCol w:w="1403"/>
            </w:tblGrid>
            <w:tr w14:paraId="76261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000" w:type="pct"/>
                  <w:gridSpan w:val="6"/>
                  <w:noWrap w:val="0"/>
                  <w:vAlign w:val="center"/>
                </w:tcPr>
                <w:p w14:paraId="14DEC0DF">
                  <w:pPr>
                    <w:pStyle w:val="230"/>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color w:val="auto"/>
                      <w:highlight w:val="none"/>
                      <w:u w:val="none"/>
                    </w:rPr>
                  </w:pPr>
                  <w:r>
                    <w:rPr>
                      <w:b/>
                      <w:bCs/>
                      <w:color w:val="auto"/>
                      <w:spacing w:val="-3"/>
                      <w:highlight w:val="none"/>
                      <w:u w:val="none"/>
                    </w:rPr>
                    <w:t>疏浚物类别化学评价限值</w:t>
                  </w:r>
                </w:p>
              </w:tc>
            </w:tr>
            <w:tr w14:paraId="10B89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3" w:type="pct"/>
                  <w:vMerge w:val="restart"/>
                  <w:tcBorders>
                    <w:bottom w:val="nil"/>
                  </w:tcBorders>
                  <w:noWrap w:val="0"/>
                  <w:vAlign w:val="center"/>
                </w:tcPr>
                <w:p w14:paraId="4B8DA31D">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2"/>
                      <w:sz w:val="21"/>
                      <w:szCs w:val="21"/>
                      <w:highlight w:val="none"/>
                      <w:u w:val="none"/>
                    </w:rPr>
                    <w:t>化学组分</w:t>
                  </w:r>
                </w:p>
              </w:tc>
              <w:tc>
                <w:tcPr>
                  <w:tcW w:w="1663" w:type="pct"/>
                  <w:gridSpan w:val="2"/>
                  <w:noWrap w:val="0"/>
                  <w:vAlign w:val="center"/>
                </w:tcPr>
                <w:p w14:paraId="525D9262">
                  <w:pPr>
                    <w:keepNext w:val="0"/>
                    <w:keepLines w:val="0"/>
                    <w:pageBreakBefore w:val="0"/>
                    <w:widowControl w:val="0"/>
                    <w:kinsoku/>
                    <w:wordWrap/>
                    <w:overflowPunct/>
                    <w:topLinePunct w:val="0"/>
                    <w:autoSpaceDE/>
                    <w:autoSpaceDN/>
                    <w:bidi w:val="0"/>
                    <w:adjustRightInd/>
                    <w:snapToGrid/>
                    <w:spacing w:line="285" w:lineRule="exact"/>
                    <w:ind w:left="0" w:right="0" w:firstLine="0"/>
                    <w:jc w:val="center"/>
                    <w:textAlignment w:val="auto"/>
                    <w:rPr>
                      <w:rFonts w:ascii="Times New Roman" w:hAnsi="Times New Roman" w:eastAsia="Times New Roman" w:cs="Times New Roman"/>
                      <w:color w:val="auto"/>
                      <w:sz w:val="13"/>
                      <w:szCs w:val="13"/>
                      <w:highlight w:val="none"/>
                      <w:u w:val="none"/>
                    </w:rPr>
                  </w:pPr>
                  <w:r>
                    <w:rPr>
                      <w:rFonts w:ascii="Times New Roman" w:hAnsi="Times New Roman" w:eastAsia="Times New Roman" w:cs="Times New Roman"/>
                      <w:color w:val="auto"/>
                      <w:sz w:val="21"/>
                      <w:szCs w:val="21"/>
                      <w:highlight w:val="none"/>
                      <w:u w:val="none"/>
                    </w:rPr>
                    <w:t>ω/10</w:t>
                  </w:r>
                  <w:r>
                    <w:rPr>
                      <w:rFonts w:ascii="Times New Roman" w:hAnsi="Times New Roman" w:eastAsia="Times New Roman" w:cs="Times New Roman"/>
                      <w:color w:val="auto"/>
                      <w:position w:val="9"/>
                      <w:sz w:val="13"/>
                      <w:szCs w:val="13"/>
                      <w:highlight w:val="none"/>
                      <w:u w:val="none"/>
                    </w:rPr>
                    <w:t>-6</w:t>
                  </w:r>
                </w:p>
              </w:tc>
              <w:tc>
                <w:tcPr>
                  <w:tcW w:w="830" w:type="pct"/>
                  <w:vMerge w:val="restart"/>
                  <w:tcBorders>
                    <w:bottom w:val="nil"/>
                  </w:tcBorders>
                  <w:noWrap w:val="0"/>
                  <w:vAlign w:val="center"/>
                </w:tcPr>
                <w:p w14:paraId="0D70AF1A">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2"/>
                      <w:sz w:val="21"/>
                      <w:szCs w:val="21"/>
                      <w:highlight w:val="none"/>
                      <w:u w:val="none"/>
                    </w:rPr>
                    <w:t>化学组分</w:t>
                  </w:r>
                </w:p>
              </w:tc>
              <w:tc>
                <w:tcPr>
                  <w:tcW w:w="1671" w:type="pct"/>
                  <w:gridSpan w:val="2"/>
                  <w:noWrap w:val="0"/>
                  <w:vAlign w:val="center"/>
                </w:tcPr>
                <w:p w14:paraId="05413B14">
                  <w:pPr>
                    <w:keepNext w:val="0"/>
                    <w:keepLines w:val="0"/>
                    <w:pageBreakBefore w:val="0"/>
                    <w:widowControl w:val="0"/>
                    <w:kinsoku/>
                    <w:wordWrap/>
                    <w:overflowPunct/>
                    <w:topLinePunct w:val="0"/>
                    <w:autoSpaceDE/>
                    <w:autoSpaceDN/>
                    <w:bidi w:val="0"/>
                    <w:adjustRightInd/>
                    <w:snapToGrid/>
                    <w:spacing w:line="285" w:lineRule="exact"/>
                    <w:ind w:left="0" w:right="0" w:firstLine="0"/>
                    <w:jc w:val="center"/>
                    <w:textAlignment w:val="auto"/>
                    <w:rPr>
                      <w:rFonts w:ascii="Times New Roman" w:hAnsi="Times New Roman" w:eastAsia="Times New Roman" w:cs="Times New Roman"/>
                      <w:color w:val="auto"/>
                      <w:sz w:val="13"/>
                      <w:szCs w:val="13"/>
                      <w:highlight w:val="none"/>
                      <w:u w:val="none"/>
                    </w:rPr>
                  </w:pPr>
                  <w:r>
                    <w:rPr>
                      <w:rFonts w:ascii="Times New Roman" w:hAnsi="Times New Roman" w:eastAsia="Times New Roman" w:cs="Times New Roman"/>
                      <w:color w:val="auto"/>
                      <w:sz w:val="21"/>
                      <w:szCs w:val="21"/>
                      <w:highlight w:val="none"/>
                      <w:u w:val="none"/>
                    </w:rPr>
                    <w:t>ω/10</w:t>
                  </w:r>
                  <w:r>
                    <w:rPr>
                      <w:rFonts w:ascii="Times New Roman" w:hAnsi="Times New Roman" w:eastAsia="Times New Roman" w:cs="Times New Roman"/>
                      <w:color w:val="auto"/>
                      <w:position w:val="9"/>
                      <w:sz w:val="13"/>
                      <w:szCs w:val="13"/>
                      <w:highlight w:val="none"/>
                      <w:u w:val="none"/>
                    </w:rPr>
                    <w:t>-6</w:t>
                  </w:r>
                </w:p>
              </w:tc>
            </w:tr>
            <w:tr w14:paraId="23FE1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3" w:type="pct"/>
                  <w:vMerge w:val="continue"/>
                  <w:tcBorders>
                    <w:top w:val="nil"/>
                  </w:tcBorders>
                  <w:noWrap w:val="0"/>
                  <w:vAlign w:val="center"/>
                </w:tcPr>
                <w:p w14:paraId="10D4FA6A">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Arial"/>
                      <w:color w:val="auto"/>
                      <w:sz w:val="21"/>
                      <w:highlight w:val="none"/>
                      <w:u w:val="none"/>
                    </w:rPr>
                  </w:pPr>
                </w:p>
              </w:tc>
              <w:tc>
                <w:tcPr>
                  <w:tcW w:w="831" w:type="pct"/>
                  <w:noWrap w:val="0"/>
                  <w:vAlign w:val="center"/>
                </w:tcPr>
                <w:p w14:paraId="4A68863A">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4"/>
                      <w:sz w:val="21"/>
                      <w:szCs w:val="21"/>
                      <w:highlight w:val="none"/>
                      <w:u w:val="none"/>
                    </w:rPr>
                    <w:t>下限</w:t>
                  </w:r>
                </w:p>
              </w:tc>
              <w:tc>
                <w:tcPr>
                  <w:tcW w:w="831" w:type="pct"/>
                  <w:noWrap w:val="0"/>
                  <w:vAlign w:val="center"/>
                </w:tcPr>
                <w:p w14:paraId="5DF99A97">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2"/>
                      <w:sz w:val="21"/>
                      <w:szCs w:val="21"/>
                      <w:highlight w:val="none"/>
                      <w:u w:val="none"/>
                    </w:rPr>
                    <w:t>上限</w:t>
                  </w:r>
                </w:p>
              </w:tc>
              <w:tc>
                <w:tcPr>
                  <w:tcW w:w="830" w:type="pct"/>
                  <w:vMerge w:val="continue"/>
                  <w:tcBorders>
                    <w:top w:val="nil"/>
                  </w:tcBorders>
                  <w:noWrap w:val="0"/>
                  <w:vAlign w:val="center"/>
                </w:tcPr>
                <w:p w14:paraId="0AC15838">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Arial"/>
                      <w:color w:val="auto"/>
                      <w:sz w:val="21"/>
                      <w:highlight w:val="none"/>
                      <w:u w:val="none"/>
                    </w:rPr>
                  </w:pPr>
                </w:p>
              </w:tc>
              <w:tc>
                <w:tcPr>
                  <w:tcW w:w="831" w:type="pct"/>
                  <w:noWrap w:val="0"/>
                  <w:vAlign w:val="center"/>
                </w:tcPr>
                <w:p w14:paraId="37041A9B">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4"/>
                      <w:sz w:val="21"/>
                      <w:szCs w:val="21"/>
                      <w:highlight w:val="none"/>
                      <w:u w:val="none"/>
                    </w:rPr>
                    <w:t>下限</w:t>
                  </w:r>
                </w:p>
              </w:tc>
              <w:tc>
                <w:tcPr>
                  <w:tcW w:w="839" w:type="pct"/>
                  <w:noWrap w:val="0"/>
                  <w:vAlign w:val="center"/>
                </w:tcPr>
                <w:p w14:paraId="33D9946F">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2"/>
                      <w:sz w:val="21"/>
                      <w:szCs w:val="21"/>
                      <w:highlight w:val="none"/>
                      <w:u w:val="none"/>
                    </w:rPr>
                    <w:t>上限</w:t>
                  </w:r>
                </w:p>
              </w:tc>
            </w:tr>
            <w:tr w14:paraId="5202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3" w:type="pct"/>
                  <w:noWrap w:val="0"/>
                  <w:vAlign w:val="center"/>
                </w:tcPr>
                <w:p w14:paraId="31BCFFA0">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z w:val="21"/>
                      <w:szCs w:val="21"/>
                      <w:highlight w:val="none"/>
                      <w:u w:val="none"/>
                    </w:rPr>
                    <w:t>砷</w:t>
                  </w:r>
                </w:p>
              </w:tc>
              <w:tc>
                <w:tcPr>
                  <w:tcW w:w="831" w:type="pct"/>
                  <w:noWrap w:val="0"/>
                  <w:vAlign w:val="center"/>
                </w:tcPr>
                <w:p w14:paraId="28EEA730">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20.0</w:t>
                  </w:r>
                </w:p>
              </w:tc>
              <w:tc>
                <w:tcPr>
                  <w:tcW w:w="831" w:type="pct"/>
                  <w:noWrap w:val="0"/>
                  <w:vAlign w:val="center"/>
                </w:tcPr>
                <w:p w14:paraId="2E054CA3">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4"/>
                      <w:sz w:val="21"/>
                      <w:szCs w:val="21"/>
                      <w:highlight w:val="none"/>
                      <w:u w:val="none"/>
                    </w:rPr>
                    <w:t>100.0</w:t>
                  </w:r>
                </w:p>
              </w:tc>
              <w:tc>
                <w:tcPr>
                  <w:tcW w:w="830" w:type="pct"/>
                  <w:noWrap w:val="0"/>
                  <w:vAlign w:val="center"/>
                </w:tcPr>
                <w:p w14:paraId="1C48787B">
                  <w:pPr>
                    <w:pStyle w:val="230"/>
                    <w:keepNext w:val="0"/>
                    <w:keepLines w:val="0"/>
                    <w:pageBreakBefore w:val="0"/>
                    <w:widowControl w:val="0"/>
                    <w:kinsoku/>
                    <w:wordWrap/>
                    <w:overflowPunct/>
                    <w:topLinePunct w:val="0"/>
                    <w:autoSpaceDE/>
                    <w:autoSpaceDN/>
                    <w:bidi w:val="0"/>
                    <w:adjustRightInd/>
                    <w:snapToGrid/>
                    <w:spacing w:line="225" w:lineRule="auto"/>
                    <w:ind w:left="0" w:right="0" w:firstLine="0"/>
                    <w:jc w:val="center"/>
                    <w:textAlignment w:val="auto"/>
                    <w:rPr>
                      <w:color w:val="auto"/>
                      <w:sz w:val="21"/>
                      <w:szCs w:val="21"/>
                      <w:highlight w:val="none"/>
                      <w:u w:val="none"/>
                    </w:rPr>
                  </w:pPr>
                  <w:r>
                    <w:rPr>
                      <w:color w:val="auto"/>
                      <w:sz w:val="21"/>
                      <w:szCs w:val="21"/>
                      <w:highlight w:val="none"/>
                      <w:u w:val="none"/>
                    </w:rPr>
                    <w:t>铅</w:t>
                  </w:r>
                </w:p>
              </w:tc>
              <w:tc>
                <w:tcPr>
                  <w:tcW w:w="831" w:type="pct"/>
                  <w:noWrap w:val="0"/>
                  <w:vAlign w:val="center"/>
                </w:tcPr>
                <w:p w14:paraId="50400708">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75.0</w:t>
                  </w:r>
                </w:p>
              </w:tc>
              <w:tc>
                <w:tcPr>
                  <w:tcW w:w="839" w:type="pct"/>
                  <w:noWrap w:val="0"/>
                  <w:vAlign w:val="center"/>
                </w:tcPr>
                <w:p w14:paraId="04F91771">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250.0</w:t>
                  </w:r>
                </w:p>
              </w:tc>
            </w:tr>
            <w:tr w14:paraId="74F90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3" w:type="pct"/>
                  <w:noWrap w:val="0"/>
                  <w:vAlign w:val="center"/>
                </w:tcPr>
                <w:p w14:paraId="5EFD13B8">
                  <w:pPr>
                    <w:pStyle w:val="230"/>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color w:val="auto"/>
                      <w:sz w:val="21"/>
                      <w:szCs w:val="21"/>
                      <w:highlight w:val="none"/>
                      <w:u w:val="none"/>
                    </w:rPr>
                  </w:pPr>
                  <w:r>
                    <w:rPr>
                      <w:color w:val="auto"/>
                      <w:sz w:val="21"/>
                      <w:szCs w:val="21"/>
                      <w:highlight w:val="none"/>
                      <w:u w:val="none"/>
                    </w:rPr>
                    <w:t>镉</w:t>
                  </w:r>
                </w:p>
              </w:tc>
              <w:tc>
                <w:tcPr>
                  <w:tcW w:w="831" w:type="pct"/>
                  <w:noWrap w:val="0"/>
                  <w:vAlign w:val="center"/>
                </w:tcPr>
                <w:p w14:paraId="1505C95B">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0.80</w:t>
                  </w:r>
                </w:p>
              </w:tc>
              <w:tc>
                <w:tcPr>
                  <w:tcW w:w="831" w:type="pct"/>
                  <w:noWrap w:val="0"/>
                  <w:vAlign w:val="center"/>
                </w:tcPr>
                <w:p w14:paraId="136BBFF6">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5.0</w:t>
                  </w:r>
                </w:p>
              </w:tc>
              <w:tc>
                <w:tcPr>
                  <w:tcW w:w="830" w:type="pct"/>
                  <w:noWrap w:val="0"/>
                  <w:vAlign w:val="center"/>
                </w:tcPr>
                <w:p w14:paraId="345CCBB3">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z w:val="21"/>
                      <w:szCs w:val="21"/>
                      <w:highlight w:val="none"/>
                      <w:u w:val="none"/>
                    </w:rPr>
                    <w:t>汞</w:t>
                  </w:r>
                </w:p>
              </w:tc>
              <w:tc>
                <w:tcPr>
                  <w:tcW w:w="831" w:type="pct"/>
                  <w:noWrap w:val="0"/>
                  <w:vAlign w:val="center"/>
                </w:tcPr>
                <w:p w14:paraId="5078ACAA">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0.30</w:t>
                  </w:r>
                </w:p>
              </w:tc>
              <w:tc>
                <w:tcPr>
                  <w:tcW w:w="839" w:type="pct"/>
                  <w:noWrap w:val="0"/>
                  <w:vAlign w:val="center"/>
                </w:tcPr>
                <w:p w14:paraId="1AE2C9E3">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5"/>
                      <w:sz w:val="21"/>
                      <w:szCs w:val="21"/>
                      <w:highlight w:val="none"/>
                      <w:u w:val="none"/>
                    </w:rPr>
                    <w:t>1.0</w:t>
                  </w:r>
                </w:p>
              </w:tc>
            </w:tr>
            <w:tr w14:paraId="0E0B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3" w:type="pct"/>
                  <w:noWrap w:val="0"/>
                  <w:vAlign w:val="center"/>
                </w:tcPr>
                <w:p w14:paraId="1CD98E23">
                  <w:pPr>
                    <w:pStyle w:val="230"/>
                    <w:keepNext w:val="0"/>
                    <w:keepLines w:val="0"/>
                    <w:pageBreakBefore w:val="0"/>
                    <w:widowControl w:val="0"/>
                    <w:kinsoku/>
                    <w:wordWrap/>
                    <w:overflowPunct/>
                    <w:topLinePunct w:val="0"/>
                    <w:autoSpaceDE/>
                    <w:autoSpaceDN/>
                    <w:bidi w:val="0"/>
                    <w:adjustRightInd/>
                    <w:snapToGrid/>
                    <w:spacing w:line="223" w:lineRule="auto"/>
                    <w:ind w:left="0" w:right="0" w:firstLine="0"/>
                    <w:jc w:val="center"/>
                    <w:textAlignment w:val="auto"/>
                    <w:rPr>
                      <w:color w:val="auto"/>
                      <w:sz w:val="21"/>
                      <w:szCs w:val="21"/>
                      <w:highlight w:val="none"/>
                      <w:u w:val="none"/>
                    </w:rPr>
                  </w:pPr>
                  <w:r>
                    <w:rPr>
                      <w:color w:val="auto"/>
                      <w:sz w:val="21"/>
                      <w:szCs w:val="21"/>
                      <w:highlight w:val="none"/>
                      <w:u w:val="none"/>
                    </w:rPr>
                    <w:t>铬</w:t>
                  </w:r>
                </w:p>
              </w:tc>
              <w:tc>
                <w:tcPr>
                  <w:tcW w:w="831" w:type="pct"/>
                  <w:noWrap w:val="0"/>
                  <w:vAlign w:val="center"/>
                </w:tcPr>
                <w:p w14:paraId="69855C9C">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80.0</w:t>
                  </w:r>
                </w:p>
              </w:tc>
              <w:tc>
                <w:tcPr>
                  <w:tcW w:w="831" w:type="pct"/>
                  <w:noWrap w:val="0"/>
                  <w:vAlign w:val="center"/>
                </w:tcPr>
                <w:p w14:paraId="4F318D51">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300.0</w:t>
                  </w:r>
                </w:p>
              </w:tc>
              <w:tc>
                <w:tcPr>
                  <w:tcW w:w="830" w:type="pct"/>
                  <w:noWrap w:val="0"/>
                  <w:vAlign w:val="center"/>
                </w:tcPr>
                <w:p w14:paraId="7BA931FC">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z w:val="21"/>
                      <w:szCs w:val="21"/>
                      <w:highlight w:val="none"/>
                      <w:u w:val="none"/>
                    </w:rPr>
                    <w:t>锌</w:t>
                  </w:r>
                </w:p>
              </w:tc>
              <w:tc>
                <w:tcPr>
                  <w:tcW w:w="831" w:type="pct"/>
                  <w:noWrap w:val="0"/>
                  <w:vAlign w:val="center"/>
                </w:tcPr>
                <w:p w14:paraId="5AF9FC0E">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200.0</w:t>
                  </w:r>
                </w:p>
              </w:tc>
              <w:tc>
                <w:tcPr>
                  <w:tcW w:w="839" w:type="pct"/>
                  <w:noWrap w:val="0"/>
                  <w:vAlign w:val="center"/>
                </w:tcPr>
                <w:p w14:paraId="6AEB56B2">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600.0</w:t>
                  </w:r>
                </w:p>
              </w:tc>
            </w:tr>
            <w:tr w14:paraId="41447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3" w:type="pct"/>
                  <w:noWrap w:val="0"/>
                  <w:vAlign w:val="center"/>
                </w:tcPr>
                <w:p w14:paraId="74E6B624">
                  <w:pPr>
                    <w:pStyle w:val="230"/>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color w:val="auto"/>
                      <w:sz w:val="21"/>
                      <w:szCs w:val="21"/>
                      <w:highlight w:val="none"/>
                      <w:u w:val="none"/>
                    </w:rPr>
                  </w:pPr>
                  <w:r>
                    <w:rPr>
                      <w:color w:val="auto"/>
                      <w:sz w:val="21"/>
                      <w:szCs w:val="21"/>
                      <w:highlight w:val="none"/>
                      <w:u w:val="none"/>
                    </w:rPr>
                    <w:t>铜</w:t>
                  </w:r>
                </w:p>
              </w:tc>
              <w:tc>
                <w:tcPr>
                  <w:tcW w:w="831" w:type="pct"/>
                  <w:noWrap w:val="0"/>
                  <w:vAlign w:val="center"/>
                </w:tcPr>
                <w:p w14:paraId="10F73F0A">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50.0</w:t>
                  </w:r>
                </w:p>
              </w:tc>
              <w:tc>
                <w:tcPr>
                  <w:tcW w:w="831" w:type="pct"/>
                  <w:noWrap w:val="0"/>
                  <w:vAlign w:val="center"/>
                </w:tcPr>
                <w:p w14:paraId="0F0A45CB">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300.0</w:t>
                  </w:r>
                </w:p>
              </w:tc>
              <w:tc>
                <w:tcPr>
                  <w:tcW w:w="830" w:type="pct"/>
                  <w:noWrap w:val="0"/>
                  <w:vAlign w:val="center"/>
                </w:tcPr>
                <w:p w14:paraId="17425F59">
                  <w:pPr>
                    <w:pStyle w:val="230"/>
                    <w:keepNext w:val="0"/>
                    <w:keepLines w:val="0"/>
                    <w:pageBreakBefore w:val="0"/>
                    <w:widowControl w:val="0"/>
                    <w:kinsoku/>
                    <w:wordWrap/>
                    <w:overflowPunct/>
                    <w:topLinePunct w:val="0"/>
                    <w:autoSpaceDE/>
                    <w:autoSpaceDN/>
                    <w:bidi w:val="0"/>
                    <w:adjustRightInd/>
                    <w:snapToGrid/>
                    <w:spacing w:line="234" w:lineRule="auto"/>
                    <w:ind w:left="0" w:right="0" w:firstLine="0"/>
                    <w:jc w:val="center"/>
                    <w:textAlignment w:val="auto"/>
                    <w:rPr>
                      <w:rFonts w:ascii="Times New Roman" w:hAnsi="Times New Roman" w:eastAsia="Times New Roman" w:cs="Times New Roman"/>
                      <w:color w:val="auto"/>
                      <w:sz w:val="21"/>
                      <w:szCs w:val="21"/>
                      <w:highlight w:val="none"/>
                      <w:u w:val="none"/>
                    </w:rPr>
                  </w:pPr>
                  <w:r>
                    <w:rPr>
                      <w:color w:val="auto"/>
                      <w:spacing w:val="-2"/>
                      <w:sz w:val="21"/>
                      <w:szCs w:val="21"/>
                      <w:highlight w:val="none"/>
                      <w:u w:val="none"/>
                    </w:rPr>
                    <w:t>有机碳</w:t>
                  </w:r>
                  <w:r>
                    <w:rPr>
                      <w:rFonts w:ascii="Times New Roman" w:hAnsi="Times New Roman" w:eastAsia="Times New Roman" w:cs="Times New Roman"/>
                      <w:color w:val="auto"/>
                      <w:spacing w:val="-2"/>
                      <w:sz w:val="21"/>
                      <w:szCs w:val="21"/>
                      <w:highlight w:val="none"/>
                      <w:u w:val="none"/>
                    </w:rPr>
                    <w:t>*</w:t>
                  </w:r>
                </w:p>
              </w:tc>
              <w:tc>
                <w:tcPr>
                  <w:tcW w:w="831" w:type="pct"/>
                  <w:noWrap w:val="0"/>
                  <w:vAlign w:val="center"/>
                </w:tcPr>
                <w:p w14:paraId="1FB07674">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2.0</w:t>
                  </w:r>
                </w:p>
              </w:tc>
              <w:tc>
                <w:tcPr>
                  <w:tcW w:w="839" w:type="pct"/>
                  <w:noWrap w:val="0"/>
                  <w:vAlign w:val="center"/>
                </w:tcPr>
                <w:p w14:paraId="473F7B95">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4.0</w:t>
                  </w:r>
                </w:p>
              </w:tc>
            </w:tr>
            <w:tr w14:paraId="4F01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3" w:type="pct"/>
                  <w:noWrap w:val="0"/>
                  <w:vAlign w:val="center"/>
                </w:tcPr>
                <w:p w14:paraId="3DC726F2">
                  <w:pPr>
                    <w:pStyle w:val="230"/>
                    <w:keepNext w:val="0"/>
                    <w:keepLines w:val="0"/>
                    <w:pageBreakBefore w:val="0"/>
                    <w:widowControl w:val="0"/>
                    <w:kinsoku/>
                    <w:wordWrap/>
                    <w:overflowPunct/>
                    <w:topLinePunct w:val="0"/>
                    <w:autoSpaceDE/>
                    <w:autoSpaceDN/>
                    <w:bidi w:val="0"/>
                    <w:adjustRightInd/>
                    <w:snapToGrid/>
                    <w:spacing w:line="222" w:lineRule="auto"/>
                    <w:ind w:left="0" w:right="0" w:firstLine="0"/>
                    <w:jc w:val="center"/>
                    <w:textAlignment w:val="auto"/>
                    <w:rPr>
                      <w:color w:val="auto"/>
                      <w:sz w:val="21"/>
                      <w:szCs w:val="21"/>
                      <w:highlight w:val="none"/>
                      <w:u w:val="none"/>
                    </w:rPr>
                  </w:pPr>
                  <w:r>
                    <w:rPr>
                      <w:color w:val="auto"/>
                      <w:spacing w:val="-1"/>
                      <w:sz w:val="21"/>
                      <w:szCs w:val="21"/>
                      <w:highlight w:val="none"/>
                      <w:u w:val="none"/>
                    </w:rPr>
                    <w:t>硫化物</w:t>
                  </w:r>
                </w:p>
              </w:tc>
              <w:tc>
                <w:tcPr>
                  <w:tcW w:w="831" w:type="pct"/>
                  <w:noWrap w:val="0"/>
                  <w:vAlign w:val="center"/>
                </w:tcPr>
                <w:p w14:paraId="4724FCEF">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1"/>
                      <w:sz w:val="21"/>
                      <w:szCs w:val="21"/>
                      <w:highlight w:val="none"/>
                      <w:u w:val="none"/>
                    </w:rPr>
                    <w:t>300.0</w:t>
                  </w:r>
                </w:p>
              </w:tc>
              <w:tc>
                <w:tcPr>
                  <w:tcW w:w="831" w:type="pct"/>
                  <w:noWrap w:val="0"/>
                  <w:vAlign w:val="center"/>
                </w:tcPr>
                <w:p w14:paraId="479D9015">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800.0</w:t>
                  </w:r>
                </w:p>
              </w:tc>
              <w:tc>
                <w:tcPr>
                  <w:tcW w:w="830" w:type="pct"/>
                  <w:noWrap w:val="0"/>
                  <w:vAlign w:val="center"/>
                </w:tcPr>
                <w:p w14:paraId="4903B2A0">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3"/>
                      <w:sz w:val="21"/>
                      <w:szCs w:val="21"/>
                      <w:highlight w:val="none"/>
                      <w:u w:val="none"/>
                    </w:rPr>
                    <w:t>油类</w:t>
                  </w:r>
                </w:p>
              </w:tc>
              <w:tc>
                <w:tcPr>
                  <w:tcW w:w="831" w:type="pct"/>
                  <w:noWrap w:val="0"/>
                  <w:vAlign w:val="center"/>
                </w:tcPr>
                <w:p w14:paraId="0C29DC5A">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500.0</w:t>
                  </w:r>
                </w:p>
              </w:tc>
              <w:tc>
                <w:tcPr>
                  <w:tcW w:w="839" w:type="pct"/>
                  <w:noWrap w:val="0"/>
                  <w:vAlign w:val="center"/>
                </w:tcPr>
                <w:p w14:paraId="02B35306">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ascii="Times New Roman" w:hAnsi="Times New Roman" w:eastAsia="Times New Roman" w:cs="Times New Roman"/>
                      <w:color w:val="auto"/>
                      <w:sz w:val="21"/>
                      <w:szCs w:val="21"/>
                      <w:highlight w:val="none"/>
                      <w:u w:val="none"/>
                    </w:rPr>
                  </w:pPr>
                  <w:r>
                    <w:rPr>
                      <w:rFonts w:ascii="Times New Roman" w:hAnsi="Times New Roman" w:eastAsia="Times New Roman" w:cs="Times New Roman"/>
                      <w:color w:val="auto"/>
                      <w:spacing w:val="-3"/>
                      <w:sz w:val="21"/>
                      <w:szCs w:val="21"/>
                      <w:highlight w:val="none"/>
                      <w:u w:val="none"/>
                    </w:rPr>
                    <w:t>1500.0</w:t>
                  </w:r>
                </w:p>
              </w:tc>
            </w:tr>
            <w:tr w14:paraId="783C9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00" w:type="pct"/>
                  <w:gridSpan w:val="6"/>
                  <w:noWrap w:val="0"/>
                  <w:vAlign w:val="center"/>
                </w:tcPr>
                <w:p w14:paraId="37BACA10">
                  <w:pPr>
                    <w:pStyle w:val="230"/>
                    <w:keepNext w:val="0"/>
                    <w:keepLines w:val="0"/>
                    <w:pageBreakBefore w:val="0"/>
                    <w:widowControl w:val="0"/>
                    <w:kinsoku/>
                    <w:wordWrap/>
                    <w:overflowPunct/>
                    <w:topLinePunct w:val="0"/>
                    <w:autoSpaceDE/>
                    <w:autoSpaceDN/>
                    <w:bidi w:val="0"/>
                    <w:adjustRightInd/>
                    <w:snapToGrid/>
                    <w:spacing w:line="281" w:lineRule="exact"/>
                    <w:ind w:left="0" w:right="0" w:firstLine="0"/>
                    <w:jc w:val="center"/>
                    <w:textAlignment w:val="auto"/>
                    <w:rPr>
                      <w:rFonts w:ascii="Times New Roman" w:hAnsi="Times New Roman" w:eastAsia="Times New Roman" w:cs="Times New Roman"/>
                      <w:color w:val="auto"/>
                      <w:sz w:val="13"/>
                      <w:szCs w:val="13"/>
                      <w:highlight w:val="none"/>
                      <w:u w:val="none"/>
                    </w:rPr>
                  </w:pPr>
                  <w:r>
                    <w:rPr>
                      <w:rFonts w:ascii="Times New Roman" w:hAnsi="Times New Roman" w:eastAsia="Times New Roman" w:cs="Times New Roman"/>
                      <w:color w:val="auto"/>
                      <w:spacing w:val="-3"/>
                      <w:position w:val="1"/>
                      <w:sz w:val="21"/>
                      <w:szCs w:val="21"/>
                      <w:highlight w:val="none"/>
                      <w:u w:val="none"/>
                    </w:rPr>
                    <w:t>*</w:t>
                  </w:r>
                  <w:r>
                    <w:rPr>
                      <w:color w:val="auto"/>
                      <w:spacing w:val="-3"/>
                      <w:position w:val="1"/>
                      <w:sz w:val="21"/>
                      <w:szCs w:val="21"/>
                      <w:highlight w:val="none"/>
                      <w:u w:val="none"/>
                    </w:rPr>
                    <w:t>有机碳的单位为</w:t>
                  </w:r>
                  <w:r>
                    <w:rPr>
                      <w:color w:val="auto"/>
                      <w:spacing w:val="-22"/>
                      <w:position w:val="1"/>
                      <w:sz w:val="21"/>
                      <w:szCs w:val="21"/>
                      <w:highlight w:val="none"/>
                      <w:u w:val="none"/>
                    </w:rPr>
                    <w:t xml:space="preserve"> </w:t>
                  </w:r>
                  <w:r>
                    <w:rPr>
                      <w:rFonts w:ascii="Times New Roman" w:hAnsi="Times New Roman" w:eastAsia="Times New Roman" w:cs="Times New Roman"/>
                      <w:color w:val="auto"/>
                      <w:spacing w:val="-3"/>
                      <w:position w:val="1"/>
                      <w:sz w:val="21"/>
                      <w:szCs w:val="21"/>
                      <w:highlight w:val="none"/>
                      <w:u w:val="none"/>
                    </w:rPr>
                    <w:t>10</w:t>
                  </w:r>
                  <w:r>
                    <w:rPr>
                      <w:rFonts w:ascii="Times New Roman" w:hAnsi="Times New Roman" w:eastAsia="Times New Roman" w:cs="Times New Roman"/>
                      <w:color w:val="auto"/>
                      <w:spacing w:val="-3"/>
                      <w:position w:val="10"/>
                      <w:sz w:val="13"/>
                      <w:szCs w:val="13"/>
                      <w:highlight w:val="none"/>
                      <w:u w:val="none"/>
                    </w:rPr>
                    <w:t>-2</w:t>
                  </w:r>
                </w:p>
              </w:tc>
            </w:tr>
            <w:tr w14:paraId="31117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00" w:type="pct"/>
                  <w:gridSpan w:val="6"/>
                  <w:noWrap w:val="0"/>
                  <w:vAlign w:val="center"/>
                </w:tcPr>
                <w:p w14:paraId="4BD4C188">
                  <w:pPr>
                    <w:pStyle w:val="230"/>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color w:val="auto"/>
                      <w:highlight w:val="none"/>
                      <w:u w:val="none"/>
                    </w:rPr>
                  </w:pPr>
                  <w:r>
                    <w:rPr>
                      <w:b/>
                      <w:bCs/>
                      <w:color w:val="auto"/>
                      <w:spacing w:val="-3"/>
                      <w:highlight w:val="none"/>
                      <w:u w:val="none"/>
                    </w:rPr>
                    <w:t>疏浚物类别评价规则</w:t>
                  </w:r>
                </w:p>
              </w:tc>
            </w:tr>
            <w:tr w14:paraId="1496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33" w:type="pct"/>
                  <w:noWrap w:val="0"/>
                  <w:vAlign w:val="center"/>
                </w:tcPr>
                <w:p w14:paraId="2F95279D">
                  <w:pPr>
                    <w:pStyle w:val="230"/>
                    <w:keepNext w:val="0"/>
                    <w:keepLines w:val="0"/>
                    <w:pageBreakBefore w:val="0"/>
                    <w:widowControl w:val="0"/>
                    <w:kinsoku/>
                    <w:wordWrap/>
                    <w:overflowPunct/>
                    <w:topLinePunct w:val="0"/>
                    <w:autoSpaceDE/>
                    <w:autoSpaceDN/>
                    <w:bidi w:val="0"/>
                    <w:adjustRightInd/>
                    <w:snapToGrid/>
                    <w:spacing w:line="221" w:lineRule="auto"/>
                    <w:ind w:left="0" w:right="0" w:firstLine="0"/>
                    <w:jc w:val="center"/>
                    <w:textAlignment w:val="auto"/>
                    <w:rPr>
                      <w:color w:val="auto"/>
                      <w:sz w:val="21"/>
                      <w:szCs w:val="21"/>
                      <w:highlight w:val="none"/>
                      <w:u w:val="none"/>
                    </w:rPr>
                  </w:pPr>
                  <w:r>
                    <w:rPr>
                      <w:color w:val="auto"/>
                      <w:spacing w:val="-2"/>
                      <w:sz w:val="21"/>
                      <w:szCs w:val="21"/>
                      <w:highlight w:val="none"/>
                      <w:u w:val="none"/>
                    </w:rPr>
                    <w:t>疏浚物类别</w:t>
                  </w:r>
                </w:p>
              </w:tc>
              <w:tc>
                <w:tcPr>
                  <w:tcW w:w="4166" w:type="pct"/>
                  <w:gridSpan w:val="5"/>
                  <w:noWrap w:val="0"/>
                  <w:vAlign w:val="center"/>
                </w:tcPr>
                <w:p w14:paraId="598BAA4A">
                  <w:pPr>
                    <w:pStyle w:val="230"/>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color w:val="auto"/>
                      <w:sz w:val="21"/>
                      <w:szCs w:val="21"/>
                      <w:highlight w:val="none"/>
                      <w:u w:val="none"/>
                    </w:rPr>
                  </w:pPr>
                  <w:r>
                    <w:rPr>
                      <w:color w:val="auto"/>
                      <w:spacing w:val="-1"/>
                      <w:sz w:val="21"/>
                      <w:szCs w:val="21"/>
                      <w:highlight w:val="none"/>
                      <w:u w:val="none"/>
                    </w:rPr>
                    <w:t>评价规则</w:t>
                  </w:r>
                </w:p>
              </w:tc>
            </w:tr>
            <w:tr w14:paraId="2D02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6" w:hRule="atLeast"/>
              </w:trPr>
              <w:tc>
                <w:tcPr>
                  <w:tcW w:w="833" w:type="pct"/>
                  <w:noWrap w:val="0"/>
                  <w:vAlign w:val="center"/>
                </w:tcPr>
                <w:p w14:paraId="689E989F">
                  <w:pPr>
                    <w:pStyle w:val="230"/>
                    <w:keepNext w:val="0"/>
                    <w:keepLines w:val="0"/>
                    <w:pageBreakBefore w:val="0"/>
                    <w:widowControl w:val="0"/>
                    <w:kinsoku/>
                    <w:wordWrap/>
                    <w:overflowPunct/>
                    <w:topLinePunct w:val="0"/>
                    <w:autoSpaceDE/>
                    <w:autoSpaceDN/>
                    <w:bidi w:val="0"/>
                    <w:adjustRightInd/>
                    <w:snapToGrid/>
                    <w:spacing w:line="246" w:lineRule="auto"/>
                    <w:ind w:left="105" w:leftChars="50" w:right="0" w:firstLine="0"/>
                    <w:jc w:val="center"/>
                    <w:textAlignment w:val="auto"/>
                    <w:rPr>
                      <w:color w:val="auto"/>
                      <w:sz w:val="21"/>
                      <w:szCs w:val="21"/>
                      <w:highlight w:val="none"/>
                      <w:u w:val="none"/>
                    </w:rPr>
                  </w:pPr>
                  <w:r>
                    <w:rPr>
                      <w:color w:val="auto"/>
                      <w:spacing w:val="-1"/>
                      <w:sz w:val="21"/>
                      <w:szCs w:val="21"/>
                      <w:highlight w:val="none"/>
                      <w:u w:val="none"/>
                    </w:rPr>
                    <w:t>清洁疏浚物</w:t>
                  </w:r>
                  <w:r>
                    <w:rPr>
                      <w:color w:val="auto"/>
                      <w:spacing w:val="-5"/>
                      <w:sz w:val="21"/>
                      <w:szCs w:val="21"/>
                      <w:highlight w:val="none"/>
                      <w:u w:val="none"/>
                    </w:rPr>
                    <w:t>(</w:t>
                  </w:r>
                  <w:r>
                    <w:rPr>
                      <w:rFonts w:ascii="Times New Roman" w:hAnsi="Times New Roman" w:eastAsia="Times New Roman" w:cs="Times New Roman"/>
                      <w:color w:val="auto"/>
                      <w:spacing w:val="-5"/>
                      <w:sz w:val="21"/>
                      <w:szCs w:val="21"/>
                      <w:highlight w:val="none"/>
                      <w:u w:val="none"/>
                    </w:rPr>
                    <w:t>Ⅰ</w:t>
                  </w:r>
                  <w:r>
                    <w:rPr>
                      <w:color w:val="auto"/>
                      <w:spacing w:val="-5"/>
                      <w:sz w:val="21"/>
                      <w:szCs w:val="21"/>
                      <w:highlight w:val="none"/>
                      <w:u w:val="none"/>
                    </w:rPr>
                    <w:t>类）</w:t>
                  </w:r>
                </w:p>
              </w:tc>
              <w:tc>
                <w:tcPr>
                  <w:tcW w:w="4166" w:type="pct"/>
                  <w:gridSpan w:val="5"/>
                  <w:noWrap w:val="0"/>
                  <w:vAlign w:val="center"/>
                </w:tcPr>
                <w:p w14:paraId="0A3F4B3E">
                  <w:pPr>
                    <w:pStyle w:val="230"/>
                    <w:keepNext w:val="0"/>
                    <w:keepLines w:val="0"/>
                    <w:pageBreakBefore w:val="0"/>
                    <w:widowControl w:val="0"/>
                    <w:kinsoku/>
                    <w:wordWrap/>
                    <w:overflowPunct/>
                    <w:topLinePunct w:val="0"/>
                    <w:autoSpaceDE/>
                    <w:autoSpaceDN/>
                    <w:bidi w:val="0"/>
                    <w:adjustRightInd/>
                    <w:snapToGrid/>
                    <w:spacing w:line="221" w:lineRule="auto"/>
                    <w:ind w:left="105" w:leftChars="50" w:right="0" w:firstLine="0"/>
                    <w:jc w:val="both"/>
                    <w:textAlignment w:val="auto"/>
                    <w:rPr>
                      <w:color w:val="auto"/>
                      <w:sz w:val="21"/>
                      <w:szCs w:val="21"/>
                      <w:highlight w:val="none"/>
                      <w:u w:val="none"/>
                    </w:rPr>
                  </w:pPr>
                  <w:r>
                    <w:rPr>
                      <w:color w:val="auto"/>
                      <w:spacing w:val="-1"/>
                      <w:sz w:val="21"/>
                      <w:szCs w:val="21"/>
                      <w:highlight w:val="none"/>
                      <w:u w:val="none"/>
                    </w:rPr>
                    <w:t>符合下列条件之一的疏浚物为清洁疏浚物：</w:t>
                  </w:r>
                </w:p>
                <w:p w14:paraId="58DB20D6">
                  <w:pPr>
                    <w:pStyle w:val="230"/>
                    <w:keepNext w:val="0"/>
                    <w:keepLines w:val="0"/>
                    <w:pageBreakBefore w:val="0"/>
                    <w:widowControl w:val="0"/>
                    <w:kinsoku/>
                    <w:wordWrap/>
                    <w:overflowPunct/>
                    <w:topLinePunct w:val="0"/>
                    <w:autoSpaceDE/>
                    <w:autoSpaceDN/>
                    <w:bidi w:val="0"/>
                    <w:adjustRightInd/>
                    <w:snapToGrid/>
                    <w:spacing w:line="233" w:lineRule="auto"/>
                    <w:ind w:left="105" w:leftChars="50" w:right="0" w:firstLine="0"/>
                    <w:jc w:val="both"/>
                    <w:textAlignment w:val="auto"/>
                    <w:rPr>
                      <w:color w:val="auto"/>
                      <w:sz w:val="21"/>
                      <w:szCs w:val="21"/>
                      <w:highlight w:val="none"/>
                      <w:u w:val="none"/>
                    </w:rPr>
                  </w:pPr>
                  <w:r>
                    <w:rPr>
                      <w:rFonts w:ascii="Times New Roman" w:hAnsi="Times New Roman" w:eastAsia="Times New Roman" w:cs="Times New Roman"/>
                      <w:color w:val="auto"/>
                      <w:sz w:val="21"/>
                      <w:szCs w:val="21"/>
                      <w:highlight w:val="none"/>
                      <w:u w:val="none"/>
                    </w:rPr>
                    <w:t>a</w:t>
                  </w:r>
                  <w:r>
                    <w:rPr>
                      <w:color w:val="auto"/>
                      <w:sz w:val="21"/>
                      <w:szCs w:val="21"/>
                      <w:highlight w:val="none"/>
                      <w:u w:val="none"/>
                    </w:rPr>
                    <w:t>）疏浚物中所有化学组分的含量都不超过化学评价限值</w:t>
                  </w:r>
                  <w:r>
                    <w:rPr>
                      <w:color w:val="auto"/>
                      <w:spacing w:val="-1"/>
                      <w:sz w:val="21"/>
                      <w:szCs w:val="21"/>
                      <w:highlight w:val="none"/>
                      <w:u w:val="none"/>
                    </w:rPr>
                    <w:t>的下限；</w:t>
                  </w:r>
                </w:p>
                <w:p w14:paraId="16F575CB">
                  <w:pPr>
                    <w:pStyle w:val="230"/>
                    <w:keepNext w:val="0"/>
                    <w:keepLines w:val="0"/>
                    <w:pageBreakBefore w:val="0"/>
                    <w:widowControl w:val="0"/>
                    <w:kinsoku/>
                    <w:wordWrap/>
                    <w:overflowPunct/>
                    <w:topLinePunct w:val="0"/>
                    <w:autoSpaceDE/>
                    <w:autoSpaceDN/>
                    <w:bidi w:val="0"/>
                    <w:adjustRightInd/>
                    <w:snapToGrid/>
                    <w:spacing w:line="323" w:lineRule="auto"/>
                    <w:ind w:left="105" w:leftChars="50" w:right="0" w:firstLine="0"/>
                    <w:jc w:val="both"/>
                    <w:textAlignment w:val="auto"/>
                    <w:rPr>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b</w:t>
                  </w:r>
                  <w:r>
                    <w:rPr>
                      <w:color w:val="auto"/>
                      <w:spacing w:val="2"/>
                      <w:sz w:val="21"/>
                      <w:szCs w:val="21"/>
                      <w:highlight w:val="none"/>
                      <w:u w:val="none"/>
                    </w:rPr>
                    <w:t>）疏浚物中镉、汞、六六六、滴滴涕、多氯联苯总量不超过化学评价的下</w:t>
                  </w:r>
                  <w:r>
                    <w:rPr>
                      <w:color w:val="auto"/>
                      <w:spacing w:val="1"/>
                      <w:sz w:val="21"/>
                      <w:szCs w:val="21"/>
                      <w:highlight w:val="none"/>
                      <w:u w:val="none"/>
                    </w:rPr>
                    <w:t>限，疏</w:t>
                  </w:r>
                  <w:r>
                    <w:rPr>
                      <w:color w:val="auto"/>
                      <w:spacing w:val="-1"/>
                      <w:sz w:val="21"/>
                      <w:szCs w:val="21"/>
                      <w:highlight w:val="none"/>
                      <w:u w:val="none"/>
                    </w:rPr>
                    <w:t>浚物中砷、铬、铜、铅、锌、有机碳、硫化物、油类，其中不多于两种的</w:t>
                  </w:r>
                  <w:r>
                    <w:rPr>
                      <w:color w:val="auto"/>
                      <w:spacing w:val="-2"/>
                      <w:sz w:val="21"/>
                      <w:szCs w:val="21"/>
                      <w:highlight w:val="none"/>
                      <w:u w:val="none"/>
                    </w:rPr>
                    <w:t>含量超过</w:t>
                  </w:r>
                  <w:r>
                    <w:rPr>
                      <w:color w:val="auto"/>
                      <w:spacing w:val="-3"/>
                      <w:sz w:val="21"/>
                      <w:szCs w:val="21"/>
                      <w:highlight w:val="none"/>
                      <w:u w:val="none"/>
                    </w:rPr>
                    <w:t>化学评价限值的下限，但不超过上限与下限</w:t>
                  </w:r>
                  <w:r>
                    <w:rPr>
                      <w:color w:val="auto"/>
                      <w:spacing w:val="-4"/>
                      <w:sz w:val="21"/>
                      <w:szCs w:val="21"/>
                      <w:highlight w:val="none"/>
                      <w:u w:val="none"/>
                    </w:rPr>
                    <w:t>的平均值，且其小于</w:t>
                  </w:r>
                  <w:r>
                    <w:rPr>
                      <w:color w:val="auto"/>
                      <w:spacing w:val="-51"/>
                      <w:sz w:val="21"/>
                      <w:szCs w:val="21"/>
                      <w:highlight w:val="none"/>
                      <w:u w:val="none"/>
                    </w:rPr>
                    <w:t xml:space="preserve"> </w:t>
                  </w:r>
                  <w:r>
                    <w:rPr>
                      <w:rFonts w:ascii="Times New Roman" w:hAnsi="Times New Roman" w:eastAsia="Times New Roman" w:cs="Times New Roman"/>
                      <w:color w:val="auto"/>
                      <w:spacing w:val="-4"/>
                      <w:sz w:val="21"/>
                      <w:szCs w:val="21"/>
                      <w:highlight w:val="none"/>
                      <w:u w:val="none"/>
                    </w:rPr>
                    <w:t>4μm</w:t>
                  </w:r>
                  <w:r>
                    <w:rPr>
                      <w:rFonts w:ascii="Times New Roman" w:hAnsi="Times New Roman" w:eastAsia="Times New Roman" w:cs="Times New Roman"/>
                      <w:color w:val="auto"/>
                      <w:spacing w:val="22"/>
                      <w:w w:val="101"/>
                      <w:sz w:val="21"/>
                      <w:szCs w:val="21"/>
                      <w:highlight w:val="none"/>
                      <w:u w:val="none"/>
                    </w:rPr>
                    <w:t xml:space="preserve"> </w:t>
                  </w:r>
                  <w:r>
                    <w:rPr>
                      <w:color w:val="auto"/>
                      <w:spacing w:val="-4"/>
                      <w:sz w:val="21"/>
                      <w:szCs w:val="21"/>
                      <w:highlight w:val="none"/>
                      <w:u w:val="none"/>
                    </w:rPr>
                    <w:t>的粒度组分含</w:t>
                  </w:r>
                  <w:r>
                    <w:rPr>
                      <w:color w:val="auto"/>
                      <w:spacing w:val="-2"/>
                      <w:sz w:val="21"/>
                      <w:szCs w:val="21"/>
                      <w:highlight w:val="none"/>
                      <w:u w:val="none"/>
                    </w:rPr>
                    <w:t>量不大于</w:t>
                  </w:r>
                  <w:r>
                    <w:rPr>
                      <w:color w:val="auto"/>
                      <w:spacing w:val="-42"/>
                      <w:sz w:val="21"/>
                      <w:szCs w:val="21"/>
                      <w:highlight w:val="none"/>
                      <w:u w:val="none"/>
                    </w:rPr>
                    <w:t xml:space="preserve"> </w:t>
                  </w:r>
                  <w:r>
                    <w:rPr>
                      <w:rFonts w:ascii="Times New Roman" w:hAnsi="Times New Roman" w:eastAsia="Times New Roman" w:cs="Times New Roman"/>
                      <w:color w:val="auto"/>
                      <w:spacing w:val="-2"/>
                      <w:sz w:val="21"/>
                      <w:szCs w:val="21"/>
                      <w:highlight w:val="none"/>
                      <w:u w:val="none"/>
                    </w:rPr>
                    <w:t>5%</w:t>
                  </w:r>
                  <w:r>
                    <w:rPr>
                      <w:color w:val="auto"/>
                      <w:spacing w:val="-2"/>
                      <w:sz w:val="21"/>
                      <w:szCs w:val="21"/>
                      <w:highlight w:val="none"/>
                      <w:u w:val="none"/>
                    </w:rPr>
                    <w:t>，小于</w:t>
                  </w:r>
                  <w:r>
                    <w:rPr>
                      <w:color w:val="auto"/>
                      <w:spacing w:val="-43"/>
                      <w:sz w:val="21"/>
                      <w:szCs w:val="21"/>
                      <w:highlight w:val="none"/>
                      <w:u w:val="none"/>
                    </w:rPr>
                    <w:t xml:space="preserve"> </w:t>
                  </w:r>
                  <w:r>
                    <w:rPr>
                      <w:rFonts w:ascii="Times New Roman" w:hAnsi="Times New Roman" w:eastAsia="Times New Roman" w:cs="Times New Roman"/>
                      <w:color w:val="auto"/>
                      <w:spacing w:val="-2"/>
                      <w:sz w:val="21"/>
                      <w:szCs w:val="21"/>
                      <w:highlight w:val="none"/>
                      <w:u w:val="none"/>
                    </w:rPr>
                    <w:t>63μm</w:t>
                  </w:r>
                  <w:r>
                    <w:rPr>
                      <w:rFonts w:ascii="Times New Roman" w:hAnsi="Times New Roman" w:eastAsia="Times New Roman" w:cs="Times New Roman"/>
                      <w:color w:val="auto"/>
                      <w:spacing w:val="22"/>
                      <w:sz w:val="21"/>
                      <w:szCs w:val="21"/>
                      <w:highlight w:val="none"/>
                      <w:u w:val="none"/>
                    </w:rPr>
                    <w:t xml:space="preserve"> </w:t>
                  </w:r>
                  <w:r>
                    <w:rPr>
                      <w:color w:val="auto"/>
                      <w:spacing w:val="-2"/>
                      <w:sz w:val="21"/>
                      <w:szCs w:val="21"/>
                      <w:highlight w:val="none"/>
                      <w:u w:val="none"/>
                    </w:rPr>
                    <w:t>的粒度组分含量不大于</w:t>
                  </w:r>
                  <w:r>
                    <w:rPr>
                      <w:color w:val="auto"/>
                      <w:spacing w:val="-48"/>
                      <w:sz w:val="21"/>
                      <w:szCs w:val="21"/>
                      <w:highlight w:val="none"/>
                      <w:u w:val="none"/>
                    </w:rPr>
                    <w:t xml:space="preserve"> </w:t>
                  </w:r>
                  <w:r>
                    <w:rPr>
                      <w:rFonts w:ascii="Times New Roman" w:hAnsi="Times New Roman" w:eastAsia="Times New Roman" w:cs="Times New Roman"/>
                      <w:color w:val="auto"/>
                      <w:spacing w:val="-2"/>
                      <w:sz w:val="21"/>
                      <w:szCs w:val="21"/>
                      <w:highlight w:val="none"/>
                      <w:u w:val="none"/>
                    </w:rPr>
                    <w:t>20</w:t>
                  </w:r>
                  <w:r>
                    <w:rPr>
                      <w:rFonts w:ascii="Times New Roman" w:hAnsi="Times New Roman" w:eastAsia="Times New Roman" w:cs="Times New Roman"/>
                      <w:color w:val="auto"/>
                      <w:spacing w:val="-3"/>
                      <w:sz w:val="21"/>
                      <w:szCs w:val="21"/>
                      <w:highlight w:val="none"/>
                      <w:u w:val="none"/>
                    </w:rPr>
                    <w:t>%</w:t>
                  </w:r>
                  <w:r>
                    <w:rPr>
                      <w:color w:val="auto"/>
                      <w:spacing w:val="-3"/>
                      <w:sz w:val="21"/>
                      <w:szCs w:val="21"/>
                      <w:highlight w:val="none"/>
                      <w:u w:val="none"/>
                    </w:rPr>
                    <w:t>。</w:t>
                  </w:r>
                </w:p>
              </w:tc>
            </w:tr>
            <w:tr w14:paraId="6D4DE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833" w:type="pct"/>
                  <w:noWrap w:val="0"/>
                  <w:vAlign w:val="center"/>
                </w:tcPr>
                <w:p w14:paraId="7BD64D81">
                  <w:pPr>
                    <w:pStyle w:val="230"/>
                    <w:keepNext w:val="0"/>
                    <w:keepLines w:val="0"/>
                    <w:pageBreakBefore w:val="0"/>
                    <w:widowControl w:val="0"/>
                    <w:kinsoku/>
                    <w:wordWrap/>
                    <w:overflowPunct/>
                    <w:topLinePunct w:val="0"/>
                    <w:autoSpaceDE/>
                    <w:autoSpaceDN/>
                    <w:bidi w:val="0"/>
                    <w:adjustRightInd/>
                    <w:snapToGrid/>
                    <w:spacing w:line="243" w:lineRule="auto"/>
                    <w:ind w:left="105" w:leftChars="50" w:right="0" w:firstLine="0"/>
                    <w:jc w:val="center"/>
                    <w:textAlignment w:val="auto"/>
                    <w:rPr>
                      <w:color w:val="auto"/>
                      <w:sz w:val="21"/>
                      <w:szCs w:val="21"/>
                      <w:highlight w:val="none"/>
                      <w:u w:val="none"/>
                    </w:rPr>
                  </w:pPr>
                  <w:r>
                    <w:rPr>
                      <w:color w:val="auto"/>
                      <w:spacing w:val="-2"/>
                      <w:sz w:val="21"/>
                      <w:szCs w:val="21"/>
                      <w:highlight w:val="none"/>
                      <w:u w:val="none"/>
                    </w:rPr>
                    <w:t>玷污疏浚物</w:t>
                  </w:r>
                  <w:r>
                    <w:rPr>
                      <w:color w:val="auto"/>
                      <w:spacing w:val="-5"/>
                      <w:sz w:val="21"/>
                      <w:szCs w:val="21"/>
                      <w:highlight w:val="none"/>
                      <w:u w:val="none"/>
                    </w:rPr>
                    <w:t>(</w:t>
                  </w:r>
                  <w:r>
                    <w:rPr>
                      <w:rFonts w:ascii="Times New Roman" w:hAnsi="Times New Roman" w:eastAsia="Times New Roman" w:cs="Times New Roman"/>
                      <w:color w:val="auto"/>
                      <w:spacing w:val="-5"/>
                      <w:sz w:val="21"/>
                      <w:szCs w:val="21"/>
                      <w:highlight w:val="none"/>
                      <w:u w:val="none"/>
                    </w:rPr>
                    <w:t>Ⅱ</w:t>
                  </w:r>
                  <w:r>
                    <w:rPr>
                      <w:color w:val="auto"/>
                      <w:spacing w:val="-5"/>
                      <w:sz w:val="21"/>
                      <w:szCs w:val="21"/>
                      <w:highlight w:val="none"/>
                      <w:u w:val="none"/>
                    </w:rPr>
                    <w:t>类）</w:t>
                  </w:r>
                </w:p>
              </w:tc>
              <w:tc>
                <w:tcPr>
                  <w:tcW w:w="4166" w:type="pct"/>
                  <w:gridSpan w:val="5"/>
                  <w:noWrap w:val="0"/>
                  <w:vAlign w:val="center"/>
                </w:tcPr>
                <w:p w14:paraId="5D430A79">
                  <w:pPr>
                    <w:pStyle w:val="230"/>
                    <w:keepNext w:val="0"/>
                    <w:keepLines w:val="0"/>
                    <w:pageBreakBefore w:val="0"/>
                    <w:widowControl w:val="0"/>
                    <w:kinsoku/>
                    <w:wordWrap/>
                    <w:overflowPunct/>
                    <w:topLinePunct w:val="0"/>
                    <w:autoSpaceDE/>
                    <w:autoSpaceDN/>
                    <w:bidi w:val="0"/>
                    <w:adjustRightInd/>
                    <w:snapToGrid/>
                    <w:spacing w:line="360" w:lineRule="auto"/>
                    <w:ind w:left="105" w:leftChars="50" w:right="0" w:firstLine="0"/>
                    <w:jc w:val="both"/>
                    <w:textAlignment w:val="auto"/>
                    <w:rPr>
                      <w:color w:val="auto"/>
                      <w:sz w:val="21"/>
                      <w:szCs w:val="21"/>
                      <w:highlight w:val="none"/>
                      <w:u w:val="none"/>
                    </w:rPr>
                  </w:pPr>
                  <w:r>
                    <w:rPr>
                      <w:color w:val="auto"/>
                      <w:spacing w:val="-1"/>
                      <w:sz w:val="21"/>
                      <w:szCs w:val="21"/>
                      <w:highlight w:val="none"/>
                      <w:u w:val="none"/>
                    </w:rPr>
                    <w:t>疏浚物中主要化学组分含量均不超过化学评价限值的上限，且符合下列条</w:t>
                  </w:r>
                  <w:r>
                    <w:rPr>
                      <w:color w:val="auto"/>
                      <w:spacing w:val="-2"/>
                      <w:sz w:val="21"/>
                      <w:szCs w:val="21"/>
                      <w:highlight w:val="none"/>
                      <w:u w:val="none"/>
                    </w:rPr>
                    <w:t>件之一的</w:t>
                  </w:r>
                  <w:r>
                    <w:rPr>
                      <w:color w:val="auto"/>
                      <w:spacing w:val="-1"/>
                      <w:sz w:val="21"/>
                      <w:szCs w:val="21"/>
                      <w:highlight w:val="none"/>
                      <w:u w:val="none"/>
                    </w:rPr>
                    <w:t>疏浚物为玷污疏浚物：</w:t>
                  </w:r>
                </w:p>
                <w:p w14:paraId="0FAE9355">
                  <w:pPr>
                    <w:pStyle w:val="230"/>
                    <w:keepNext w:val="0"/>
                    <w:keepLines w:val="0"/>
                    <w:pageBreakBefore w:val="0"/>
                    <w:widowControl w:val="0"/>
                    <w:kinsoku/>
                    <w:wordWrap/>
                    <w:overflowPunct/>
                    <w:topLinePunct w:val="0"/>
                    <w:autoSpaceDE/>
                    <w:autoSpaceDN/>
                    <w:bidi w:val="0"/>
                    <w:adjustRightInd/>
                    <w:snapToGrid/>
                    <w:spacing w:line="349" w:lineRule="auto"/>
                    <w:ind w:left="105" w:leftChars="50" w:right="0" w:firstLine="0"/>
                    <w:jc w:val="both"/>
                    <w:textAlignment w:val="auto"/>
                    <w:rPr>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a</w:t>
                  </w:r>
                  <w:r>
                    <w:rPr>
                      <w:color w:val="auto"/>
                      <w:spacing w:val="2"/>
                      <w:sz w:val="21"/>
                      <w:szCs w:val="21"/>
                      <w:highlight w:val="none"/>
                      <w:u w:val="none"/>
                    </w:rPr>
                    <w:t>）疏浚物中镉、汞、六六六、滴滴涕、多氯联苯总量等一种或一种以上的</w:t>
                  </w:r>
                  <w:r>
                    <w:rPr>
                      <w:color w:val="auto"/>
                      <w:spacing w:val="1"/>
                      <w:sz w:val="21"/>
                      <w:szCs w:val="21"/>
                      <w:highlight w:val="none"/>
                      <w:u w:val="none"/>
                    </w:rPr>
                    <w:t>含量超</w:t>
                  </w:r>
                  <w:r>
                    <w:rPr>
                      <w:color w:val="auto"/>
                      <w:spacing w:val="-3"/>
                      <w:sz w:val="21"/>
                      <w:szCs w:val="21"/>
                      <w:highlight w:val="none"/>
                      <w:u w:val="none"/>
                    </w:rPr>
                    <w:t>过化学评价限值的下限；</w:t>
                  </w:r>
                </w:p>
                <w:p w14:paraId="4135FE9B">
                  <w:pPr>
                    <w:pStyle w:val="230"/>
                    <w:keepNext w:val="0"/>
                    <w:keepLines w:val="0"/>
                    <w:pageBreakBefore w:val="0"/>
                    <w:widowControl w:val="0"/>
                    <w:kinsoku/>
                    <w:wordWrap/>
                    <w:overflowPunct/>
                    <w:topLinePunct w:val="0"/>
                    <w:autoSpaceDE/>
                    <w:autoSpaceDN/>
                    <w:bidi w:val="0"/>
                    <w:adjustRightInd/>
                    <w:snapToGrid/>
                    <w:spacing w:line="360" w:lineRule="auto"/>
                    <w:ind w:left="105" w:leftChars="50" w:right="0" w:firstLine="0"/>
                    <w:jc w:val="both"/>
                    <w:textAlignment w:val="auto"/>
                    <w:rPr>
                      <w:color w:val="auto"/>
                      <w:sz w:val="21"/>
                      <w:szCs w:val="21"/>
                      <w:highlight w:val="none"/>
                      <w:u w:val="none"/>
                    </w:rPr>
                  </w:pPr>
                  <w:r>
                    <w:rPr>
                      <w:rFonts w:ascii="Times New Roman" w:hAnsi="Times New Roman" w:eastAsia="Times New Roman" w:cs="Times New Roman"/>
                      <w:color w:val="auto"/>
                      <w:spacing w:val="2"/>
                      <w:sz w:val="21"/>
                      <w:szCs w:val="21"/>
                      <w:highlight w:val="none"/>
                      <w:u w:val="none"/>
                    </w:rPr>
                    <w:t>b</w:t>
                  </w:r>
                  <w:r>
                    <w:rPr>
                      <w:color w:val="auto"/>
                      <w:spacing w:val="2"/>
                      <w:sz w:val="21"/>
                      <w:szCs w:val="21"/>
                      <w:highlight w:val="none"/>
                      <w:u w:val="none"/>
                    </w:rPr>
                    <w:t>）疏浚物中砷、铬、铜、铅、锌、有机碳、硫</w:t>
                  </w:r>
                  <w:r>
                    <w:rPr>
                      <w:color w:val="auto"/>
                      <w:spacing w:val="1"/>
                      <w:sz w:val="21"/>
                      <w:szCs w:val="21"/>
                      <w:highlight w:val="none"/>
                      <w:u w:val="none"/>
                    </w:rPr>
                    <w:t>化物、油类的物理化学组分含量不</w:t>
                  </w:r>
                  <w:r>
                    <w:rPr>
                      <w:color w:val="auto"/>
                      <w:spacing w:val="-2"/>
                      <w:sz w:val="21"/>
                      <w:szCs w:val="21"/>
                      <w:highlight w:val="none"/>
                      <w:u w:val="none"/>
                    </w:rPr>
                    <w:t>满足清洁疏浚物</w:t>
                  </w:r>
                  <w:r>
                    <w:rPr>
                      <w:rFonts w:ascii="Times New Roman" w:hAnsi="Times New Roman" w:eastAsia="Times New Roman" w:cs="Times New Roman"/>
                      <w:color w:val="auto"/>
                      <w:spacing w:val="-2"/>
                      <w:sz w:val="21"/>
                      <w:szCs w:val="21"/>
                      <w:highlight w:val="none"/>
                      <w:u w:val="none"/>
                    </w:rPr>
                    <w:t>Ⅰ</w:t>
                  </w:r>
                  <w:r>
                    <w:rPr>
                      <w:color w:val="auto"/>
                      <w:spacing w:val="-2"/>
                      <w:sz w:val="21"/>
                      <w:szCs w:val="21"/>
                      <w:highlight w:val="none"/>
                      <w:u w:val="none"/>
                    </w:rPr>
                    <w:t>类</w:t>
                  </w:r>
                  <w:r>
                    <w:rPr>
                      <w:rFonts w:ascii="Times New Roman" w:hAnsi="Times New Roman" w:eastAsia="Times New Roman" w:cs="Times New Roman"/>
                      <w:color w:val="auto"/>
                      <w:spacing w:val="-2"/>
                      <w:sz w:val="21"/>
                      <w:szCs w:val="21"/>
                      <w:highlight w:val="none"/>
                      <w:u w:val="none"/>
                    </w:rPr>
                    <w:t xml:space="preserve">-b </w:t>
                  </w:r>
                  <w:r>
                    <w:rPr>
                      <w:color w:val="auto"/>
                      <w:spacing w:val="-2"/>
                      <w:sz w:val="21"/>
                      <w:szCs w:val="21"/>
                      <w:highlight w:val="none"/>
                      <w:u w:val="none"/>
                    </w:rPr>
                    <w:t>条规定的要求。</w:t>
                  </w:r>
                </w:p>
              </w:tc>
            </w:tr>
            <w:tr w14:paraId="3FB62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833" w:type="pct"/>
                  <w:noWrap w:val="0"/>
                  <w:vAlign w:val="center"/>
                </w:tcPr>
                <w:p w14:paraId="3F24F902">
                  <w:pPr>
                    <w:pStyle w:val="230"/>
                    <w:keepNext w:val="0"/>
                    <w:keepLines w:val="0"/>
                    <w:pageBreakBefore w:val="0"/>
                    <w:widowControl w:val="0"/>
                    <w:kinsoku/>
                    <w:wordWrap/>
                    <w:overflowPunct/>
                    <w:topLinePunct w:val="0"/>
                    <w:autoSpaceDE/>
                    <w:autoSpaceDN/>
                    <w:bidi w:val="0"/>
                    <w:adjustRightInd/>
                    <w:snapToGrid/>
                    <w:ind w:left="105" w:leftChars="50" w:right="0" w:firstLine="0"/>
                    <w:jc w:val="center"/>
                    <w:textAlignment w:val="auto"/>
                    <w:rPr>
                      <w:color w:val="auto"/>
                      <w:sz w:val="21"/>
                      <w:szCs w:val="21"/>
                      <w:highlight w:val="none"/>
                      <w:u w:val="none"/>
                    </w:rPr>
                  </w:pPr>
                  <w:r>
                    <w:rPr>
                      <w:color w:val="auto"/>
                      <w:spacing w:val="-2"/>
                      <w:sz w:val="21"/>
                      <w:szCs w:val="21"/>
                      <w:highlight w:val="none"/>
                      <w:u w:val="none"/>
                    </w:rPr>
                    <w:t>污染疏浚物</w:t>
                  </w:r>
                  <w:r>
                    <w:rPr>
                      <w:color w:val="auto"/>
                      <w:spacing w:val="-6"/>
                      <w:sz w:val="21"/>
                      <w:szCs w:val="21"/>
                      <w:highlight w:val="none"/>
                      <w:u w:val="none"/>
                    </w:rPr>
                    <w:t>(</w:t>
                  </w:r>
                  <w:r>
                    <w:rPr>
                      <w:rFonts w:ascii="Times New Roman" w:hAnsi="Times New Roman" w:eastAsia="Times New Roman" w:cs="Times New Roman"/>
                      <w:color w:val="auto"/>
                      <w:spacing w:val="-6"/>
                      <w:sz w:val="21"/>
                      <w:szCs w:val="21"/>
                      <w:highlight w:val="none"/>
                      <w:u w:val="none"/>
                    </w:rPr>
                    <w:t>Ⅲ</w:t>
                  </w:r>
                  <w:r>
                    <w:rPr>
                      <w:color w:val="auto"/>
                      <w:spacing w:val="-6"/>
                      <w:sz w:val="21"/>
                      <w:szCs w:val="21"/>
                      <w:highlight w:val="none"/>
                      <w:u w:val="none"/>
                    </w:rPr>
                    <w:t>类）</w:t>
                  </w:r>
                </w:p>
              </w:tc>
              <w:tc>
                <w:tcPr>
                  <w:tcW w:w="4166" w:type="pct"/>
                  <w:gridSpan w:val="5"/>
                  <w:noWrap w:val="0"/>
                  <w:vAlign w:val="center"/>
                </w:tcPr>
                <w:p w14:paraId="438FCD44">
                  <w:pPr>
                    <w:pStyle w:val="230"/>
                    <w:keepNext w:val="0"/>
                    <w:keepLines w:val="0"/>
                    <w:pageBreakBefore w:val="0"/>
                    <w:widowControl w:val="0"/>
                    <w:kinsoku/>
                    <w:wordWrap/>
                    <w:overflowPunct/>
                    <w:topLinePunct w:val="0"/>
                    <w:autoSpaceDE/>
                    <w:autoSpaceDN/>
                    <w:bidi w:val="0"/>
                    <w:adjustRightInd/>
                    <w:snapToGrid/>
                    <w:spacing w:line="219" w:lineRule="auto"/>
                    <w:ind w:left="105" w:leftChars="50" w:right="0" w:firstLine="0"/>
                    <w:jc w:val="both"/>
                    <w:textAlignment w:val="auto"/>
                    <w:rPr>
                      <w:color w:val="auto"/>
                      <w:sz w:val="21"/>
                      <w:szCs w:val="21"/>
                      <w:highlight w:val="none"/>
                      <w:u w:val="none"/>
                    </w:rPr>
                  </w:pPr>
                  <w:r>
                    <w:rPr>
                      <w:color w:val="auto"/>
                      <w:spacing w:val="-1"/>
                      <w:sz w:val="21"/>
                      <w:szCs w:val="21"/>
                      <w:highlight w:val="none"/>
                      <w:u w:val="none"/>
                    </w:rPr>
                    <w:t>疏浚物中一种或一种以上化学组分含量超过化学评价限值的上限为污染疏浚物。</w:t>
                  </w:r>
                </w:p>
              </w:tc>
            </w:tr>
            <w:tr w14:paraId="73B63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33" w:type="pct"/>
                  <w:noWrap w:val="0"/>
                  <w:vAlign w:val="center"/>
                </w:tcPr>
                <w:p w14:paraId="04BBB1AA">
                  <w:pPr>
                    <w:pStyle w:val="230"/>
                    <w:keepNext w:val="0"/>
                    <w:keepLines w:val="0"/>
                    <w:pageBreakBefore w:val="0"/>
                    <w:widowControl w:val="0"/>
                    <w:kinsoku/>
                    <w:wordWrap/>
                    <w:overflowPunct/>
                    <w:topLinePunct w:val="0"/>
                    <w:autoSpaceDE/>
                    <w:autoSpaceDN/>
                    <w:bidi w:val="0"/>
                    <w:adjustRightInd/>
                    <w:snapToGrid/>
                    <w:spacing w:line="222" w:lineRule="auto"/>
                    <w:ind w:left="105" w:leftChars="50" w:right="0" w:firstLine="0"/>
                    <w:jc w:val="center"/>
                    <w:textAlignment w:val="auto"/>
                    <w:rPr>
                      <w:color w:val="auto"/>
                      <w:sz w:val="21"/>
                      <w:szCs w:val="21"/>
                      <w:highlight w:val="none"/>
                      <w:u w:val="none"/>
                    </w:rPr>
                  </w:pPr>
                  <w:r>
                    <w:rPr>
                      <w:color w:val="auto"/>
                      <w:spacing w:val="-3"/>
                      <w:sz w:val="21"/>
                      <w:szCs w:val="21"/>
                      <w:highlight w:val="none"/>
                      <w:u w:val="none"/>
                    </w:rPr>
                    <w:t>备注</w:t>
                  </w:r>
                </w:p>
              </w:tc>
              <w:tc>
                <w:tcPr>
                  <w:tcW w:w="4166" w:type="pct"/>
                  <w:gridSpan w:val="5"/>
                  <w:noWrap w:val="0"/>
                  <w:vAlign w:val="center"/>
                </w:tcPr>
                <w:p w14:paraId="31CE0B8E">
                  <w:pPr>
                    <w:pStyle w:val="230"/>
                    <w:keepNext w:val="0"/>
                    <w:keepLines w:val="0"/>
                    <w:pageBreakBefore w:val="0"/>
                    <w:widowControl w:val="0"/>
                    <w:kinsoku/>
                    <w:wordWrap/>
                    <w:overflowPunct/>
                    <w:topLinePunct w:val="0"/>
                    <w:autoSpaceDE/>
                    <w:autoSpaceDN/>
                    <w:bidi w:val="0"/>
                    <w:adjustRightInd/>
                    <w:snapToGrid/>
                    <w:spacing w:line="233" w:lineRule="auto"/>
                    <w:ind w:left="105" w:leftChars="50" w:right="0" w:firstLine="0"/>
                    <w:jc w:val="center"/>
                    <w:textAlignment w:val="auto"/>
                    <w:rPr>
                      <w:rFonts w:ascii="Times New Roman" w:hAnsi="Times New Roman" w:eastAsia="Times New Roman" w:cs="Times New Roman"/>
                      <w:color w:val="auto"/>
                      <w:sz w:val="21"/>
                      <w:szCs w:val="21"/>
                      <w:highlight w:val="none"/>
                      <w:u w:val="none"/>
                    </w:rPr>
                  </w:pPr>
                  <w:r>
                    <w:rPr>
                      <w:color w:val="auto"/>
                      <w:spacing w:val="-1"/>
                      <w:sz w:val="21"/>
                      <w:szCs w:val="21"/>
                      <w:highlight w:val="none"/>
                      <w:u w:val="none"/>
                    </w:rPr>
                    <w:t>以上内容摘自《海洋倾倒物质评价规范 疏浚物》</w:t>
                  </w:r>
                  <w:r>
                    <w:rPr>
                      <w:rFonts w:ascii="Times New Roman" w:hAnsi="Times New Roman" w:eastAsia="Times New Roman" w:cs="Times New Roman"/>
                      <w:color w:val="auto"/>
                      <w:spacing w:val="-1"/>
                      <w:sz w:val="21"/>
                      <w:szCs w:val="21"/>
                      <w:highlight w:val="none"/>
                      <w:u w:val="none"/>
                    </w:rPr>
                    <w:t>GB 30980-2014</w:t>
                  </w:r>
                </w:p>
              </w:tc>
            </w:tr>
          </w:tbl>
          <w:p w14:paraId="3A8F075E">
            <w:pPr>
              <w:widowControl/>
              <w:numPr>
                <w:ilvl w:val="0"/>
                <w:numId w:val="13"/>
              </w:num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疏浚物分类及评价结果</w:t>
            </w:r>
          </w:p>
          <w:p w14:paraId="3C4984ED">
            <w:pPr>
              <w:keepNext/>
              <w:keepLines/>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jc w:val="center"/>
              <w:textAlignment w:val="auto"/>
              <w:outlineLvl w:val="4"/>
              <w:rPr>
                <w:rFonts w:hint="eastAsia"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表3.1-</w:t>
            </w:r>
            <w:r>
              <w:rPr>
                <w:rFonts w:hint="eastAsia" w:cs="Times New Roman"/>
                <w:b/>
                <w:bCs/>
                <w:color w:val="auto"/>
                <w:sz w:val="24"/>
                <w:highlight w:val="none"/>
                <w:u w:val="none"/>
                <w:lang w:val="en-US" w:eastAsia="zh-CN"/>
              </w:rPr>
              <w:t>31</w:t>
            </w:r>
            <w:r>
              <w:rPr>
                <w:rFonts w:hint="eastAsia" w:ascii="Times New Roman" w:hAnsi="Times New Roman" w:eastAsia="宋体" w:cs="Times New Roman"/>
                <w:b/>
                <w:bCs/>
                <w:color w:val="auto"/>
                <w:sz w:val="24"/>
                <w:highlight w:val="none"/>
                <w:u w:val="none"/>
                <w:lang w:val="en-US" w:eastAsia="zh-CN"/>
              </w:rPr>
              <w:t>疏浚物海洋倾倒分类结果</w:t>
            </w:r>
          </w:p>
          <w:tbl>
            <w:tblPr>
              <w:tblStyle w:val="229"/>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18"/>
              <w:gridCol w:w="1624"/>
              <w:gridCol w:w="1922"/>
              <w:gridCol w:w="1922"/>
              <w:gridCol w:w="1929"/>
            </w:tblGrid>
            <w:tr w14:paraId="755D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52" w:type="pct"/>
                  <w:noWrap w:val="0"/>
                  <w:vAlign w:val="center"/>
                </w:tcPr>
                <w:p w14:paraId="11A24A4B">
                  <w:pPr>
                    <w:pStyle w:val="230"/>
                    <w:keepNext w:val="0"/>
                    <w:keepLines w:val="0"/>
                    <w:pageBreakBefore w:val="0"/>
                    <w:widowControl w:val="0"/>
                    <w:kinsoku/>
                    <w:wordWrap/>
                    <w:overflowPunct/>
                    <w:topLinePunct w:val="0"/>
                    <w:autoSpaceDE/>
                    <w:autoSpaceDN/>
                    <w:bidi w:val="0"/>
                    <w:adjustRightInd/>
                    <w:snapToGrid/>
                    <w:spacing w:before="125" w:line="222"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4"/>
                      <w:sz w:val="21"/>
                      <w:szCs w:val="21"/>
                      <w:highlight w:val="none"/>
                      <w:u w:val="none"/>
                    </w:rPr>
                    <w:t>序号</w:t>
                  </w:r>
                </w:p>
              </w:tc>
              <w:tc>
                <w:tcPr>
                  <w:tcW w:w="976" w:type="pct"/>
                  <w:noWrap w:val="0"/>
                  <w:vAlign w:val="center"/>
                </w:tcPr>
                <w:p w14:paraId="390C057F">
                  <w:pPr>
                    <w:pStyle w:val="230"/>
                    <w:keepNext w:val="0"/>
                    <w:keepLines w:val="0"/>
                    <w:pageBreakBefore w:val="0"/>
                    <w:widowControl w:val="0"/>
                    <w:kinsoku/>
                    <w:wordWrap/>
                    <w:overflowPunct/>
                    <w:topLinePunct w:val="0"/>
                    <w:autoSpaceDE/>
                    <w:autoSpaceDN/>
                    <w:bidi w:val="0"/>
                    <w:adjustRightInd/>
                    <w:snapToGrid/>
                    <w:spacing w:before="125" w:line="221"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4"/>
                      <w:sz w:val="21"/>
                      <w:szCs w:val="21"/>
                      <w:highlight w:val="none"/>
                      <w:u w:val="none"/>
                    </w:rPr>
                    <w:t>站位编号</w:t>
                  </w:r>
                </w:p>
              </w:tc>
              <w:tc>
                <w:tcPr>
                  <w:tcW w:w="1155" w:type="pct"/>
                  <w:noWrap w:val="0"/>
                  <w:vAlign w:val="center"/>
                </w:tcPr>
                <w:p w14:paraId="0491475A">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2"/>
                      <w:sz w:val="21"/>
                      <w:szCs w:val="21"/>
                      <w:highlight w:val="none"/>
                      <w:u w:val="none"/>
                    </w:rPr>
                    <w:t>清洁疏浚物(Ⅰ类)</w:t>
                  </w:r>
                </w:p>
              </w:tc>
              <w:tc>
                <w:tcPr>
                  <w:tcW w:w="1155" w:type="pct"/>
                  <w:noWrap w:val="0"/>
                  <w:vAlign w:val="center"/>
                </w:tcPr>
                <w:p w14:paraId="546D1DF2">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2"/>
                      <w:sz w:val="21"/>
                      <w:szCs w:val="21"/>
                      <w:highlight w:val="none"/>
                      <w:u w:val="none"/>
                    </w:rPr>
                    <w:t>玷污疏浚物(Ⅱ类)</w:t>
                  </w:r>
                </w:p>
              </w:tc>
              <w:tc>
                <w:tcPr>
                  <w:tcW w:w="1159" w:type="pct"/>
                  <w:noWrap w:val="0"/>
                  <w:vAlign w:val="center"/>
                </w:tcPr>
                <w:p w14:paraId="52FB2E8A">
                  <w:pPr>
                    <w:pStyle w:val="230"/>
                    <w:keepNext w:val="0"/>
                    <w:keepLines w:val="0"/>
                    <w:pageBreakBefore w:val="0"/>
                    <w:widowControl w:val="0"/>
                    <w:kinsoku/>
                    <w:wordWrap/>
                    <w:overflowPunct/>
                    <w:topLinePunct w:val="0"/>
                    <w:autoSpaceDE/>
                    <w:autoSpaceDN/>
                    <w:bidi w:val="0"/>
                    <w:adjustRightInd/>
                    <w:snapToGrid/>
                    <w:spacing w:before="125" w:line="21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2"/>
                      <w:sz w:val="21"/>
                      <w:szCs w:val="21"/>
                      <w:highlight w:val="none"/>
                      <w:u w:val="none"/>
                    </w:rPr>
                    <w:t>污染疏浚物(Ⅲ类)</w:t>
                  </w:r>
                </w:p>
              </w:tc>
            </w:tr>
            <w:tr w14:paraId="2DBF0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52" w:type="pct"/>
                  <w:noWrap w:val="0"/>
                  <w:vAlign w:val="center"/>
                </w:tcPr>
                <w:p w14:paraId="08A5FFDD">
                  <w:pPr>
                    <w:keepNext w:val="0"/>
                    <w:keepLines w:val="0"/>
                    <w:pageBreakBefore w:val="0"/>
                    <w:widowControl w:val="0"/>
                    <w:kinsoku/>
                    <w:wordWrap/>
                    <w:overflowPunct/>
                    <w:topLinePunct w:val="0"/>
                    <w:autoSpaceDE/>
                    <w:autoSpaceDN/>
                    <w:bidi w:val="0"/>
                    <w:adjustRightInd/>
                    <w:snapToGrid/>
                    <w:spacing w:before="151" w:line="23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976" w:type="pct"/>
                  <w:noWrap w:val="0"/>
                  <w:vAlign w:val="center"/>
                </w:tcPr>
                <w:p w14:paraId="0C3404BA">
                  <w:pPr>
                    <w:keepNext w:val="0"/>
                    <w:keepLines w:val="0"/>
                    <w:pageBreakBefore w:val="0"/>
                    <w:widowControl w:val="0"/>
                    <w:kinsoku/>
                    <w:wordWrap/>
                    <w:overflowPunct/>
                    <w:topLinePunct w:val="0"/>
                    <w:autoSpaceDE/>
                    <w:autoSpaceDN/>
                    <w:bidi w:val="0"/>
                    <w:adjustRightInd/>
                    <w:snapToGrid/>
                    <w:spacing w:before="152"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GQ1</w:t>
                  </w:r>
                </w:p>
              </w:tc>
              <w:tc>
                <w:tcPr>
                  <w:tcW w:w="1155" w:type="pct"/>
                  <w:noWrap w:val="0"/>
                  <w:vAlign w:val="center"/>
                </w:tcPr>
                <w:p w14:paraId="0C4BB673">
                  <w:pPr>
                    <w:pStyle w:val="230"/>
                    <w:keepNext w:val="0"/>
                    <w:keepLines w:val="0"/>
                    <w:pageBreakBefore w:val="0"/>
                    <w:widowControl w:val="0"/>
                    <w:kinsoku/>
                    <w:wordWrap/>
                    <w:overflowPunct/>
                    <w:topLinePunct w:val="0"/>
                    <w:autoSpaceDE/>
                    <w:autoSpaceDN/>
                    <w:bidi w:val="0"/>
                    <w:adjustRightInd/>
                    <w:snapToGrid/>
                    <w:spacing w:before="122"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630C8D0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577272E0">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23639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52" w:type="pct"/>
                  <w:noWrap w:val="0"/>
                  <w:vAlign w:val="center"/>
                </w:tcPr>
                <w:p w14:paraId="618193E0">
                  <w:pPr>
                    <w:keepNext w:val="0"/>
                    <w:keepLines w:val="0"/>
                    <w:pageBreakBefore w:val="0"/>
                    <w:widowControl w:val="0"/>
                    <w:kinsoku/>
                    <w:wordWrap/>
                    <w:overflowPunct/>
                    <w:topLinePunct w:val="0"/>
                    <w:autoSpaceDE/>
                    <w:autoSpaceDN/>
                    <w:bidi w:val="0"/>
                    <w:adjustRightInd/>
                    <w:snapToGrid/>
                    <w:spacing w:before="150" w:line="23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976" w:type="pct"/>
                  <w:noWrap w:val="0"/>
                  <w:vAlign w:val="center"/>
                </w:tcPr>
                <w:p w14:paraId="5E1ED3F6">
                  <w:pPr>
                    <w:keepNext w:val="0"/>
                    <w:keepLines w:val="0"/>
                    <w:pageBreakBefore w:val="0"/>
                    <w:widowControl w:val="0"/>
                    <w:kinsoku/>
                    <w:wordWrap/>
                    <w:overflowPunct/>
                    <w:topLinePunct w:val="0"/>
                    <w:autoSpaceDE/>
                    <w:autoSpaceDN/>
                    <w:bidi w:val="0"/>
                    <w:adjustRightInd/>
                    <w:snapToGrid/>
                    <w:spacing w:before="150"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GQ2</w:t>
                  </w:r>
                </w:p>
              </w:tc>
              <w:tc>
                <w:tcPr>
                  <w:tcW w:w="1155" w:type="pct"/>
                  <w:noWrap w:val="0"/>
                  <w:vAlign w:val="center"/>
                </w:tcPr>
                <w:p w14:paraId="7AF41AED">
                  <w:pPr>
                    <w:pStyle w:val="230"/>
                    <w:keepNext w:val="0"/>
                    <w:keepLines w:val="0"/>
                    <w:pageBreakBefore w:val="0"/>
                    <w:widowControl w:val="0"/>
                    <w:kinsoku/>
                    <w:wordWrap/>
                    <w:overflowPunct/>
                    <w:topLinePunct w:val="0"/>
                    <w:autoSpaceDE/>
                    <w:autoSpaceDN/>
                    <w:bidi w:val="0"/>
                    <w:adjustRightInd/>
                    <w:snapToGrid/>
                    <w:spacing w:before="122"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6FC61BC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10DE307C">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62007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52" w:type="pct"/>
                  <w:noWrap w:val="0"/>
                  <w:vAlign w:val="center"/>
                </w:tcPr>
                <w:p w14:paraId="13AC062E">
                  <w:pPr>
                    <w:keepNext w:val="0"/>
                    <w:keepLines w:val="0"/>
                    <w:pageBreakBefore w:val="0"/>
                    <w:widowControl w:val="0"/>
                    <w:kinsoku/>
                    <w:wordWrap/>
                    <w:overflowPunct/>
                    <w:topLinePunct w:val="0"/>
                    <w:autoSpaceDE/>
                    <w:autoSpaceDN/>
                    <w:bidi w:val="0"/>
                    <w:adjustRightInd/>
                    <w:snapToGrid/>
                    <w:spacing w:before="150" w:line="234"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w:t>
                  </w:r>
                </w:p>
              </w:tc>
              <w:tc>
                <w:tcPr>
                  <w:tcW w:w="976" w:type="pct"/>
                  <w:noWrap w:val="0"/>
                  <w:vAlign w:val="center"/>
                </w:tcPr>
                <w:p w14:paraId="74FB7CBC">
                  <w:pPr>
                    <w:keepNext w:val="0"/>
                    <w:keepLines w:val="0"/>
                    <w:pageBreakBefore w:val="0"/>
                    <w:widowControl w:val="0"/>
                    <w:kinsoku/>
                    <w:wordWrap/>
                    <w:overflowPunct/>
                    <w:topLinePunct w:val="0"/>
                    <w:autoSpaceDE/>
                    <w:autoSpaceDN/>
                    <w:bidi w:val="0"/>
                    <w:adjustRightInd/>
                    <w:snapToGrid/>
                    <w:spacing w:before="151"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GQ3</w:t>
                  </w:r>
                </w:p>
              </w:tc>
              <w:tc>
                <w:tcPr>
                  <w:tcW w:w="1155" w:type="pct"/>
                  <w:noWrap w:val="0"/>
                  <w:vAlign w:val="center"/>
                </w:tcPr>
                <w:p w14:paraId="199CA488">
                  <w:pPr>
                    <w:pStyle w:val="230"/>
                    <w:keepNext w:val="0"/>
                    <w:keepLines w:val="0"/>
                    <w:pageBreakBefore w:val="0"/>
                    <w:widowControl w:val="0"/>
                    <w:kinsoku/>
                    <w:wordWrap/>
                    <w:overflowPunct/>
                    <w:topLinePunct w:val="0"/>
                    <w:autoSpaceDE/>
                    <w:autoSpaceDN/>
                    <w:bidi w:val="0"/>
                    <w:adjustRightInd/>
                    <w:snapToGrid/>
                    <w:spacing w:before="123"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0E688DC8">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6C68F613">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28437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52" w:type="pct"/>
                  <w:noWrap w:val="0"/>
                  <w:vAlign w:val="center"/>
                </w:tcPr>
                <w:p w14:paraId="2491D6EC">
                  <w:pPr>
                    <w:keepNext w:val="0"/>
                    <w:keepLines w:val="0"/>
                    <w:pageBreakBefore w:val="0"/>
                    <w:widowControl w:val="0"/>
                    <w:kinsoku/>
                    <w:wordWrap/>
                    <w:overflowPunct/>
                    <w:topLinePunct w:val="0"/>
                    <w:autoSpaceDE/>
                    <w:autoSpaceDN/>
                    <w:bidi w:val="0"/>
                    <w:adjustRightInd/>
                    <w:snapToGrid/>
                    <w:spacing w:before="153" w:line="236"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w:t>
                  </w:r>
                </w:p>
              </w:tc>
              <w:tc>
                <w:tcPr>
                  <w:tcW w:w="976" w:type="pct"/>
                  <w:noWrap w:val="0"/>
                  <w:vAlign w:val="center"/>
                </w:tcPr>
                <w:p w14:paraId="421BD3CB">
                  <w:pPr>
                    <w:keepNext w:val="0"/>
                    <w:keepLines w:val="0"/>
                    <w:pageBreakBefore w:val="0"/>
                    <w:widowControl w:val="0"/>
                    <w:kinsoku/>
                    <w:wordWrap/>
                    <w:overflowPunct/>
                    <w:topLinePunct w:val="0"/>
                    <w:autoSpaceDE/>
                    <w:autoSpaceDN/>
                    <w:bidi w:val="0"/>
                    <w:adjustRightInd/>
                    <w:snapToGrid/>
                    <w:spacing w:before="154"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GQ4</w:t>
                  </w:r>
                </w:p>
              </w:tc>
              <w:tc>
                <w:tcPr>
                  <w:tcW w:w="1155" w:type="pct"/>
                  <w:noWrap w:val="0"/>
                  <w:vAlign w:val="center"/>
                </w:tcPr>
                <w:p w14:paraId="76DAF60D">
                  <w:pPr>
                    <w:pStyle w:val="230"/>
                    <w:keepNext w:val="0"/>
                    <w:keepLines w:val="0"/>
                    <w:pageBreakBefore w:val="0"/>
                    <w:widowControl w:val="0"/>
                    <w:kinsoku/>
                    <w:wordWrap/>
                    <w:overflowPunct/>
                    <w:topLinePunct w:val="0"/>
                    <w:autoSpaceDE/>
                    <w:autoSpaceDN/>
                    <w:bidi w:val="0"/>
                    <w:adjustRightInd/>
                    <w:snapToGrid/>
                    <w:spacing w:before="124"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018094A1">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737D56A0">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78619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52" w:type="pct"/>
                  <w:noWrap w:val="0"/>
                  <w:vAlign w:val="center"/>
                </w:tcPr>
                <w:p w14:paraId="618E74AE">
                  <w:pPr>
                    <w:keepNext w:val="0"/>
                    <w:keepLines w:val="0"/>
                    <w:pageBreakBefore w:val="0"/>
                    <w:widowControl w:val="0"/>
                    <w:kinsoku/>
                    <w:wordWrap/>
                    <w:overflowPunct/>
                    <w:topLinePunct w:val="0"/>
                    <w:autoSpaceDE/>
                    <w:autoSpaceDN/>
                    <w:bidi w:val="0"/>
                    <w:adjustRightInd/>
                    <w:snapToGrid/>
                    <w:spacing w:before="151" w:line="234"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5</w:t>
                  </w:r>
                </w:p>
              </w:tc>
              <w:tc>
                <w:tcPr>
                  <w:tcW w:w="976" w:type="pct"/>
                  <w:noWrap w:val="0"/>
                  <w:vAlign w:val="center"/>
                </w:tcPr>
                <w:p w14:paraId="2F10A751">
                  <w:pPr>
                    <w:keepNext w:val="0"/>
                    <w:keepLines w:val="0"/>
                    <w:pageBreakBefore w:val="0"/>
                    <w:widowControl w:val="0"/>
                    <w:kinsoku/>
                    <w:wordWrap/>
                    <w:overflowPunct/>
                    <w:topLinePunct w:val="0"/>
                    <w:autoSpaceDE/>
                    <w:autoSpaceDN/>
                    <w:bidi w:val="0"/>
                    <w:adjustRightInd/>
                    <w:snapToGrid/>
                    <w:spacing w:before="152"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GQ5</w:t>
                  </w:r>
                </w:p>
              </w:tc>
              <w:tc>
                <w:tcPr>
                  <w:tcW w:w="1155" w:type="pct"/>
                  <w:noWrap w:val="0"/>
                  <w:vAlign w:val="center"/>
                </w:tcPr>
                <w:p w14:paraId="05CF72B3">
                  <w:pPr>
                    <w:pStyle w:val="230"/>
                    <w:keepNext w:val="0"/>
                    <w:keepLines w:val="0"/>
                    <w:pageBreakBefore w:val="0"/>
                    <w:widowControl w:val="0"/>
                    <w:kinsoku/>
                    <w:wordWrap/>
                    <w:overflowPunct/>
                    <w:topLinePunct w:val="0"/>
                    <w:autoSpaceDE/>
                    <w:autoSpaceDN/>
                    <w:bidi w:val="0"/>
                    <w:adjustRightInd/>
                    <w:snapToGrid/>
                    <w:spacing w:before="124"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3D9B216F">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66C8C023">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567CE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52" w:type="pct"/>
                  <w:noWrap w:val="0"/>
                  <w:vAlign w:val="center"/>
                </w:tcPr>
                <w:p w14:paraId="76C2FA8D">
                  <w:pPr>
                    <w:keepNext w:val="0"/>
                    <w:keepLines w:val="0"/>
                    <w:pageBreakBefore w:val="0"/>
                    <w:widowControl w:val="0"/>
                    <w:kinsoku/>
                    <w:wordWrap/>
                    <w:overflowPunct/>
                    <w:topLinePunct w:val="0"/>
                    <w:autoSpaceDE/>
                    <w:autoSpaceDN/>
                    <w:bidi w:val="0"/>
                    <w:adjustRightInd/>
                    <w:snapToGrid/>
                    <w:spacing w:before="153" w:line="234"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6</w:t>
                  </w:r>
                </w:p>
              </w:tc>
              <w:tc>
                <w:tcPr>
                  <w:tcW w:w="976" w:type="pct"/>
                  <w:noWrap w:val="0"/>
                  <w:vAlign w:val="center"/>
                </w:tcPr>
                <w:p w14:paraId="2044067B">
                  <w:pPr>
                    <w:keepNext w:val="0"/>
                    <w:keepLines w:val="0"/>
                    <w:pageBreakBefore w:val="0"/>
                    <w:widowControl w:val="0"/>
                    <w:kinsoku/>
                    <w:wordWrap/>
                    <w:overflowPunct/>
                    <w:topLinePunct w:val="0"/>
                    <w:autoSpaceDE/>
                    <w:autoSpaceDN/>
                    <w:bidi w:val="0"/>
                    <w:adjustRightInd/>
                    <w:snapToGrid/>
                    <w:spacing w:before="154" w:line="195"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GQ6</w:t>
                  </w:r>
                </w:p>
              </w:tc>
              <w:tc>
                <w:tcPr>
                  <w:tcW w:w="1155" w:type="pct"/>
                  <w:noWrap w:val="0"/>
                  <w:vAlign w:val="center"/>
                </w:tcPr>
                <w:p w14:paraId="185C6738">
                  <w:pPr>
                    <w:pStyle w:val="230"/>
                    <w:keepNext w:val="0"/>
                    <w:keepLines w:val="0"/>
                    <w:pageBreakBefore w:val="0"/>
                    <w:widowControl w:val="0"/>
                    <w:kinsoku/>
                    <w:wordWrap/>
                    <w:overflowPunct/>
                    <w:topLinePunct w:val="0"/>
                    <w:autoSpaceDE/>
                    <w:autoSpaceDN/>
                    <w:bidi w:val="0"/>
                    <w:adjustRightInd/>
                    <w:snapToGrid/>
                    <w:spacing w:before="126"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740C3734">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0DB9270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r w14:paraId="4B624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52" w:type="pct"/>
                  <w:noWrap w:val="0"/>
                  <w:vAlign w:val="center"/>
                </w:tcPr>
                <w:p w14:paraId="7222EA3C">
                  <w:pPr>
                    <w:keepNext w:val="0"/>
                    <w:keepLines w:val="0"/>
                    <w:pageBreakBefore w:val="0"/>
                    <w:widowControl w:val="0"/>
                    <w:kinsoku/>
                    <w:wordWrap/>
                    <w:overflowPunct/>
                    <w:topLinePunct w:val="0"/>
                    <w:autoSpaceDE/>
                    <w:autoSpaceDN/>
                    <w:bidi w:val="0"/>
                    <w:adjustRightInd/>
                    <w:snapToGrid/>
                    <w:spacing w:before="156" w:line="233"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7</w:t>
                  </w:r>
                </w:p>
              </w:tc>
              <w:tc>
                <w:tcPr>
                  <w:tcW w:w="976" w:type="pct"/>
                  <w:noWrap w:val="0"/>
                  <w:vAlign w:val="center"/>
                </w:tcPr>
                <w:p w14:paraId="11FC438C">
                  <w:pPr>
                    <w:pStyle w:val="230"/>
                    <w:keepNext w:val="0"/>
                    <w:keepLines w:val="0"/>
                    <w:pageBreakBefore w:val="0"/>
                    <w:widowControl w:val="0"/>
                    <w:kinsoku/>
                    <w:wordWrap/>
                    <w:overflowPunct/>
                    <w:topLinePunct w:val="0"/>
                    <w:autoSpaceDE/>
                    <w:autoSpaceDN/>
                    <w:bidi w:val="0"/>
                    <w:adjustRightInd/>
                    <w:snapToGrid/>
                    <w:spacing w:before="126" w:line="217"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pacing w:val="-2"/>
                      <w:sz w:val="21"/>
                      <w:szCs w:val="21"/>
                      <w:highlight w:val="none"/>
                      <w:u w:val="none"/>
                    </w:rPr>
                    <w:t>GQ9（对照点）</w:t>
                  </w:r>
                </w:p>
              </w:tc>
              <w:tc>
                <w:tcPr>
                  <w:tcW w:w="1155" w:type="pct"/>
                  <w:noWrap w:val="0"/>
                  <w:vAlign w:val="center"/>
                </w:tcPr>
                <w:p w14:paraId="4B3572A1">
                  <w:pPr>
                    <w:pStyle w:val="230"/>
                    <w:keepNext w:val="0"/>
                    <w:keepLines w:val="0"/>
                    <w:pageBreakBefore w:val="0"/>
                    <w:widowControl w:val="0"/>
                    <w:kinsoku/>
                    <w:wordWrap/>
                    <w:overflowPunct/>
                    <w:topLinePunct w:val="0"/>
                    <w:autoSpaceDE/>
                    <w:autoSpaceDN/>
                    <w:bidi w:val="0"/>
                    <w:adjustRightInd/>
                    <w:snapToGrid/>
                    <w:spacing w:before="126" w:line="239" w:lineRule="auto"/>
                    <w:ind w:left="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b/>
                      <w:bCs/>
                      <w:color w:val="auto"/>
                      <w:spacing w:val="-3"/>
                      <w:sz w:val="21"/>
                      <w:szCs w:val="21"/>
                      <w:highlight w:val="none"/>
                      <w:u w:val="none"/>
                    </w:rPr>
                    <w:t>√</w:t>
                  </w:r>
                </w:p>
              </w:tc>
              <w:tc>
                <w:tcPr>
                  <w:tcW w:w="1155" w:type="pct"/>
                  <w:noWrap w:val="0"/>
                  <w:vAlign w:val="center"/>
                </w:tcPr>
                <w:p w14:paraId="4F21F12E">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c>
                <w:tcPr>
                  <w:tcW w:w="1159" w:type="pct"/>
                  <w:noWrap w:val="0"/>
                  <w:vAlign w:val="center"/>
                </w:tcPr>
                <w:p w14:paraId="57EEEBD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z w:val="21"/>
                      <w:highlight w:val="none"/>
                      <w:u w:val="none"/>
                    </w:rPr>
                  </w:pPr>
                </w:p>
              </w:tc>
            </w:tr>
          </w:tbl>
          <w:p w14:paraId="68AE3265">
            <w:pPr>
              <w:widowControl/>
              <w:spacing w:line="360" w:lineRule="auto"/>
              <w:ind w:firstLine="480" w:firstLineChars="200"/>
              <w:rPr>
                <w:rFonts w:hint="eastAsia" w:ascii="Times New Roman" w:hAnsi="Times New Roman" w:eastAsia="宋体" w:cs="Times New Roman"/>
                <w:color w:val="auto"/>
                <w:sz w:val="24"/>
                <w:highlight w:val="none"/>
                <w:u w:val="single"/>
                <w:lang w:val="en-US" w:eastAsia="zh-CN"/>
              </w:rPr>
            </w:pPr>
          </w:p>
          <w:p w14:paraId="40537D60">
            <w:pPr>
              <w:widowControl/>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检测结果表明，钦州港金谷港区金鼓江作业区16#17#泊位码头停泊及回旋水域清淤疏浚项目疏浚物检测的疏浚物的所有化学</w:t>
            </w:r>
            <w:r>
              <w:rPr>
                <w:rFonts w:hint="eastAsia" w:cs="Times New Roman"/>
                <w:color w:val="auto"/>
                <w:sz w:val="24"/>
                <w:highlight w:val="none"/>
                <w:u w:val="none"/>
                <w:lang w:val="en-US" w:eastAsia="zh-CN"/>
              </w:rPr>
              <w:t>组分均</w:t>
            </w:r>
            <w:r>
              <w:rPr>
                <w:rFonts w:hint="eastAsia" w:ascii="Times New Roman" w:hAnsi="Times New Roman" w:eastAsia="宋体" w:cs="Times New Roman"/>
                <w:color w:val="auto"/>
                <w:sz w:val="24"/>
                <w:highlight w:val="none"/>
                <w:u w:val="none"/>
                <w:lang w:val="en-US" w:eastAsia="zh-CN"/>
              </w:rPr>
              <w:t>不超过《海洋倾倒物质评价规范疏浚物》（GB30980-2014）表1中的化学组分评价限值的下限，符合 6.1 a)的条件要求，项目中监测的所有疏浚物均为清洁疏浚物（I 类）。</w:t>
            </w:r>
          </w:p>
          <w:p w14:paraId="2A11D128">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本项目施工区域与钦州港金谷港区金鼓江作业区16#17#泊位码头停泊及回旋水域清淤疏浚项目相邻，疏浚物性质相似。</w:t>
            </w:r>
          </w:p>
          <w:p w14:paraId="1BADB126">
            <w:pPr>
              <w:spacing w:line="360" w:lineRule="auto"/>
              <w:textAlignment w:val="baseline"/>
              <w:rPr>
                <w:rFonts w:hint="eastAsia"/>
                <w:b/>
                <w:color w:val="auto"/>
                <w:sz w:val="28"/>
                <w:szCs w:val="28"/>
                <w:highlight w:val="none"/>
                <w:u w:val="none"/>
                <w:lang w:val="en-US" w:eastAsia="zh-CN"/>
              </w:rPr>
            </w:pPr>
            <w:r>
              <w:rPr>
                <w:rFonts w:hint="eastAsia"/>
                <w:b/>
                <w:color w:val="auto"/>
                <w:sz w:val="28"/>
                <w:szCs w:val="28"/>
                <w:highlight w:val="none"/>
                <w:lang w:val="en-US" w:eastAsia="zh-CN"/>
              </w:rPr>
              <w:t>3.1.</w:t>
            </w:r>
            <w:r>
              <w:rPr>
                <w:rFonts w:hint="eastAsia"/>
                <w:b/>
                <w:color w:val="auto"/>
                <w:sz w:val="28"/>
                <w:szCs w:val="28"/>
                <w:highlight w:val="none"/>
                <w:u w:val="none"/>
                <w:lang w:val="en-US" w:eastAsia="zh-CN"/>
              </w:rPr>
              <w:t>5声环境</w:t>
            </w:r>
          </w:p>
          <w:p w14:paraId="55A79ECE">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本项目评价范围内无声环境保护目标，营运期无噪声源，不会对周边环境产生影响，不开展声环境现状调查。</w:t>
            </w:r>
          </w:p>
          <w:p w14:paraId="7DC1CD90">
            <w:pPr>
              <w:spacing w:line="360" w:lineRule="auto"/>
              <w:textAlignment w:val="baseline"/>
              <w:rPr>
                <w:b/>
                <w:color w:val="auto"/>
                <w:sz w:val="28"/>
                <w:szCs w:val="28"/>
                <w:highlight w:val="none"/>
              </w:rPr>
            </w:pPr>
            <w:r>
              <w:rPr>
                <w:rFonts w:hint="eastAsia"/>
                <w:b/>
                <w:color w:val="auto"/>
                <w:sz w:val="28"/>
                <w:szCs w:val="28"/>
                <w:highlight w:val="none"/>
                <w:lang w:val="en-US" w:eastAsia="zh-CN"/>
              </w:rPr>
              <w:t>3.1.6</w:t>
            </w:r>
            <w:r>
              <w:rPr>
                <w:rFonts w:hint="eastAsia"/>
                <w:b/>
                <w:color w:val="auto"/>
                <w:sz w:val="28"/>
                <w:szCs w:val="28"/>
                <w:highlight w:val="none"/>
              </w:rPr>
              <w:t>地下水</w:t>
            </w:r>
          </w:p>
          <w:p w14:paraId="2D2F9AD3">
            <w:pPr>
              <w:widowControl/>
              <w:spacing w:line="360" w:lineRule="auto"/>
              <w:ind w:firstLine="480" w:firstLineChars="200"/>
              <w:rPr>
                <w:rFonts w:hint="eastAsia" w:ascii="Times New Roman" w:hAnsi="Times New Roman" w:eastAsia="宋体" w:cs="Times New Roman"/>
                <w:color w:val="auto"/>
                <w:sz w:val="24"/>
                <w:highlight w:val="none"/>
                <w:u w:val="none"/>
              </w:rPr>
            </w:pPr>
            <w:r>
              <w:rPr>
                <w:rFonts w:hint="eastAsia" w:ascii="Times New Roman" w:hAnsi="Times New Roman" w:eastAsia="宋体" w:cs="Times New Roman"/>
                <w:color w:val="auto"/>
                <w:sz w:val="24"/>
                <w:highlight w:val="none"/>
                <w:u w:val="none"/>
              </w:rPr>
              <w:t>本项目</w:t>
            </w:r>
            <w:r>
              <w:rPr>
                <w:rFonts w:hint="eastAsia" w:ascii="Times New Roman" w:hAnsi="Times New Roman" w:eastAsia="宋体" w:cs="Times New Roman"/>
                <w:color w:val="auto"/>
                <w:sz w:val="24"/>
                <w:highlight w:val="none"/>
                <w:u w:val="none"/>
                <w:lang w:eastAsia="zh-CN"/>
              </w:rPr>
              <w:t>为</w:t>
            </w:r>
            <w:r>
              <w:rPr>
                <w:rFonts w:hint="eastAsia" w:ascii="Times New Roman" w:hAnsi="Times New Roman" w:eastAsia="宋体" w:cs="Times New Roman"/>
                <w:color w:val="auto"/>
                <w:sz w:val="24"/>
                <w:highlight w:val="none"/>
                <w:u w:val="none"/>
              </w:rPr>
              <w:t>维护性</w:t>
            </w:r>
            <w:r>
              <w:rPr>
                <w:rFonts w:hint="eastAsia" w:ascii="Times New Roman" w:hAnsi="Times New Roman" w:eastAsia="宋体" w:cs="Times New Roman"/>
                <w:color w:val="auto"/>
                <w:sz w:val="24"/>
                <w:highlight w:val="none"/>
                <w:u w:val="none"/>
                <w:lang w:eastAsia="zh-CN"/>
              </w:rPr>
              <w:t>疏浚</w:t>
            </w:r>
            <w:r>
              <w:rPr>
                <w:rFonts w:hint="eastAsia" w:ascii="Times New Roman" w:hAnsi="Times New Roman" w:eastAsia="宋体" w:cs="Times New Roman"/>
                <w:color w:val="auto"/>
                <w:sz w:val="24"/>
                <w:highlight w:val="none"/>
                <w:u w:val="none"/>
              </w:rPr>
              <w:t>工程，根据《环境影响评价技术导则 地下水环境》(H610-2016)中附录A，属于134、航道工程、水运辅助工程，地下水环境影响评价项目类别为Ⅳ类，不需开展地下水环境影响评价。</w:t>
            </w:r>
          </w:p>
          <w:p w14:paraId="77631D85">
            <w:pPr>
              <w:spacing w:line="360" w:lineRule="auto"/>
              <w:textAlignment w:val="baseline"/>
              <w:rPr>
                <w:b/>
                <w:color w:val="auto"/>
                <w:sz w:val="28"/>
                <w:szCs w:val="28"/>
                <w:highlight w:val="none"/>
              </w:rPr>
            </w:pPr>
            <w:r>
              <w:rPr>
                <w:rFonts w:hint="eastAsia"/>
                <w:b/>
                <w:color w:val="auto"/>
                <w:sz w:val="28"/>
                <w:szCs w:val="28"/>
                <w:highlight w:val="none"/>
                <w:lang w:val="en-US" w:eastAsia="zh-CN"/>
              </w:rPr>
              <w:t>3.1.7</w:t>
            </w:r>
            <w:r>
              <w:rPr>
                <w:rFonts w:hint="eastAsia"/>
                <w:b/>
                <w:color w:val="auto"/>
                <w:sz w:val="28"/>
                <w:szCs w:val="28"/>
                <w:highlight w:val="none"/>
              </w:rPr>
              <w:t>土壤</w:t>
            </w:r>
          </w:p>
          <w:p w14:paraId="71976AAD">
            <w:pPr>
              <w:widowControl/>
              <w:spacing w:line="360" w:lineRule="auto"/>
              <w:ind w:firstLine="480" w:firstLineChars="200"/>
              <w:rPr>
                <w:rFonts w:hint="eastAsia"/>
                <w:color w:val="auto"/>
                <w:sz w:val="24"/>
                <w:highlight w:val="none"/>
              </w:rPr>
            </w:pPr>
            <w:r>
              <w:rPr>
                <w:rFonts w:hint="eastAsia"/>
                <w:color w:val="auto"/>
                <w:sz w:val="24"/>
                <w:highlight w:val="none"/>
                <w:u w:val="none"/>
              </w:rPr>
              <w:t>本项目</w:t>
            </w:r>
            <w:r>
              <w:rPr>
                <w:rFonts w:hint="eastAsia"/>
                <w:color w:val="auto"/>
                <w:sz w:val="24"/>
                <w:highlight w:val="none"/>
                <w:u w:val="none"/>
                <w:lang w:eastAsia="zh-CN"/>
              </w:rPr>
              <w:t>为维护性疏浚工程</w:t>
            </w:r>
            <w:r>
              <w:rPr>
                <w:rFonts w:hint="eastAsia"/>
                <w:color w:val="auto"/>
                <w:sz w:val="24"/>
                <w:highlight w:val="none"/>
                <w:u w:val="none"/>
              </w:rPr>
              <w:t>，</w:t>
            </w:r>
            <w:r>
              <w:rPr>
                <w:rFonts w:hint="eastAsia"/>
                <w:color w:val="auto"/>
                <w:sz w:val="24"/>
                <w:highlight w:val="none"/>
              </w:rPr>
              <w:t>《环境影响评价技术导则 土壤环境（试行）》（HJ964-2018）附录A，“本项目属于交通运输仓储邮政业-其他”，土壤环境影响评价项目类别为Ⅳ类。根据导则要求Ⅳ类项目可不开展土壤环境影响评价。</w:t>
            </w:r>
          </w:p>
          <w:p w14:paraId="23D7D281">
            <w:pPr>
              <w:pStyle w:val="9"/>
              <w:ind w:left="0" w:leftChars="0" w:firstLine="0" w:firstLineChars="0"/>
              <w:rPr>
                <w:rFonts w:hint="eastAsia"/>
                <w:color w:val="auto"/>
                <w:sz w:val="24"/>
                <w:highlight w:val="none"/>
              </w:rPr>
            </w:pPr>
          </w:p>
        </w:tc>
      </w:tr>
      <w:tr w14:paraId="2F98D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288" w:type="pct"/>
            <w:noWrap w:val="0"/>
            <w:vAlign w:val="center"/>
          </w:tcPr>
          <w:p w14:paraId="6047CBD8">
            <w:pPr>
              <w:adjustRightInd w:val="0"/>
              <w:snapToGrid w:val="0"/>
              <w:jc w:val="center"/>
              <w:rPr>
                <w:rFonts w:hint="eastAsia" w:ascii="宋体" w:hAnsi="宋体" w:cs="宋体"/>
                <w:color w:val="auto"/>
                <w:kern w:val="0"/>
                <w:sz w:val="24"/>
                <w:szCs w:val="21"/>
                <w:highlight w:val="none"/>
              </w:rPr>
            </w:pPr>
            <w:r>
              <w:rPr>
                <w:rFonts w:hint="eastAsia" w:ascii="Times New Roman" w:hAnsi="Times New Roman" w:eastAsia="宋体" w:cs="Times New Roman"/>
                <w:color w:val="auto"/>
                <w:sz w:val="24"/>
                <w:highlight w:val="none"/>
                <w:u w:val="none"/>
              </w:rPr>
              <w:t>项目有关的原有环境污染和生态破坏问题</w:t>
            </w:r>
          </w:p>
        </w:tc>
        <w:tc>
          <w:tcPr>
            <w:tcW w:w="4711" w:type="pct"/>
            <w:noWrap w:val="0"/>
            <w:vAlign w:val="center"/>
          </w:tcPr>
          <w:p w14:paraId="771E8A8D">
            <w:pPr>
              <w:spacing w:line="360" w:lineRule="auto"/>
              <w:ind w:firstLine="480" w:firstLineChars="200"/>
              <w:rPr>
                <w:rFonts w:hint="eastAsia" w:eastAsia="宋体"/>
                <w:color w:val="auto"/>
                <w:sz w:val="24"/>
                <w:highlight w:val="none"/>
                <w:lang w:eastAsia="zh-CN"/>
              </w:rPr>
            </w:pPr>
            <w:r>
              <w:rPr>
                <w:rFonts w:hint="eastAsia" w:ascii="Times New Roman" w:hAnsi="Times New Roman" w:eastAsia="宋体" w:cs="Times New Roman"/>
                <w:color w:val="auto"/>
                <w:sz w:val="24"/>
                <w:highlight w:val="none"/>
                <w:u w:val="none"/>
                <w:lang w:eastAsia="zh-CN"/>
              </w:rPr>
              <w:t>无</w:t>
            </w:r>
          </w:p>
        </w:tc>
      </w:tr>
      <w:tr w14:paraId="0FFE2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88" w:type="pct"/>
            <w:noWrap w:val="0"/>
            <w:vAlign w:val="center"/>
          </w:tcPr>
          <w:p w14:paraId="69A8A874">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生态环境保护目标</w:t>
            </w:r>
          </w:p>
        </w:tc>
        <w:tc>
          <w:tcPr>
            <w:tcW w:w="4711" w:type="pct"/>
            <w:noWrap w:val="0"/>
            <w:vAlign w:val="center"/>
          </w:tcPr>
          <w:p w14:paraId="2F0DDFD7">
            <w:pPr>
              <w:spacing w:line="360" w:lineRule="auto"/>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3.3.1</w:t>
            </w:r>
            <w:r>
              <w:rPr>
                <w:rFonts w:hint="eastAsia" w:ascii="Times New Roman" w:hAnsi="Times New Roman" w:eastAsia="宋体" w:cs="Times New Roman"/>
                <w:b/>
                <w:color w:val="auto"/>
                <w:sz w:val="28"/>
                <w:szCs w:val="28"/>
                <w:highlight w:val="none"/>
                <w:lang w:eastAsia="zh-CN"/>
              </w:rPr>
              <w:t>评价范围</w:t>
            </w:r>
          </w:p>
          <w:p w14:paraId="7C7EE91A">
            <w:p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1、大气环境评价范围</w:t>
            </w:r>
          </w:p>
          <w:p w14:paraId="647007AB">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本项目施工期废气主要为施工船舶的燃油废气，废气污染源污染强度较小，多为间歇性污染源，且随着施工期的结束，影响会逐渐消失，属于无组织排放且发生量很小，根据《环境影响评价技术导则大气环境》（HJ2.2-2018），本项目大气环境影响评价工作等级判定为三级，三级评价项目不需设置大气环境影响评价范围。</w:t>
            </w:r>
          </w:p>
          <w:p w14:paraId="06DD820B">
            <w:pPr>
              <w:numPr>
                <w:ilvl w:val="0"/>
                <w:numId w:val="14"/>
              </w:numPr>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声环境评价范围</w:t>
            </w:r>
          </w:p>
          <w:p w14:paraId="6BACAC72">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u w:val="single"/>
                <w:lang w:val="en-US" w:eastAsia="zh-CN"/>
              </w:rPr>
              <w:t>工程区与金鼓江海运航道重叠，</w:t>
            </w:r>
            <w:r>
              <w:rPr>
                <w:rFonts w:hint="eastAsia" w:cs="Times New Roman"/>
                <w:color w:val="auto"/>
                <w:sz w:val="24"/>
                <w:highlight w:val="none"/>
                <w:u w:val="single"/>
                <w:shd w:val="clear" w:color="auto" w:fill="FFFFFF"/>
                <w:lang w:val="en-US" w:eastAsia="zh-CN"/>
              </w:rPr>
              <w:t>为</w:t>
            </w:r>
            <w:r>
              <w:rPr>
                <w:rFonts w:hint="eastAsia" w:cs="Times New Roman"/>
                <w:color w:val="auto"/>
                <w:sz w:val="24"/>
                <w:highlight w:val="none"/>
                <w:u w:val="single"/>
                <w:lang w:val="en-US" w:eastAsia="zh-CN"/>
              </w:rPr>
              <w:t>4a类声环境功能区。根据</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lang w:eastAsia="zh-CN"/>
              </w:rPr>
              <w:t>环境影响评价技术导则</w:t>
            </w:r>
            <w:r>
              <w:rPr>
                <w:rFonts w:hint="eastAsia"/>
                <w:color w:val="auto"/>
                <w:sz w:val="24"/>
                <w:highlight w:val="none"/>
                <w:lang w:val="en-US" w:eastAsia="zh-CN"/>
              </w:rPr>
              <w:t xml:space="preserve"> 声环境</w:t>
            </w:r>
            <w:r>
              <w:rPr>
                <w:rFonts w:hint="eastAsia" w:ascii="Times New Roman" w:hAnsi="Times New Roman" w:eastAsia="宋体" w:cs="Times New Roman"/>
                <w:color w:val="auto"/>
                <w:sz w:val="24"/>
                <w:highlight w:val="none"/>
                <w:lang w:val="en-US" w:eastAsia="zh-CN"/>
              </w:rPr>
              <w:t>》（HJ2.4-2021），评价范围内无声环境敏感目标，声环境影响评价工作等级为三级，评价范围为项目边界向外200m为评价范围。</w:t>
            </w:r>
          </w:p>
          <w:p w14:paraId="32846199">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地下水评价范围</w:t>
            </w:r>
          </w:p>
          <w:p w14:paraId="02A9906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根据《环境影响评价技术导则地下水环境》（</w:t>
            </w:r>
            <w:r>
              <w:rPr>
                <w:rFonts w:hint="default" w:ascii="Times New Roman" w:hAnsi="Times New Roman" w:eastAsia="宋体" w:cs="Times New Roman"/>
                <w:color w:val="auto"/>
                <w:sz w:val="24"/>
                <w:highlight w:val="none"/>
                <w:lang w:val="en-US" w:eastAsia="zh-CN"/>
              </w:rPr>
              <w:t>HJ610-2016</w:t>
            </w:r>
            <w:r>
              <w:rPr>
                <w:rFonts w:hint="eastAsia" w:ascii="Times New Roman" w:hAnsi="Times New Roman" w:eastAsia="宋体" w:cs="Times New Roman"/>
                <w:color w:val="auto"/>
                <w:sz w:val="24"/>
                <w:highlight w:val="none"/>
                <w:lang w:val="en-US" w:eastAsia="zh-CN"/>
              </w:rPr>
              <w:t xml:space="preserve">），本项目属于导则附录 </w:t>
            </w:r>
            <w:r>
              <w:rPr>
                <w:rFonts w:hint="default" w:ascii="Times New Roman" w:hAnsi="Times New Roman" w:eastAsia="宋体" w:cs="Times New Roman"/>
                <w:color w:val="auto"/>
                <w:sz w:val="24"/>
                <w:highlight w:val="none"/>
                <w:lang w:val="en-US" w:eastAsia="zh-CN"/>
              </w:rPr>
              <w:t xml:space="preserve">A </w:t>
            </w:r>
            <w:r>
              <w:rPr>
                <w:rFonts w:hint="eastAsia" w:ascii="Times New Roman" w:hAnsi="Times New Roman" w:eastAsia="宋体" w:cs="Times New Roman"/>
                <w:color w:val="auto"/>
                <w:sz w:val="24"/>
                <w:highlight w:val="none"/>
                <w:lang w:val="en-US" w:eastAsia="zh-CN"/>
              </w:rPr>
              <w:t>中的“航道工程、水运辅助工程”，属于</w:t>
            </w:r>
            <w:r>
              <w:rPr>
                <w:rFonts w:hint="default" w:ascii="Times New Roman" w:hAnsi="Times New Roman" w:eastAsia="宋体" w:cs="Times New Roman"/>
                <w:color w:val="auto"/>
                <w:sz w:val="24"/>
                <w:highlight w:val="none"/>
                <w:lang w:val="en-US" w:eastAsia="zh-CN"/>
              </w:rPr>
              <w:t>Ⅳ</w:t>
            </w:r>
            <w:r>
              <w:rPr>
                <w:rFonts w:hint="eastAsia" w:ascii="Times New Roman" w:hAnsi="Times New Roman" w:eastAsia="宋体" w:cs="Times New Roman"/>
                <w:color w:val="auto"/>
                <w:sz w:val="24"/>
                <w:highlight w:val="none"/>
                <w:lang w:val="en-US" w:eastAsia="zh-CN"/>
              </w:rPr>
              <w:t>类项目，不开展地下水环境影响评价，因此不设地下水评价范围。</w:t>
            </w:r>
          </w:p>
          <w:p w14:paraId="53A44319">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土壤评价范围</w:t>
            </w:r>
          </w:p>
          <w:p w14:paraId="534DBA1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根据《环境影响评价技术导则土壤环境（试行）》（</w:t>
            </w:r>
            <w:r>
              <w:rPr>
                <w:rFonts w:hint="default" w:ascii="Times New Roman" w:hAnsi="Times New Roman" w:eastAsia="宋体" w:cs="Times New Roman"/>
                <w:color w:val="auto"/>
                <w:sz w:val="24"/>
                <w:highlight w:val="none"/>
                <w:lang w:val="en-US" w:eastAsia="zh-CN"/>
              </w:rPr>
              <w:t>HJ964-2018</w:t>
            </w:r>
            <w:r>
              <w:rPr>
                <w:rFonts w:hint="eastAsia" w:ascii="Times New Roman" w:hAnsi="Times New Roman" w:eastAsia="宋体" w:cs="Times New Roman"/>
                <w:color w:val="auto"/>
                <w:sz w:val="24"/>
                <w:highlight w:val="none"/>
                <w:lang w:val="en-US" w:eastAsia="zh-CN"/>
              </w:rPr>
              <w:t xml:space="preserve">），本项目为附录 </w:t>
            </w:r>
            <w:r>
              <w:rPr>
                <w:rFonts w:hint="default" w:ascii="Times New Roman" w:hAnsi="Times New Roman" w:eastAsia="宋体" w:cs="Times New Roman"/>
                <w:color w:val="auto"/>
                <w:sz w:val="24"/>
                <w:highlight w:val="none"/>
                <w:lang w:val="en-US" w:eastAsia="zh-CN"/>
              </w:rPr>
              <w:t xml:space="preserve">A </w:t>
            </w:r>
            <w:r>
              <w:rPr>
                <w:rFonts w:hint="eastAsia" w:ascii="Times New Roman" w:hAnsi="Times New Roman" w:eastAsia="宋体" w:cs="Times New Roman"/>
                <w:color w:val="auto"/>
                <w:sz w:val="24"/>
                <w:highlight w:val="none"/>
                <w:lang w:val="en-US" w:eastAsia="zh-CN"/>
              </w:rPr>
              <w:t xml:space="preserve">中的“交通运输仓储邮政业”中的“其他”，属 </w:t>
            </w:r>
            <w:r>
              <w:rPr>
                <w:rFonts w:hint="default" w:ascii="Times New Roman" w:hAnsi="Times New Roman" w:eastAsia="宋体" w:cs="Times New Roman"/>
                <w:color w:val="auto"/>
                <w:sz w:val="24"/>
                <w:highlight w:val="none"/>
                <w:lang w:val="en-US" w:eastAsia="zh-CN"/>
              </w:rPr>
              <w:t xml:space="preserve">IV </w:t>
            </w:r>
            <w:r>
              <w:rPr>
                <w:rFonts w:hint="eastAsia" w:ascii="Times New Roman" w:hAnsi="Times New Roman" w:eastAsia="宋体" w:cs="Times New Roman"/>
                <w:color w:val="auto"/>
                <w:sz w:val="24"/>
                <w:highlight w:val="none"/>
                <w:lang w:val="en-US" w:eastAsia="zh-CN"/>
              </w:rPr>
              <w:t>类项目，不开展土壤环境影响评价，因此不设土壤评价范围。</w:t>
            </w:r>
          </w:p>
          <w:p w14:paraId="16DF2AEE">
            <w:pPr>
              <w:numPr>
                <w:ilvl w:val="0"/>
                <w:numId w:val="14"/>
              </w:numPr>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环境风险评价范围</w:t>
            </w:r>
          </w:p>
          <w:p w14:paraId="35B1CCC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结合本项目环境风险评价等级及周边的环境敏感目标，本项目风险评价范围与海洋环境影响评价范围相同。</w:t>
            </w:r>
          </w:p>
          <w:p w14:paraId="5AFD74A5">
            <w:pPr>
              <w:numPr>
                <w:ilvl w:val="0"/>
                <w:numId w:val="14"/>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海洋生态环境评价范围</w:t>
            </w:r>
          </w:p>
          <w:p w14:paraId="44313D9B">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结合本工程的特点和建设规模，以及所在海区的自然环境条件和敏感目标情况，本项目对海洋环境的影响范围主要是工程区前沿金鼓江海域及钦州湾。</w:t>
            </w:r>
          </w:p>
          <w:p w14:paraId="3FF28E6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olor w:val="auto"/>
                <w:sz w:val="24"/>
                <w:highlight w:val="none"/>
                <w:lang w:eastAsia="zh-CN"/>
              </w:rPr>
              <w:t>本项目为码头港口及回旋水域维护性疏浚项目，临时用海面积约</w:t>
            </w:r>
            <w:r>
              <w:rPr>
                <w:rFonts w:hint="eastAsia"/>
                <w:color w:val="auto"/>
                <w:sz w:val="24"/>
                <w:highlight w:val="none"/>
                <w:lang w:val="en-US" w:eastAsia="zh-CN"/>
              </w:rPr>
              <w:t>7.93hm</w:t>
            </w:r>
            <w:r>
              <w:rPr>
                <w:rFonts w:hint="eastAsia"/>
                <w:color w:val="auto"/>
                <w:sz w:val="24"/>
                <w:highlight w:val="none"/>
                <w:vertAlign w:val="superscript"/>
                <w:lang w:val="en-US" w:eastAsia="zh-CN"/>
              </w:rPr>
              <w:t>2</w:t>
            </w:r>
            <w:r>
              <w:rPr>
                <w:rFonts w:hint="eastAsia"/>
                <w:color w:val="auto"/>
                <w:sz w:val="24"/>
                <w:highlight w:val="none"/>
                <w:lang w:eastAsia="zh-CN"/>
              </w:rPr>
              <w:t>，疏浚量约</w:t>
            </w:r>
            <w:r>
              <w:rPr>
                <w:rFonts w:hint="eastAsia"/>
                <w:color w:val="auto"/>
                <w:sz w:val="24"/>
                <w:highlight w:val="none"/>
                <w:lang w:val="en-US" w:eastAsia="zh-CN"/>
              </w:rPr>
              <w:t>9.28万m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highlight w:val="none"/>
                <w:lang w:eastAsia="zh-CN"/>
              </w:rPr>
              <w:t>根据《环境影响评价技术导则</w:t>
            </w:r>
            <w:r>
              <w:rPr>
                <w:rFonts w:hint="eastAsia"/>
                <w:color w:val="auto"/>
                <w:sz w:val="24"/>
                <w:highlight w:val="none"/>
                <w:lang w:val="en-US" w:eastAsia="zh-CN"/>
              </w:rPr>
              <w:t xml:space="preserve"> 海洋生态环境</w:t>
            </w:r>
            <w:r>
              <w:rPr>
                <w:rFonts w:hint="eastAsia"/>
                <w:color w:val="auto"/>
                <w:sz w:val="24"/>
                <w:highlight w:val="none"/>
                <w:lang w:eastAsia="zh-CN"/>
              </w:rPr>
              <w:t>》（</w:t>
            </w:r>
            <w:r>
              <w:rPr>
                <w:rFonts w:hint="eastAsia"/>
                <w:color w:val="auto"/>
                <w:sz w:val="24"/>
                <w:highlight w:val="none"/>
                <w:lang w:val="en-US" w:eastAsia="zh-CN"/>
              </w:rPr>
              <w:t>HJ1409-2025</w:t>
            </w:r>
            <w:r>
              <w:rPr>
                <w:rFonts w:hint="eastAsia"/>
                <w:color w:val="auto"/>
                <w:sz w:val="24"/>
                <w:highlight w:val="none"/>
                <w:lang w:eastAsia="zh-CN"/>
              </w:rPr>
              <w:t>）建设项目海洋生态环境影响评价等级判定表，用海面积＜</w:t>
            </w:r>
            <w:r>
              <w:rPr>
                <w:rFonts w:hint="eastAsia"/>
                <w:color w:val="auto"/>
                <w:sz w:val="24"/>
                <w:highlight w:val="none"/>
                <w:lang w:val="en-US" w:eastAsia="zh-CN"/>
              </w:rPr>
              <w:t>100hm</w:t>
            </w:r>
            <w:r>
              <w:rPr>
                <w:rFonts w:hint="eastAsia"/>
                <w:color w:val="auto"/>
                <w:sz w:val="24"/>
                <w:highlight w:val="none"/>
                <w:vertAlign w:val="superscript"/>
                <w:lang w:val="en-US" w:eastAsia="zh-CN"/>
              </w:rPr>
              <w:t>2</w:t>
            </w:r>
            <w:r>
              <w:rPr>
                <w:rFonts w:hint="eastAsia"/>
                <w:color w:val="auto"/>
                <w:sz w:val="24"/>
                <w:highlight w:val="none"/>
                <w:lang w:val="en-US" w:eastAsia="zh-CN"/>
              </w:rPr>
              <w:t>，水下开挖量＜100万m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highlight w:val="none"/>
                <w:lang w:eastAsia="zh-CN"/>
              </w:rPr>
              <w:t>项目海洋生态环境评价等级为</w:t>
            </w:r>
            <w:r>
              <w:rPr>
                <w:rFonts w:hint="eastAsia"/>
                <w:color w:val="auto"/>
                <w:sz w:val="24"/>
                <w:highlight w:val="none"/>
                <w:lang w:val="en-US" w:eastAsia="zh-CN"/>
              </w:rPr>
              <w:t>3级，</w:t>
            </w:r>
            <w:r>
              <w:rPr>
                <w:rFonts w:ascii="宋体" w:hAnsi="宋体" w:eastAsia="宋体" w:cs="宋体"/>
                <w:color w:val="auto"/>
                <w:sz w:val="24"/>
                <w:szCs w:val="24"/>
                <w:highlight w:val="none"/>
              </w:rPr>
              <w:t>评价范围以建设项目平面布置外缘线向外的扩展距离确定</w:t>
            </w:r>
            <w:r>
              <w:rPr>
                <w:rFonts w:hint="eastAsia" w:ascii="宋体" w:hAnsi="宋体" w:eastAsia="宋体" w:cs="宋体"/>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3级评价项目在潮流主流向的扩展距离不小于1km～5km，垂直于潮流主流向的扩展距离以不小于主流向扩展距离的 1/2 为宜。因此，本项目海洋生态环境影响评价范围主流方向扩展10km，垂直于潮流主流向的扩展5.0km矩形区域围成的海域，评价范围总面积为92.92km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，项目评价范围及环境保护目标分布图详见附图3。</w:t>
            </w:r>
          </w:p>
          <w:p w14:paraId="40375D12">
            <w:pPr>
              <w:spacing w:line="360" w:lineRule="auto"/>
              <w:ind w:firstLine="480" w:firstLineChars="200"/>
              <w:rPr>
                <w:rFonts w:hint="default" w:ascii="Times New Roman" w:hAnsi="Times New Roman" w:eastAsia="宋体" w:cs="Times New Roman"/>
                <w:color w:val="auto"/>
                <w:sz w:val="24"/>
                <w:highlight w:val="none"/>
                <w:lang w:val="en-US" w:eastAsia="zh-CN"/>
              </w:rPr>
            </w:pPr>
          </w:p>
          <w:p w14:paraId="20FA195D">
            <w:pPr>
              <w:spacing w:line="360" w:lineRule="auto"/>
              <w:rPr>
                <w:rFonts w:hint="eastAsia" w:ascii="Times New Roman" w:hAnsi="Times New Roman" w:eastAsia="宋体" w:cs="Times New Roman"/>
                <w:b/>
                <w:color w:val="auto"/>
                <w:sz w:val="28"/>
                <w:szCs w:val="28"/>
                <w:highlight w:val="none"/>
                <w:lang w:eastAsia="zh-CN"/>
              </w:rPr>
            </w:pPr>
            <w:r>
              <w:rPr>
                <w:rFonts w:hint="eastAsia" w:ascii="Times New Roman" w:hAnsi="Times New Roman" w:eastAsia="宋体" w:cs="Times New Roman"/>
                <w:b/>
                <w:color w:val="auto"/>
                <w:sz w:val="28"/>
                <w:szCs w:val="28"/>
                <w:highlight w:val="none"/>
                <w:lang w:val="en-US" w:eastAsia="zh-CN"/>
              </w:rPr>
              <w:t>3.3.2</w:t>
            </w:r>
            <w:r>
              <w:rPr>
                <w:rFonts w:hint="eastAsia" w:ascii="Times New Roman" w:hAnsi="Times New Roman" w:eastAsia="宋体" w:cs="Times New Roman"/>
                <w:b/>
                <w:color w:val="auto"/>
                <w:sz w:val="28"/>
                <w:szCs w:val="28"/>
                <w:highlight w:val="none"/>
                <w:lang w:eastAsia="zh-CN"/>
              </w:rPr>
              <w:t>环境保护目标</w:t>
            </w:r>
          </w:p>
          <w:p w14:paraId="1BD02BEE">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eastAsia="zh-CN"/>
              </w:rPr>
              <w:t>在现场踏勘与调查基础上，识别项目所在海域及周边陆域环境保护目标，项目评价范围及保护目标分布示意图详见附图</w:t>
            </w:r>
            <w:r>
              <w:rPr>
                <w:rFonts w:hint="eastAsia"/>
                <w:color w:val="auto"/>
                <w:sz w:val="24"/>
                <w:highlight w:val="none"/>
                <w:lang w:val="en-US" w:eastAsia="zh-CN"/>
              </w:rPr>
              <w:t>3。</w:t>
            </w:r>
          </w:p>
          <w:p w14:paraId="36AE4913">
            <w:pPr>
              <w:spacing w:line="360" w:lineRule="auto"/>
              <w:ind w:firstLine="482" w:firstLineChars="200"/>
              <w:rPr>
                <w:b/>
                <w:color w:val="auto"/>
                <w:szCs w:val="21"/>
                <w:highlight w:val="none"/>
                <w:lang w:bidi="ar"/>
              </w:rPr>
            </w:pPr>
            <w:r>
              <w:rPr>
                <w:rFonts w:hint="eastAsia"/>
                <w:b/>
                <w:bCs/>
                <w:color w:val="auto"/>
                <w:sz w:val="24"/>
                <w:highlight w:val="none"/>
                <w:lang w:val="en-US" w:eastAsia="zh-CN"/>
              </w:rPr>
              <w:t>1.</w:t>
            </w:r>
            <w:r>
              <w:rPr>
                <w:rFonts w:hint="eastAsia"/>
                <w:b/>
                <w:bCs/>
                <w:color w:val="auto"/>
                <w:sz w:val="24"/>
                <w:highlight w:val="none"/>
              </w:rPr>
              <w:t>大气环境</w:t>
            </w:r>
            <w:r>
              <w:rPr>
                <w:rFonts w:hint="eastAsia"/>
                <w:b/>
                <w:bCs/>
                <w:color w:val="auto"/>
                <w:sz w:val="24"/>
                <w:highlight w:val="none"/>
                <w:lang w:eastAsia="zh-CN"/>
              </w:rPr>
              <w:t>保护目标</w:t>
            </w:r>
            <w:r>
              <w:rPr>
                <w:rFonts w:hint="eastAsia"/>
                <w:b/>
                <w:bCs/>
                <w:color w:val="auto"/>
                <w:sz w:val="24"/>
                <w:highlight w:val="none"/>
              </w:rPr>
              <w:t>：</w:t>
            </w:r>
            <w:r>
              <w:rPr>
                <w:rFonts w:hint="eastAsia"/>
                <w:color w:val="auto"/>
                <w:sz w:val="24"/>
                <w:highlight w:val="none"/>
              </w:rPr>
              <w:t>根据</w:t>
            </w:r>
            <w:r>
              <w:rPr>
                <w:rFonts w:hint="eastAsia"/>
                <w:color w:val="auto"/>
                <w:sz w:val="24"/>
                <w:highlight w:val="none"/>
                <w:lang w:eastAsia="zh-CN"/>
              </w:rPr>
              <w:t>现场勘查</w:t>
            </w:r>
            <w:r>
              <w:rPr>
                <w:rFonts w:hint="eastAsia"/>
                <w:color w:val="auto"/>
                <w:sz w:val="24"/>
                <w:highlight w:val="none"/>
              </w:rPr>
              <w:t>，本项目厂界外500m范围内无环境空气保护</w:t>
            </w:r>
            <w:r>
              <w:rPr>
                <w:rFonts w:hint="eastAsia" w:ascii="Times New Roman" w:hAnsi="Times New Roman" w:eastAsia="宋体" w:cs="Times New Roman"/>
                <w:color w:val="auto"/>
                <w:sz w:val="24"/>
                <w:highlight w:val="none"/>
                <w:lang w:eastAsia="zh-CN"/>
              </w:rPr>
              <w:t>目标</w:t>
            </w:r>
            <w:r>
              <w:rPr>
                <w:bCs/>
                <w:color w:val="auto"/>
                <w:sz w:val="24"/>
                <w:highlight w:val="none"/>
              </w:rPr>
              <w:t>。</w:t>
            </w:r>
          </w:p>
          <w:p w14:paraId="28C3B455">
            <w:pPr>
              <w:spacing w:line="360" w:lineRule="auto"/>
              <w:ind w:firstLine="482" w:firstLineChars="200"/>
              <w:rPr>
                <w:rFonts w:hint="eastAsia"/>
                <w:color w:val="auto"/>
                <w:sz w:val="24"/>
                <w:highlight w:val="none"/>
              </w:rPr>
            </w:pPr>
            <w:r>
              <w:rPr>
                <w:rFonts w:hint="eastAsia"/>
                <w:b/>
                <w:bCs/>
                <w:color w:val="auto"/>
                <w:sz w:val="24"/>
                <w:highlight w:val="none"/>
                <w:lang w:val="en-US" w:eastAsia="zh-CN"/>
              </w:rPr>
              <w:t>2.</w:t>
            </w:r>
            <w:r>
              <w:rPr>
                <w:rFonts w:hint="eastAsia"/>
                <w:b/>
                <w:bCs/>
                <w:color w:val="auto"/>
                <w:sz w:val="24"/>
                <w:highlight w:val="none"/>
                <w:lang w:eastAsia="zh-CN"/>
              </w:rPr>
              <w:t>声环境保护目标：</w:t>
            </w:r>
            <w:r>
              <w:rPr>
                <w:rFonts w:hint="eastAsia"/>
                <w:color w:val="auto"/>
                <w:sz w:val="24"/>
                <w:highlight w:val="none"/>
                <w:lang w:eastAsia="zh-CN"/>
              </w:rPr>
              <w:t>项目周边</w:t>
            </w:r>
            <w:r>
              <w:rPr>
                <w:rFonts w:hint="eastAsia"/>
                <w:color w:val="auto"/>
                <w:sz w:val="24"/>
                <w:highlight w:val="none"/>
                <w:lang w:val="en-US" w:eastAsia="zh-CN"/>
              </w:rPr>
              <w:t>200m范围内无声环境保护目标</w:t>
            </w:r>
            <w:r>
              <w:rPr>
                <w:rFonts w:hint="eastAsia"/>
                <w:color w:val="auto"/>
                <w:sz w:val="24"/>
                <w:highlight w:val="none"/>
              </w:rPr>
              <w:t>。</w:t>
            </w:r>
          </w:p>
          <w:p w14:paraId="7187773A">
            <w:pPr>
              <w:spacing w:line="360" w:lineRule="auto"/>
              <w:ind w:firstLine="482" w:firstLineChars="200"/>
              <w:rPr>
                <w:color w:val="auto"/>
                <w:highlight w:val="none"/>
                <w:u w:val="none"/>
              </w:rPr>
            </w:pPr>
            <w:r>
              <w:rPr>
                <w:rFonts w:hint="eastAsia"/>
                <w:b/>
                <w:bCs/>
                <w:color w:val="auto"/>
                <w:sz w:val="24"/>
                <w:highlight w:val="none"/>
                <w:u w:val="none"/>
                <w:lang w:val="en-US" w:eastAsia="zh-CN"/>
              </w:rPr>
              <w:t>3.</w:t>
            </w:r>
            <w:r>
              <w:rPr>
                <w:rFonts w:hint="eastAsia"/>
                <w:b/>
                <w:bCs/>
                <w:color w:val="auto"/>
                <w:sz w:val="24"/>
                <w:highlight w:val="none"/>
                <w:u w:val="none"/>
                <w:lang w:eastAsia="zh-CN"/>
              </w:rPr>
              <w:t>海洋生态环境保护目标</w:t>
            </w:r>
            <w:r>
              <w:rPr>
                <w:rFonts w:hint="eastAsia"/>
                <w:color w:val="auto"/>
                <w:sz w:val="24"/>
                <w:highlight w:val="none"/>
                <w:u w:val="none"/>
              </w:rPr>
              <w:t>：</w:t>
            </w:r>
            <w:r>
              <w:rPr>
                <w:rFonts w:hint="eastAsia"/>
                <w:color w:val="auto"/>
                <w:sz w:val="24"/>
                <w:highlight w:val="none"/>
                <w:u w:val="none"/>
                <w:lang w:eastAsia="zh-CN"/>
              </w:rPr>
              <w:t>以项目用海水域生态环境为主要目标，并兼顾项目周边生态敏感区保护，</w:t>
            </w:r>
            <w:r>
              <w:rPr>
                <w:rFonts w:hint="eastAsia" w:ascii="Times New Roman" w:hAnsi="Times New Roman" w:eastAsia="宋体" w:cs="Times New Roman"/>
                <w:color w:val="auto"/>
                <w:sz w:val="24"/>
                <w:highlight w:val="none"/>
                <w:u w:val="none"/>
                <w:lang w:val="en-US" w:eastAsia="zh-CN"/>
              </w:rPr>
              <w:t>项目评价范围内分布海洋生态保护目标有金鼓江上游红树林区、茅尾海红树林自然保护区七十二泾片、七十二泾旅游休闲娱乐区、钦州港青菜头南浅海滩涂养殖区、七十二泾重要滨海旅游区限制类红线区、</w:t>
            </w:r>
            <w:r>
              <w:rPr>
                <w:rFonts w:hint="eastAsia" w:ascii="Times New Roman" w:hAnsi="Times New Roman" w:eastAsia="宋体" w:cs="Times New Roman"/>
                <w:color w:val="auto"/>
                <w:kern w:val="0"/>
                <w:sz w:val="24"/>
                <w:szCs w:val="24"/>
                <w:highlight w:val="none"/>
                <w:u w:val="none"/>
                <w:lang w:val="en-US" w:eastAsia="zh-CN" w:bidi="ar"/>
              </w:rPr>
              <w:t>广西茅尾海红树林保护区限制类红线区、</w:t>
            </w:r>
            <w:r>
              <w:rPr>
                <w:rFonts w:hint="default" w:ascii="Times New Roman" w:hAnsi="Times New Roman" w:eastAsia="宋体" w:cs="Times New Roman"/>
                <w:b w:val="0"/>
                <w:bCs w:val="0"/>
                <w:color w:val="auto"/>
                <w:kern w:val="0"/>
                <w:sz w:val="24"/>
                <w:szCs w:val="24"/>
                <w:highlight w:val="none"/>
                <w:u w:val="none"/>
                <w:lang w:val="en-US" w:eastAsia="zh-CN" w:bidi="ar"/>
              </w:rPr>
              <w:t>广西</w:t>
            </w:r>
            <w:r>
              <w:rPr>
                <w:rFonts w:hint="eastAsia" w:ascii="Times New Roman" w:hAnsi="Times New Roman" w:eastAsia="宋体" w:cs="Times New Roman"/>
                <w:b w:val="0"/>
                <w:bCs w:val="0"/>
                <w:color w:val="auto"/>
                <w:kern w:val="0"/>
                <w:sz w:val="24"/>
                <w:szCs w:val="24"/>
                <w:highlight w:val="none"/>
                <w:u w:val="none"/>
                <w:lang w:val="en-US" w:eastAsia="zh-CN" w:bidi="ar"/>
              </w:rPr>
              <w:t>钦州</w:t>
            </w:r>
            <w:r>
              <w:rPr>
                <w:rFonts w:hint="default" w:ascii="Times New Roman" w:hAnsi="Times New Roman" w:eastAsia="宋体" w:cs="Times New Roman"/>
                <w:b w:val="0"/>
                <w:bCs w:val="0"/>
                <w:color w:val="auto"/>
                <w:kern w:val="0"/>
                <w:sz w:val="24"/>
                <w:szCs w:val="24"/>
                <w:highlight w:val="none"/>
                <w:u w:val="none"/>
                <w:lang w:val="en-US" w:eastAsia="zh-CN" w:bidi="ar"/>
              </w:rPr>
              <w:t>茅尾海红树林自治区级重要湿地</w:t>
            </w:r>
            <w:r>
              <w:rPr>
                <w:rFonts w:hint="eastAsia" w:ascii="Times New Roman" w:hAnsi="Times New Roman" w:eastAsia="宋体" w:cs="Times New Roman"/>
                <w:color w:val="auto"/>
                <w:kern w:val="0"/>
                <w:sz w:val="24"/>
                <w:szCs w:val="24"/>
                <w:highlight w:val="none"/>
                <w:u w:val="none"/>
                <w:lang w:val="en-US" w:eastAsia="zh-CN" w:bidi="ar"/>
              </w:rPr>
              <w:t>，共计7处</w:t>
            </w:r>
            <w:r>
              <w:rPr>
                <w:rFonts w:hint="eastAsia" w:ascii="Times New Roman" w:hAnsi="Times New Roman" w:eastAsia="宋体" w:cs="Times New Roman"/>
                <w:color w:val="auto"/>
                <w:sz w:val="24"/>
                <w:highlight w:val="none"/>
                <w:u w:val="none"/>
                <w:lang w:val="en-US" w:eastAsia="zh-CN"/>
              </w:rPr>
              <w:t>。</w:t>
            </w:r>
          </w:p>
          <w:p w14:paraId="2EA0C20B">
            <w:pPr>
              <w:spacing w:line="360" w:lineRule="auto"/>
              <w:ind w:firstLine="482" w:firstLineChars="200"/>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①金鼓江红树林分布区</w:t>
            </w:r>
          </w:p>
          <w:p w14:paraId="40B6DB94">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eastAsia="zh-CN"/>
              </w:rPr>
              <w:t>钦州湾岸线曲折，港汊众多，岛屿棋布，红树林滩涂发育，区划金鼓江上游200hm</w:t>
            </w:r>
            <w:r>
              <w:rPr>
                <w:rFonts w:hint="eastAsia" w:ascii="Times New Roman" w:hAnsi="Times New Roman" w:eastAsia="宋体" w:cs="Times New Roman"/>
                <w:color w:val="auto"/>
                <w:sz w:val="24"/>
                <w:highlight w:val="none"/>
                <w:u w:val="none"/>
                <w:vertAlign w:val="superscript"/>
                <w:lang w:eastAsia="zh-CN"/>
              </w:rPr>
              <w:t>2</w:t>
            </w:r>
            <w:r>
              <w:rPr>
                <w:rFonts w:hint="eastAsia" w:ascii="Times New Roman" w:hAnsi="Times New Roman" w:eastAsia="宋体" w:cs="Times New Roman"/>
                <w:color w:val="auto"/>
                <w:sz w:val="24"/>
                <w:highlight w:val="none"/>
                <w:u w:val="none"/>
                <w:lang w:eastAsia="zh-CN"/>
              </w:rPr>
              <w:t>为红树林区，加强红树林保护和恢复，维护海湾生态平衡。本项目未穿越金鼓江上游红树林区；本项目距离</w:t>
            </w:r>
            <w:r>
              <w:rPr>
                <w:rFonts w:hint="eastAsia" w:ascii="Times New Roman" w:hAnsi="Times New Roman" w:eastAsia="宋体" w:cs="Times New Roman"/>
                <w:color w:val="auto"/>
                <w:sz w:val="24"/>
                <w:highlight w:val="none"/>
                <w:u w:val="none"/>
                <w:lang w:val="en-US" w:eastAsia="zh-CN"/>
              </w:rPr>
              <w:t>最近的</w:t>
            </w:r>
            <w:r>
              <w:rPr>
                <w:rFonts w:hint="eastAsia" w:ascii="Times New Roman" w:hAnsi="Times New Roman" w:eastAsia="宋体" w:cs="Times New Roman"/>
                <w:color w:val="auto"/>
                <w:sz w:val="24"/>
                <w:highlight w:val="none"/>
                <w:u w:val="none"/>
                <w:lang w:eastAsia="zh-CN"/>
              </w:rPr>
              <w:t>金鼓江红树林分布区约</w:t>
            </w:r>
            <w:r>
              <w:rPr>
                <w:rFonts w:hint="eastAsia" w:cs="Times New Roman"/>
                <w:color w:val="auto"/>
                <w:sz w:val="24"/>
                <w:highlight w:val="none"/>
                <w:u w:val="none"/>
                <w:lang w:val="en-US" w:eastAsia="zh-CN"/>
              </w:rPr>
              <w:t>2.6</w:t>
            </w:r>
            <w:r>
              <w:rPr>
                <w:rFonts w:hint="eastAsia" w:ascii="Times New Roman" w:hAnsi="Times New Roman" w:eastAsia="宋体" w:cs="Times New Roman"/>
                <w:color w:val="auto"/>
                <w:sz w:val="24"/>
                <w:highlight w:val="none"/>
                <w:u w:val="none"/>
                <w:lang w:eastAsia="zh-CN"/>
              </w:rPr>
              <w:t>km。</w:t>
            </w:r>
          </w:p>
          <w:p w14:paraId="227187C6">
            <w:pPr>
              <w:spacing w:line="360" w:lineRule="auto"/>
              <w:ind w:firstLine="482" w:firstLineChars="200"/>
              <w:rPr>
                <w:rFonts w:hint="eastAsia"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②广西茅尾海红树林自治区级自然保护区</w:t>
            </w:r>
          </w:p>
          <w:p w14:paraId="40DAC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本项目未穿越茅尾海红树林自然保护区；与本项目距离最近的为七十二泾片区，位于本项目西北侧约</w:t>
            </w:r>
            <w:r>
              <w:rPr>
                <w:rFonts w:hint="default" w:ascii="Times New Roman" w:hAnsi="Times New Roman" w:eastAsia="宋体" w:cs="Times New Roman"/>
                <w:color w:val="auto"/>
                <w:sz w:val="24"/>
                <w:szCs w:val="24"/>
                <w:highlight w:val="none"/>
                <w:u w:val="none"/>
                <w:lang w:val="en-US" w:eastAsia="zh-CN"/>
              </w:rPr>
              <w:t>5.0</w:t>
            </w:r>
            <w:r>
              <w:rPr>
                <w:rFonts w:hint="default" w:ascii="Times New Roman" w:hAnsi="Times New Roman" w:eastAsia="宋体" w:cs="Times New Roman"/>
                <w:color w:val="auto"/>
                <w:sz w:val="24"/>
                <w:szCs w:val="24"/>
                <w:highlight w:val="none"/>
                <w:u w:val="none"/>
              </w:rPr>
              <w:t>km。</w:t>
            </w:r>
          </w:p>
          <w:p w14:paraId="318982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广西茅尾海红树林自治区级自然保护区位于钦州市的钦南区和钦州港区，面向北部湾，于2005年经自治区人民政府批准建立，是一个以保护红树林为主的南亚热带河口、港湾和海岸滩涂湿地生态系统及越冬鸟类栖息地的自然保护区。保护区总面积3454.00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，包括核心区1293.30hm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、缓冲区1152.20hm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、实验区1008.50hm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保护区内有红树植物11科16种（即木榄、秋茄、红海榄、白骨壤、老鼠簕等），占全国红树种类的43.2%，其中珍稀红树林植物有爵床科的老鼠簕，濒危树种有红树科的木榄和红海榄；各种动物491种（如鸟类黑鹳，海鸬鹚；兽类儒艮、江豚等），其中33种鸟是中澳、中日保护候鸟及其栖息环境协定的保护鸟类。</w:t>
            </w:r>
          </w:p>
          <w:p w14:paraId="118F39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保护区由康熙岭片、坚心围片、七十二泾片和大风江片四大片区组成，其中七十二泾片区</w:t>
            </w:r>
            <w:r>
              <w:rPr>
                <w:rFonts w:hint="default" w:ascii="Times New Roman" w:hAnsi="Times New Roman" w:eastAsia="宋体" w:cs="Times New Roman"/>
                <w:color w:val="auto"/>
                <w:sz w:val="24"/>
                <w:szCs w:val="24"/>
                <w:highlight w:val="none"/>
                <w:u w:val="none"/>
                <w:lang w:val="en-US" w:eastAsia="zh-CN"/>
              </w:rPr>
              <w:t>是</w:t>
            </w:r>
            <w:r>
              <w:rPr>
                <w:rFonts w:hint="default" w:ascii="Times New Roman" w:hAnsi="Times New Roman" w:eastAsia="宋体" w:cs="Times New Roman"/>
                <w:color w:val="auto"/>
                <w:sz w:val="24"/>
                <w:szCs w:val="24"/>
                <w:highlight w:val="none"/>
                <w:u w:val="none"/>
              </w:rPr>
              <w:t>钦州港辖区的滩涂湿地，陆地部分以仙岛公园边缘和松飞大岭脚为界，面积192.7hm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，其中，核心区面积80.90hm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，缓冲区面积74.00hm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，实验区面积37.80hm</w:t>
            </w:r>
            <w:r>
              <w:rPr>
                <w:rFonts w:hint="default" w:ascii="Times New Roman" w:hAnsi="Times New Roman" w:eastAsia="宋体" w:cs="Times New Roman"/>
                <w:color w:val="auto"/>
                <w:sz w:val="24"/>
                <w:szCs w:val="24"/>
                <w:highlight w:val="none"/>
                <w:u w:val="none"/>
                <w:vertAlign w:val="superscript"/>
              </w:rPr>
              <w:t>2</w:t>
            </w:r>
            <w:r>
              <w:rPr>
                <w:rFonts w:hint="default" w:ascii="Times New Roman" w:hAnsi="Times New Roman" w:eastAsia="宋体" w:cs="Times New Roman"/>
                <w:color w:val="auto"/>
                <w:sz w:val="24"/>
                <w:szCs w:val="24"/>
                <w:highlight w:val="none"/>
                <w:u w:val="none"/>
              </w:rPr>
              <w:t>。</w:t>
            </w:r>
            <w:r>
              <w:rPr>
                <w:rFonts w:hint="default" w:ascii="Times New Roman" w:hAnsi="Times New Roman" w:eastAsia="宋体" w:cs="Times New Roman"/>
                <w:color w:val="auto"/>
                <w:kern w:val="0"/>
                <w:sz w:val="24"/>
                <w:szCs w:val="24"/>
                <w:highlight w:val="none"/>
                <w:u w:val="none"/>
                <w:lang w:val="en-US" w:eastAsia="zh-CN" w:bidi="ar"/>
              </w:rPr>
              <w:t>钦州市沿海共有红树林植物8种，分别是：木榄（</w:t>
            </w:r>
            <w:r>
              <w:rPr>
                <w:rFonts w:hint="default" w:ascii="Times New Roman" w:hAnsi="Times New Roman" w:eastAsia="宋体" w:cs="Times New Roman"/>
                <w:i/>
                <w:iCs/>
                <w:color w:val="auto"/>
                <w:kern w:val="0"/>
                <w:sz w:val="24"/>
                <w:szCs w:val="24"/>
                <w:highlight w:val="none"/>
                <w:u w:val="none"/>
                <w:lang w:val="en-US" w:eastAsia="zh-CN" w:bidi="ar"/>
              </w:rPr>
              <w:t>Bruguiera gymnorrhiza</w:t>
            </w:r>
            <w:r>
              <w:rPr>
                <w:rFonts w:hint="default" w:ascii="Times New Roman" w:hAnsi="Times New Roman" w:eastAsia="宋体" w:cs="Times New Roman"/>
                <w:color w:val="auto"/>
                <w:kern w:val="0"/>
                <w:sz w:val="24"/>
                <w:szCs w:val="24"/>
                <w:highlight w:val="none"/>
                <w:u w:val="none"/>
                <w:lang w:val="en-US" w:eastAsia="zh-CN" w:bidi="ar"/>
              </w:rPr>
              <w:t>）、秋茄（</w:t>
            </w:r>
            <w:r>
              <w:rPr>
                <w:rFonts w:hint="default" w:ascii="Times New Roman" w:hAnsi="Times New Roman" w:eastAsia="宋体" w:cs="Times New Roman"/>
                <w:i/>
                <w:iCs/>
                <w:color w:val="auto"/>
                <w:kern w:val="0"/>
                <w:sz w:val="24"/>
                <w:szCs w:val="24"/>
                <w:highlight w:val="none"/>
                <w:u w:val="none"/>
                <w:lang w:val="en-US" w:eastAsia="zh-CN" w:bidi="ar"/>
              </w:rPr>
              <w:t>Kandelia candel</w:t>
            </w:r>
            <w:r>
              <w:rPr>
                <w:rFonts w:hint="default" w:ascii="Times New Roman" w:hAnsi="Times New Roman" w:eastAsia="宋体" w:cs="Times New Roman"/>
                <w:color w:val="auto"/>
                <w:kern w:val="0"/>
                <w:sz w:val="24"/>
                <w:szCs w:val="24"/>
                <w:highlight w:val="none"/>
                <w:u w:val="none"/>
                <w:lang w:val="en-US" w:eastAsia="zh-CN" w:bidi="ar"/>
              </w:rPr>
              <w:t>）、老鼠勒（</w:t>
            </w:r>
            <w:r>
              <w:rPr>
                <w:rFonts w:hint="default" w:ascii="Times New Roman" w:hAnsi="Times New Roman" w:eastAsia="宋体" w:cs="Times New Roman"/>
                <w:i/>
                <w:iCs/>
                <w:color w:val="auto"/>
                <w:kern w:val="0"/>
                <w:sz w:val="24"/>
                <w:szCs w:val="24"/>
                <w:highlight w:val="none"/>
                <w:u w:val="none"/>
                <w:lang w:val="en-US" w:eastAsia="zh-CN" w:bidi="ar"/>
              </w:rPr>
              <w:t>Acanthus ilicifolius</w:t>
            </w:r>
            <w:r>
              <w:rPr>
                <w:rFonts w:hint="default" w:ascii="Times New Roman" w:hAnsi="Times New Roman" w:eastAsia="宋体" w:cs="Times New Roman"/>
                <w:color w:val="auto"/>
                <w:kern w:val="0"/>
                <w:sz w:val="24"/>
                <w:szCs w:val="24"/>
                <w:highlight w:val="none"/>
                <w:u w:val="none"/>
                <w:lang w:val="en-US" w:eastAsia="zh-CN" w:bidi="ar"/>
              </w:rPr>
              <w:t>）、榄李（</w:t>
            </w:r>
            <w:r>
              <w:rPr>
                <w:rFonts w:hint="default" w:ascii="Times New Roman" w:hAnsi="Times New Roman" w:eastAsia="宋体" w:cs="Times New Roman"/>
                <w:i/>
                <w:iCs/>
                <w:color w:val="auto"/>
                <w:kern w:val="0"/>
                <w:sz w:val="24"/>
                <w:szCs w:val="24"/>
                <w:highlight w:val="none"/>
                <w:u w:val="none"/>
                <w:lang w:val="en-US" w:eastAsia="zh-CN" w:bidi="ar"/>
              </w:rPr>
              <w:t>Lumnitzera racemosa</w:t>
            </w:r>
            <w:r>
              <w:rPr>
                <w:rFonts w:hint="default" w:ascii="Times New Roman" w:hAnsi="Times New Roman" w:eastAsia="宋体" w:cs="Times New Roman"/>
                <w:color w:val="auto"/>
                <w:kern w:val="0"/>
                <w:sz w:val="24"/>
                <w:szCs w:val="24"/>
                <w:highlight w:val="none"/>
                <w:u w:val="none"/>
                <w:lang w:val="en-US" w:eastAsia="zh-CN" w:bidi="ar"/>
              </w:rPr>
              <w:t>）、海漆（</w:t>
            </w:r>
            <w:r>
              <w:rPr>
                <w:rFonts w:hint="default" w:ascii="Times New Roman" w:hAnsi="Times New Roman" w:eastAsia="宋体" w:cs="Times New Roman"/>
                <w:i/>
                <w:iCs/>
                <w:color w:val="auto"/>
                <w:kern w:val="0"/>
                <w:sz w:val="24"/>
                <w:szCs w:val="24"/>
                <w:highlight w:val="none"/>
                <w:u w:val="none"/>
                <w:lang w:val="en-US" w:eastAsia="zh-CN" w:bidi="ar"/>
              </w:rPr>
              <w:t>Excoecaria agallocha</w:t>
            </w:r>
            <w:r>
              <w:rPr>
                <w:rFonts w:hint="default" w:ascii="Times New Roman" w:hAnsi="Times New Roman" w:eastAsia="宋体" w:cs="Times New Roman"/>
                <w:color w:val="auto"/>
                <w:kern w:val="0"/>
                <w:sz w:val="24"/>
                <w:szCs w:val="24"/>
                <w:highlight w:val="none"/>
                <w:u w:val="none"/>
                <w:lang w:val="en-US" w:eastAsia="zh-CN" w:bidi="ar"/>
              </w:rPr>
              <w:t>）、桐花树（</w:t>
            </w:r>
            <w:r>
              <w:rPr>
                <w:rFonts w:hint="default" w:ascii="Times New Roman" w:hAnsi="Times New Roman" w:eastAsia="宋体" w:cs="Times New Roman"/>
                <w:i/>
                <w:iCs/>
                <w:color w:val="auto"/>
                <w:kern w:val="0"/>
                <w:sz w:val="24"/>
                <w:szCs w:val="24"/>
                <w:highlight w:val="none"/>
                <w:u w:val="none"/>
                <w:lang w:val="en-US" w:eastAsia="zh-CN" w:bidi="ar"/>
              </w:rPr>
              <w:t>Aegiceras corniculatum</w:t>
            </w:r>
            <w:r>
              <w:rPr>
                <w:rFonts w:hint="default" w:ascii="Times New Roman" w:hAnsi="Times New Roman" w:eastAsia="宋体" w:cs="Times New Roman"/>
                <w:color w:val="auto"/>
                <w:kern w:val="0"/>
                <w:sz w:val="24"/>
                <w:szCs w:val="24"/>
                <w:highlight w:val="none"/>
                <w:u w:val="none"/>
                <w:lang w:val="en-US" w:eastAsia="zh-CN" w:bidi="ar"/>
              </w:rPr>
              <w:t>）、白骨壤（</w:t>
            </w:r>
            <w:r>
              <w:rPr>
                <w:rFonts w:hint="default" w:ascii="Times New Roman" w:hAnsi="Times New Roman" w:eastAsia="宋体" w:cs="Times New Roman"/>
                <w:i/>
                <w:iCs/>
                <w:color w:val="auto"/>
                <w:kern w:val="0"/>
                <w:sz w:val="24"/>
                <w:szCs w:val="24"/>
                <w:highlight w:val="none"/>
                <w:u w:val="none"/>
                <w:lang w:val="en-US" w:eastAsia="zh-CN" w:bidi="ar"/>
              </w:rPr>
              <w:t>Avicennia marina</w:t>
            </w:r>
            <w:r>
              <w:rPr>
                <w:rFonts w:hint="default" w:ascii="Times New Roman" w:hAnsi="Times New Roman" w:eastAsia="宋体" w:cs="Times New Roman"/>
                <w:color w:val="auto"/>
                <w:kern w:val="0"/>
                <w:sz w:val="24"/>
                <w:szCs w:val="24"/>
                <w:highlight w:val="none"/>
                <w:u w:val="none"/>
                <w:lang w:val="en-US" w:eastAsia="zh-CN" w:bidi="ar"/>
              </w:rPr>
              <w:t>）、卤蕨（</w:t>
            </w:r>
            <w:r>
              <w:rPr>
                <w:rFonts w:hint="default" w:ascii="Times New Roman" w:hAnsi="Times New Roman" w:eastAsia="宋体" w:cs="Times New Roman"/>
                <w:i/>
                <w:iCs/>
                <w:color w:val="auto"/>
                <w:kern w:val="0"/>
                <w:sz w:val="24"/>
                <w:szCs w:val="24"/>
                <w:highlight w:val="none"/>
                <w:u w:val="none"/>
                <w:lang w:val="en-US" w:eastAsia="zh-CN" w:bidi="ar"/>
              </w:rPr>
              <w:t>Acrostichum aureurm</w:t>
            </w:r>
            <w:r>
              <w:rPr>
                <w:rFonts w:hint="default" w:ascii="Times New Roman" w:hAnsi="Times New Roman" w:eastAsia="宋体" w:cs="Times New Roman"/>
                <w:color w:val="auto"/>
                <w:kern w:val="0"/>
                <w:sz w:val="24"/>
                <w:szCs w:val="24"/>
                <w:highlight w:val="none"/>
                <w:u w:val="none"/>
                <w:lang w:val="en-US" w:eastAsia="zh-CN" w:bidi="ar"/>
              </w:rPr>
              <w:t>）。半红树植物4种，分别是：海芒果（</w:t>
            </w:r>
            <w:r>
              <w:rPr>
                <w:rFonts w:hint="default" w:ascii="Times New Roman" w:hAnsi="Times New Roman" w:eastAsia="宋体" w:cs="Times New Roman"/>
                <w:i/>
                <w:iCs/>
                <w:color w:val="auto"/>
                <w:kern w:val="0"/>
                <w:sz w:val="24"/>
                <w:szCs w:val="24"/>
                <w:highlight w:val="none"/>
                <w:u w:val="none"/>
                <w:lang w:val="en-US" w:eastAsia="zh-CN" w:bidi="ar"/>
              </w:rPr>
              <w:t>Cerbera manghas</w:t>
            </w:r>
            <w:r>
              <w:rPr>
                <w:rFonts w:hint="default" w:ascii="Times New Roman" w:hAnsi="Times New Roman" w:eastAsia="宋体" w:cs="Times New Roman"/>
                <w:color w:val="auto"/>
                <w:kern w:val="0"/>
                <w:sz w:val="24"/>
                <w:szCs w:val="24"/>
                <w:highlight w:val="none"/>
                <w:u w:val="none"/>
                <w:lang w:val="en-US" w:eastAsia="zh-CN" w:bidi="ar"/>
              </w:rPr>
              <w:t>）、黄槿（</w:t>
            </w:r>
            <w:r>
              <w:rPr>
                <w:rFonts w:hint="default" w:ascii="Times New Roman" w:hAnsi="Times New Roman" w:eastAsia="宋体" w:cs="Times New Roman"/>
                <w:i/>
                <w:iCs/>
                <w:color w:val="auto"/>
                <w:kern w:val="0"/>
                <w:sz w:val="24"/>
                <w:szCs w:val="24"/>
                <w:highlight w:val="none"/>
                <w:u w:val="none"/>
                <w:lang w:val="en-US" w:eastAsia="zh-CN" w:bidi="ar"/>
              </w:rPr>
              <w:t>Hibiscus tiliscus</w:t>
            </w:r>
            <w:r>
              <w:rPr>
                <w:rFonts w:hint="default" w:ascii="Times New Roman" w:hAnsi="Times New Roman" w:eastAsia="宋体" w:cs="Times New Roman"/>
                <w:color w:val="auto"/>
                <w:kern w:val="0"/>
                <w:sz w:val="24"/>
                <w:szCs w:val="24"/>
                <w:highlight w:val="none"/>
                <w:u w:val="none"/>
                <w:lang w:val="en-US" w:eastAsia="zh-CN" w:bidi="ar"/>
              </w:rPr>
              <w:t>）、杨叶肖槿（</w:t>
            </w:r>
            <w:r>
              <w:rPr>
                <w:rFonts w:hint="default" w:ascii="Times New Roman" w:hAnsi="Times New Roman" w:eastAsia="宋体" w:cs="Times New Roman"/>
                <w:i/>
                <w:iCs/>
                <w:color w:val="auto"/>
                <w:kern w:val="0"/>
                <w:sz w:val="24"/>
                <w:szCs w:val="24"/>
                <w:highlight w:val="none"/>
                <w:u w:val="none"/>
                <w:lang w:val="en-US" w:eastAsia="zh-CN" w:bidi="ar"/>
              </w:rPr>
              <w:t>Thespesia populnea</w:t>
            </w:r>
            <w:r>
              <w:rPr>
                <w:rFonts w:hint="default" w:ascii="Times New Roman" w:hAnsi="Times New Roman" w:eastAsia="宋体" w:cs="Times New Roman"/>
                <w:color w:val="auto"/>
                <w:kern w:val="0"/>
                <w:sz w:val="24"/>
                <w:szCs w:val="24"/>
                <w:highlight w:val="none"/>
                <w:u w:val="none"/>
                <w:lang w:val="en-US" w:eastAsia="zh-CN" w:bidi="ar"/>
              </w:rPr>
              <w:t>）和水黄皮（</w:t>
            </w:r>
            <w:r>
              <w:rPr>
                <w:rFonts w:hint="default" w:ascii="Times New Roman" w:hAnsi="Times New Roman" w:eastAsia="宋体" w:cs="Times New Roman"/>
                <w:i/>
                <w:iCs/>
                <w:color w:val="auto"/>
                <w:kern w:val="0"/>
                <w:sz w:val="24"/>
                <w:szCs w:val="24"/>
                <w:highlight w:val="none"/>
                <w:u w:val="none"/>
                <w:lang w:val="en-US" w:eastAsia="zh-CN" w:bidi="ar"/>
              </w:rPr>
              <w:t>Pongamia pinnata</w:t>
            </w:r>
            <w:r>
              <w:rPr>
                <w:rFonts w:hint="default" w:ascii="Times New Roman" w:hAnsi="Times New Roman" w:eastAsia="宋体" w:cs="Times New Roman"/>
                <w:color w:val="auto"/>
                <w:kern w:val="0"/>
                <w:sz w:val="24"/>
                <w:szCs w:val="24"/>
                <w:highlight w:val="none"/>
                <w:u w:val="none"/>
                <w:lang w:val="en-US" w:eastAsia="zh-CN" w:bidi="ar"/>
              </w:rPr>
              <w:t>）。真红树植物分布于潮间带，半红树植物和红树林伴生植物通常分布于受海水影响的潮上带及陆地海岸。红树林总面积2000hm</w:t>
            </w:r>
            <w:r>
              <w:rPr>
                <w:rFonts w:hint="default" w:ascii="Times New Roman" w:hAnsi="Times New Roman" w:eastAsia="宋体" w:cs="Times New Roman"/>
                <w:color w:val="auto"/>
                <w:kern w:val="0"/>
                <w:sz w:val="24"/>
                <w:szCs w:val="24"/>
                <w:highlight w:val="none"/>
                <w:u w:val="none"/>
                <w:vertAlign w:val="super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，比较集中连片的有茅尾海沿岸、水井坑、金鼓江、鹿耳环江以及大风江沿岸等区域，其中七十二泾生长着一片面积达667hm</w:t>
            </w:r>
            <w:r>
              <w:rPr>
                <w:rFonts w:hint="default" w:ascii="Times New Roman" w:hAnsi="Times New Roman" w:eastAsia="宋体" w:cs="Times New Roman"/>
                <w:color w:val="auto"/>
                <w:kern w:val="0"/>
                <w:sz w:val="24"/>
                <w:szCs w:val="24"/>
                <w:highlight w:val="none"/>
                <w:u w:val="none"/>
                <w:vertAlign w:val="super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的连片红树林。</w:t>
            </w:r>
          </w:p>
          <w:p w14:paraId="6E12FD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七十二泾是茅尾海内海中的一个群岛，位于钦州市城区南约25km，居钦州湾中部，</w:t>
            </w:r>
            <w:r>
              <w:rPr>
                <w:rFonts w:hint="default" w:ascii="Times New Roman" w:hAnsi="Times New Roman" w:eastAsia="宋体" w:cs="Times New Roman"/>
                <w:color w:val="auto"/>
                <w:kern w:val="0"/>
                <w:sz w:val="24"/>
                <w:szCs w:val="24"/>
                <w:highlight w:val="none"/>
                <w:u w:val="none"/>
                <w:lang w:val="en-US" w:eastAsia="zh-CN" w:bidi="ar"/>
              </w:rPr>
              <w:t>在规划区西面相邻处，主要由龙门岛、亚公山等一百多个岛屿和无数礁石组成，总面积约9.8km</w:t>
            </w:r>
            <w:r>
              <w:rPr>
                <w:rFonts w:hint="default" w:ascii="Times New Roman" w:hAnsi="Times New Roman" w:eastAsia="宋体" w:cs="Times New Roman"/>
                <w:color w:val="auto"/>
                <w:kern w:val="0"/>
                <w:sz w:val="24"/>
                <w:szCs w:val="24"/>
                <w:highlight w:val="none"/>
                <w:u w:val="none"/>
                <w:vertAlign w:val="superscript"/>
                <w:lang w:val="en-US" w:eastAsia="zh-CN" w:bidi="ar"/>
              </w:rPr>
              <w:t>2</w:t>
            </w:r>
            <w:r>
              <w:rPr>
                <w:rFonts w:hint="default" w:ascii="Times New Roman" w:hAnsi="Times New Roman" w:eastAsia="宋体" w:cs="Times New Roman"/>
                <w:color w:val="auto"/>
                <w:kern w:val="0"/>
                <w:sz w:val="24"/>
                <w:szCs w:val="24"/>
                <w:highlight w:val="none"/>
                <w:u w:val="none"/>
                <w:lang w:val="en-US" w:eastAsia="zh-CN" w:bidi="ar"/>
              </w:rPr>
              <w:t>。七十二泾红树林中，白骨壤占优，其次为桐花树，偶有其他品种散布其中。白骨壤、桐花树群落主要分布在低潮线一带，生长由地势分类，群落中的外缘一般为白骨壤，桐花树内藏其中，群落中大潮时，白骨壤树干几乎被全部淹没，桐花树则被淹没一半左右。</w:t>
            </w:r>
          </w:p>
          <w:p w14:paraId="218A80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u w:val="none"/>
                <w:lang w:val="en-US" w:eastAsia="zh-CN" w:bidi="ar"/>
              </w:rPr>
            </w:pPr>
            <w:r>
              <w:rPr>
                <w:rFonts w:hint="eastAsia" w:ascii="Times New Roman" w:hAnsi="Times New Roman" w:eastAsia="宋体" w:cs="Times New Roman"/>
                <w:b/>
                <w:bCs/>
                <w:color w:val="auto"/>
                <w:kern w:val="0"/>
                <w:sz w:val="24"/>
                <w:szCs w:val="24"/>
                <w:highlight w:val="none"/>
                <w:u w:val="none"/>
                <w:lang w:val="en-US" w:eastAsia="zh-CN" w:bidi="ar"/>
              </w:rPr>
              <w:t>③七十二泾旅游休闲娱乐区</w:t>
            </w:r>
          </w:p>
          <w:p w14:paraId="5F39E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旅游休闲娱乐区是指适于开发利用滨海和海上旅游资源，可供旅游景区开发和海上文体娱乐活动场所建设的海域，包括风景旅游区和文体休闲娱乐区。</w:t>
            </w:r>
          </w:p>
          <w:p w14:paraId="3C43D6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七十二泾旅游休闲娱乐区位于茅尾海东岸七十二泾海域，包括东经108°32′55″~108°35′47″，北纬21°44′28″~21°47′53″，总面积为1846hm</w:t>
            </w:r>
            <w:r>
              <w:rPr>
                <w:rFonts w:hint="eastAsia" w:ascii="Times New Roman" w:hAnsi="Times New Roman" w:eastAsia="宋体" w:cs="Times New Roman"/>
                <w:b w:val="0"/>
                <w:bCs w:val="0"/>
                <w:color w:val="auto"/>
                <w:kern w:val="0"/>
                <w:sz w:val="24"/>
                <w:szCs w:val="24"/>
                <w:highlight w:val="none"/>
                <w:u w:val="none"/>
                <w:vertAlign w:val="superscript"/>
                <w:lang w:val="en-US" w:eastAsia="zh-CN" w:bidi="ar"/>
              </w:rPr>
              <w:t>2</w:t>
            </w:r>
            <w:r>
              <w:rPr>
                <w:rFonts w:hint="eastAsia" w:ascii="Times New Roman" w:hAnsi="Times New Roman" w:eastAsia="宋体" w:cs="Times New Roman"/>
                <w:b w:val="0"/>
                <w:bCs w:val="0"/>
                <w:color w:val="auto"/>
                <w:kern w:val="0"/>
                <w:sz w:val="24"/>
                <w:szCs w:val="24"/>
                <w:highlight w:val="none"/>
                <w:u w:val="none"/>
                <w:lang w:val="en-US" w:eastAsia="zh-CN" w:bidi="ar"/>
              </w:rPr>
              <w:t>，用海方式上允许适度改变海域自然属性；合理控制旅游开发强度，完善旅游基础设施建设；严格控制填海连岛。</w:t>
            </w:r>
          </w:p>
          <w:p w14:paraId="6026C4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旅游区的污水和生活垃圾处理，必须实现达标排放和科学处置，禁止直接排海。修复受损区域景观，养护退化的海滨沙滩浴场。旅游休闲娱乐区中的海岛可用于旅游基础设施建设，加强海岛生态系统保护与修复。旅游休闲娱乐区执行不劣于二类海水水质标准。</w:t>
            </w:r>
          </w:p>
          <w:p w14:paraId="5FBA49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u w:val="none"/>
                <w:lang w:val="en-US" w:eastAsia="zh-CN" w:bidi="ar"/>
              </w:rPr>
            </w:pPr>
            <w:r>
              <w:rPr>
                <w:rFonts w:hint="eastAsia" w:ascii="Times New Roman" w:hAnsi="Times New Roman" w:eastAsia="宋体" w:cs="Times New Roman"/>
                <w:b/>
                <w:bCs/>
                <w:color w:val="auto"/>
                <w:kern w:val="0"/>
                <w:sz w:val="24"/>
                <w:szCs w:val="24"/>
                <w:highlight w:val="none"/>
                <w:u w:val="none"/>
                <w:lang w:val="en-US" w:eastAsia="zh-CN" w:bidi="ar"/>
              </w:rPr>
              <w:t>④钦州港青菜头南浅海滩涂养殖区</w:t>
            </w:r>
          </w:p>
          <w:p w14:paraId="626A64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lang w:val="en-US" w:eastAsia="zh-CN" w:bidi="ar"/>
              </w:rPr>
            </w:pPr>
            <w:r>
              <w:rPr>
                <w:rFonts w:hint="eastAsia" w:ascii="Times New Roman" w:hAnsi="Times New Roman" w:eastAsia="宋体" w:cs="Times New Roman"/>
                <w:color w:val="auto"/>
                <w:kern w:val="0"/>
                <w:sz w:val="24"/>
                <w:szCs w:val="24"/>
                <w:highlight w:val="none"/>
                <w:u w:val="none"/>
                <w:lang w:val="en-US" w:eastAsia="zh-CN" w:bidi="ar"/>
              </w:rPr>
              <w:t>根据《钦州市养殖水域滩涂规划》（2019-2030），</w:t>
            </w:r>
            <w:r>
              <w:rPr>
                <w:rFonts w:hint="default" w:ascii="Times New Roman" w:hAnsi="Times New Roman" w:eastAsia="宋体" w:cs="Times New Roman"/>
                <w:color w:val="auto"/>
                <w:kern w:val="0"/>
                <w:sz w:val="24"/>
                <w:szCs w:val="24"/>
                <w:highlight w:val="none"/>
                <w:u w:val="none"/>
                <w:lang w:val="en-US" w:eastAsia="zh-CN" w:bidi="ar"/>
              </w:rPr>
              <w:t>钦州港青菜头南 浅海滩涂养殖区</w:t>
            </w:r>
            <w:r>
              <w:rPr>
                <w:rFonts w:hint="eastAsia" w:ascii="Times New Roman" w:hAnsi="Times New Roman" w:eastAsia="宋体" w:cs="Times New Roman"/>
                <w:color w:val="auto"/>
                <w:kern w:val="0"/>
                <w:sz w:val="24"/>
                <w:szCs w:val="24"/>
                <w:highlight w:val="none"/>
                <w:u w:val="none"/>
                <w:lang w:val="en-US" w:eastAsia="zh-CN" w:bidi="ar"/>
              </w:rPr>
              <w:t>位于</w:t>
            </w:r>
            <w:r>
              <w:rPr>
                <w:rFonts w:hint="default" w:ascii="Times New Roman" w:hAnsi="Times New Roman" w:eastAsia="宋体" w:cs="Times New Roman"/>
                <w:color w:val="auto"/>
                <w:kern w:val="0"/>
                <w:sz w:val="24"/>
                <w:szCs w:val="24"/>
                <w:highlight w:val="none"/>
                <w:u w:val="none"/>
                <w:lang w:val="en-US" w:eastAsia="zh-CN" w:bidi="ar"/>
              </w:rPr>
              <w:t>西航道以东，传统中航道以西，北至青菜头，南至伞沙尾海域 （108°35′24″；108°37′56″；21°34′09″；21°40′32″）</w:t>
            </w:r>
            <w:r>
              <w:rPr>
                <w:rFonts w:hint="eastAsia" w:ascii="Times New Roman" w:hAnsi="Times New Roman" w:eastAsia="宋体" w:cs="Times New Roman"/>
                <w:color w:val="auto"/>
                <w:kern w:val="0"/>
                <w:sz w:val="24"/>
                <w:szCs w:val="24"/>
                <w:highlight w:val="none"/>
                <w:u w:val="none"/>
                <w:lang w:val="en-US" w:eastAsia="zh-CN" w:bidi="ar"/>
              </w:rPr>
              <w:t>，养殖区面积为3649hm</w:t>
            </w:r>
            <w:r>
              <w:rPr>
                <w:rFonts w:hint="eastAsia" w:ascii="Times New Roman" w:hAnsi="Times New Roman" w:eastAsia="宋体" w:cs="Times New Roman"/>
                <w:color w:val="auto"/>
                <w:kern w:val="0"/>
                <w:sz w:val="24"/>
                <w:szCs w:val="24"/>
                <w:highlight w:val="none"/>
                <w:u w:val="none"/>
                <w:vertAlign w:val="superscript"/>
                <w:lang w:val="en-US" w:eastAsia="zh-CN" w:bidi="ar"/>
              </w:rPr>
              <w:t>2</w:t>
            </w:r>
            <w:r>
              <w:rPr>
                <w:rFonts w:hint="eastAsia" w:ascii="Times New Roman" w:hAnsi="Times New Roman" w:eastAsia="宋体" w:cs="Times New Roman"/>
                <w:color w:val="auto"/>
                <w:kern w:val="0"/>
                <w:sz w:val="24"/>
                <w:szCs w:val="24"/>
                <w:highlight w:val="none"/>
                <w:u w:val="none"/>
                <w:lang w:val="en-US" w:eastAsia="zh-CN" w:bidi="ar"/>
              </w:rPr>
              <w:t>，养殖区贝类（大蚝）浮筏吊养殖。海水水质执行不劣于二类标准，海洋沉积物和海洋生物执行一类标准。</w:t>
            </w:r>
          </w:p>
          <w:p w14:paraId="0BBA88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u w:val="none"/>
                <w:lang w:val="en-US" w:eastAsia="zh-CN" w:bidi="ar"/>
              </w:rPr>
            </w:pPr>
            <w:r>
              <w:rPr>
                <w:rFonts w:hint="eastAsia" w:ascii="Times New Roman" w:hAnsi="Times New Roman" w:eastAsia="宋体" w:cs="Times New Roman"/>
                <w:b/>
                <w:bCs/>
                <w:color w:val="auto"/>
                <w:kern w:val="0"/>
                <w:sz w:val="24"/>
                <w:szCs w:val="24"/>
                <w:highlight w:val="none"/>
                <w:u w:val="none"/>
                <w:lang w:val="en-US" w:eastAsia="zh-CN" w:bidi="ar"/>
              </w:rPr>
              <w:t>⑤生态红线</w:t>
            </w:r>
          </w:p>
          <w:p w14:paraId="585E9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项目评价范围涉及广西茅尾海红树林保护区限制类红线区、七十二泾重要滨海旅游区限制类红线区，项目不占用生态红线，根据《广西壮族自治区国土空间规划（2021-2035年）》，自然保护区开发活动执行《中华人民共和国自然保护区条例》的有关规定，禁止在自然保护区内进行砍伐、放牧、狩猎、捕捞、采药、开垦、烧荒、开矿、采石、挖沙等活动；在重要滨海旅游区限制类红线区内禁止试图可能改变或影响滨海旅游的开发建设活动。</w:t>
            </w:r>
          </w:p>
          <w:p w14:paraId="21ECE6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u w:val="none"/>
                <w:lang w:val="en-US" w:eastAsia="zh-CN" w:bidi="ar"/>
              </w:rPr>
            </w:pPr>
            <w:r>
              <w:rPr>
                <w:rFonts w:hint="eastAsia" w:ascii="Times New Roman" w:hAnsi="Times New Roman" w:eastAsia="宋体" w:cs="Times New Roman"/>
                <w:b/>
                <w:bCs/>
                <w:color w:val="auto"/>
                <w:kern w:val="0"/>
                <w:sz w:val="24"/>
                <w:szCs w:val="24"/>
                <w:highlight w:val="none"/>
                <w:u w:val="none"/>
                <w:lang w:val="en-US" w:eastAsia="zh-CN" w:bidi="ar"/>
              </w:rPr>
              <w:t>⑥重要湿地</w:t>
            </w:r>
          </w:p>
          <w:p w14:paraId="1AE433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none"/>
                <w:lang w:val="en-US" w:eastAsia="zh-CN" w:bidi="ar"/>
              </w:rPr>
            </w:pPr>
            <w:r>
              <w:rPr>
                <w:rFonts w:hint="eastAsia" w:ascii="Times New Roman" w:hAnsi="Times New Roman" w:eastAsia="宋体" w:cs="Times New Roman"/>
                <w:b w:val="0"/>
                <w:bCs w:val="0"/>
                <w:color w:val="auto"/>
                <w:kern w:val="0"/>
                <w:sz w:val="24"/>
                <w:szCs w:val="24"/>
                <w:highlight w:val="none"/>
                <w:u w:val="none"/>
                <w:lang w:val="en-US" w:eastAsia="zh-CN" w:bidi="ar"/>
              </w:rPr>
              <w:t>根据《广西壮族自治区林业局关于公布第一批自治区重要湿地名录的通知》（桂林发〔2020〕20号）、《广西壮族自治区林业局关于公布第二批自治区重要湿地名录的通知》（桂林发〔2022〕13号），项目不涉及广西壮族自治区级重要湿地，评价范围内分布有</w:t>
            </w:r>
            <w:r>
              <w:rPr>
                <w:rFonts w:hint="default" w:ascii="Times New Roman" w:hAnsi="Times New Roman" w:eastAsia="宋体" w:cs="Times New Roman"/>
                <w:b w:val="0"/>
                <w:bCs w:val="0"/>
                <w:color w:val="auto"/>
                <w:kern w:val="0"/>
                <w:sz w:val="24"/>
                <w:szCs w:val="24"/>
                <w:highlight w:val="none"/>
                <w:u w:val="none"/>
                <w:lang w:val="en-US" w:eastAsia="zh-CN" w:bidi="ar"/>
              </w:rPr>
              <w:t>广西</w:t>
            </w:r>
            <w:r>
              <w:rPr>
                <w:rFonts w:hint="eastAsia" w:ascii="Times New Roman" w:hAnsi="Times New Roman" w:eastAsia="宋体" w:cs="Times New Roman"/>
                <w:b w:val="0"/>
                <w:bCs w:val="0"/>
                <w:color w:val="auto"/>
                <w:kern w:val="0"/>
                <w:sz w:val="24"/>
                <w:szCs w:val="24"/>
                <w:highlight w:val="none"/>
                <w:u w:val="none"/>
                <w:lang w:val="en-US" w:eastAsia="zh-CN" w:bidi="ar"/>
              </w:rPr>
              <w:t>钦州</w:t>
            </w:r>
            <w:r>
              <w:rPr>
                <w:rFonts w:hint="default" w:ascii="Times New Roman" w:hAnsi="Times New Roman" w:eastAsia="宋体" w:cs="Times New Roman"/>
                <w:b w:val="0"/>
                <w:bCs w:val="0"/>
                <w:color w:val="auto"/>
                <w:kern w:val="0"/>
                <w:sz w:val="24"/>
                <w:szCs w:val="24"/>
                <w:highlight w:val="none"/>
                <w:u w:val="none"/>
                <w:lang w:val="en-US" w:eastAsia="zh-CN" w:bidi="ar"/>
              </w:rPr>
              <w:t>茅尾海红树林自治区级重要湿地</w:t>
            </w:r>
            <w:r>
              <w:rPr>
                <w:rFonts w:hint="eastAsia" w:ascii="Times New Roman" w:hAnsi="Times New Roman" w:eastAsia="宋体" w:cs="Times New Roman"/>
                <w:b w:val="0"/>
                <w:bCs w:val="0"/>
                <w:color w:val="auto"/>
                <w:kern w:val="0"/>
                <w:sz w:val="24"/>
                <w:szCs w:val="24"/>
                <w:highlight w:val="none"/>
                <w:u w:val="none"/>
                <w:lang w:val="en-US" w:eastAsia="zh-CN" w:bidi="ar"/>
              </w:rPr>
              <w:t>。</w:t>
            </w:r>
          </w:p>
          <w:p w14:paraId="0EF58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u w:val="none"/>
                <w:lang w:val="en-US" w:eastAsia="zh-CN" w:bidi="ar"/>
              </w:rPr>
            </w:pPr>
            <w:r>
              <w:rPr>
                <w:rFonts w:hint="default" w:ascii="Times New Roman" w:hAnsi="Times New Roman" w:eastAsia="宋体" w:cs="Times New Roman"/>
                <w:b w:val="0"/>
                <w:bCs w:val="0"/>
                <w:color w:val="auto"/>
                <w:kern w:val="0"/>
                <w:sz w:val="24"/>
                <w:szCs w:val="24"/>
                <w:highlight w:val="none"/>
                <w:u w:val="none"/>
                <w:lang w:val="en-US" w:eastAsia="zh-CN" w:bidi="ar"/>
              </w:rPr>
              <w:t>广西</w:t>
            </w:r>
            <w:r>
              <w:rPr>
                <w:rFonts w:hint="eastAsia" w:ascii="Times New Roman" w:hAnsi="Times New Roman" w:eastAsia="宋体" w:cs="Times New Roman"/>
                <w:b w:val="0"/>
                <w:bCs w:val="0"/>
                <w:color w:val="auto"/>
                <w:kern w:val="0"/>
                <w:sz w:val="24"/>
                <w:szCs w:val="24"/>
                <w:highlight w:val="none"/>
                <w:u w:val="none"/>
                <w:lang w:val="en-US" w:eastAsia="zh-CN" w:bidi="ar"/>
              </w:rPr>
              <w:t>钦州</w:t>
            </w:r>
            <w:r>
              <w:rPr>
                <w:rFonts w:hint="default" w:ascii="Times New Roman" w:hAnsi="Times New Roman" w:eastAsia="宋体" w:cs="Times New Roman"/>
                <w:b w:val="0"/>
                <w:bCs w:val="0"/>
                <w:color w:val="auto"/>
                <w:kern w:val="0"/>
                <w:sz w:val="24"/>
                <w:szCs w:val="24"/>
                <w:highlight w:val="none"/>
                <w:u w:val="none"/>
                <w:lang w:val="en-US" w:eastAsia="zh-CN" w:bidi="ar"/>
              </w:rPr>
              <w:t>茅尾海红树林自治区级重要湿地位于项目西北侧，</w:t>
            </w:r>
            <w:r>
              <w:rPr>
                <w:rFonts w:hint="eastAsia" w:ascii="Times New Roman" w:hAnsi="Times New Roman" w:eastAsia="宋体" w:cs="Times New Roman"/>
                <w:b w:val="0"/>
                <w:bCs w:val="0"/>
                <w:color w:val="auto"/>
                <w:kern w:val="0"/>
                <w:sz w:val="24"/>
                <w:szCs w:val="24"/>
                <w:highlight w:val="none"/>
                <w:u w:val="none"/>
                <w:lang w:val="en-US" w:eastAsia="zh-CN" w:bidi="ar"/>
              </w:rPr>
              <w:t>湿地总面积约4908.63hm</w:t>
            </w:r>
            <w:r>
              <w:rPr>
                <w:rFonts w:hint="eastAsia" w:ascii="Times New Roman" w:hAnsi="Times New Roman" w:eastAsia="宋体" w:cs="Times New Roman"/>
                <w:b w:val="0"/>
                <w:bCs w:val="0"/>
                <w:color w:val="auto"/>
                <w:kern w:val="0"/>
                <w:sz w:val="24"/>
                <w:szCs w:val="24"/>
                <w:highlight w:val="none"/>
                <w:u w:val="none"/>
                <w:vertAlign w:val="superscript"/>
                <w:lang w:val="en-US" w:eastAsia="zh-CN" w:bidi="ar"/>
              </w:rPr>
              <w:t>2</w:t>
            </w:r>
            <w:r>
              <w:rPr>
                <w:rFonts w:hint="eastAsia" w:ascii="Times New Roman" w:hAnsi="Times New Roman" w:eastAsia="宋体" w:cs="Times New Roman"/>
                <w:b w:val="0"/>
                <w:bCs w:val="0"/>
                <w:color w:val="auto"/>
                <w:kern w:val="0"/>
                <w:sz w:val="24"/>
                <w:szCs w:val="24"/>
                <w:highlight w:val="none"/>
                <w:u w:val="none"/>
                <w:lang w:val="en-US" w:eastAsia="zh-CN" w:bidi="ar"/>
              </w:rPr>
              <w:t>，湿地类型为近海与海岸湿地。</w:t>
            </w:r>
            <w:r>
              <w:rPr>
                <w:rFonts w:hint="default" w:ascii="Times New Roman" w:hAnsi="Times New Roman" w:eastAsia="宋体" w:cs="Times New Roman"/>
                <w:b w:val="0"/>
                <w:bCs w:val="0"/>
                <w:color w:val="auto"/>
                <w:kern w:val="0"/>
                <w:sz w:val="24"/>
                <w:szCs w:val="24"/>
                <w:highlight w:val="none"/>
                <w:u w:val="none"/>
                <w:lang w:val="en-US" w:eastAsia="zh-CN" w:bidi="ar"/>
              </w:rPr>
              <w:t>项目不涉及占用重要湿地，</w:t>
            </w:r>
            <w:r>
              <w:rPr>
                <w:rFonts w:hint="eastAsia" w:ascii="Times New Roman" w:hAnsi="Times New Roman" w:eastAsia="宋体" w:cs="Times New Roman"/>
                <w:b w:val="0"/>
                <w:bCs w:val="0"/>
                <w:color w:val="auto"/>
                <w:kern w:val="0"/>
                <w:sz w:val="24"/>
                <w:szCs w:val="24"/>
                <w:highlight w:val="none"/>
                <w:u w:val="none"/>
                <w:lang w:val="en-US" w:eastAsia="zh-CN" w:bidi="ar"/>
              </w:rPr>
              <w:t>项目与七十二泾片最近距离约4.9km；</w:t>
            </w:r>
          </w:p>
          <w:p w14:paraId="6FE4B00B">
            <w:pPr>
              <w:spacing w:line="360" w:lineRule="auto"/>
              <w:ind w:firstLine="422" w:firstLineChars="20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表3.3-</w:t>
            </w:r>
            <w:r>
              <w:rPr>
                <w:rFonts w:hint="eastAsia" w:cs="Times New Roman"/>
                <w:b/>
                <w:bCs/>
                <w:color w:val="auto"/>
                <w:szCs w:val="21"/>
                <w:highlight w:val="none"/>
                <w:lang w:val="en-US" w:eastAsia="zh-CN"/>
              </w:rPr>
              <w:t>1</w:t>
            </w:r>
            <w:r>
              <w:rPr>
                <w:rFonts w:hint="eastAsia" w:ascii="Times New Roman" w:hAnsi="Times New Roman" w:eastAsia="宋体" w:cs="Times New Roman"/>
                <w:b/>
                <w:bCs/>
                <w:color w:val="auto"/>
                <w:szCs w:val="21"/>
                <w:highlight w:val="none"/>
                <w:lang w:val="en-US" w:eastAsia="zh-CN"/>
              </w:rPr>
              <w:t xml:space="preserve"> 项目周边环境保护目标一览表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702"/>
              <w:gridCol w:w="1599"/>
              <w:gridCol w:w="844"/>
              <w:gridCol w:w="931"/>
              <w:gridCol w:w="3789"/>
            </w:tblGrid>
            <w:tr w14:paraId="5D38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3DCCDCC9">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序号</w:t>
                  </w:r>
                </w:p>
              </w:tc>
              <w:tc>
                <w:tcPr>
                  <w:tcW w:w="422" w:type="pct"/>
                  <w:noWrap w:val="0"/>
                  <w:vAlign w:val="center"/>
                </w:tcPr>
                <w:p w14:paraId="69AD7E3C">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环境</w:t>
                  </w:r>
                </w:p>
                <w:p w14:paraId="76A18F3C">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要素</w:t>
                  </w:r>
                </w:p>
              </w:tc>
              <w:tc>
                <w:tcPr>
                  <w:tcW w:w="962" w:type="pct"/>
                  <w:noWrap w:val="0"/>
                  <w:vAlign w:val="center"/>
                </w:tcPr>
                <w:p w14:paraId="6913BC1B">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敏感点名称</w:t>
                  </w:r>
                </w:p>
              </w:tc>
              <w:tc>
                <w:tcPr>
                  <w:tcW w:w="508" w:type="pct"/>
                  <w:noWrap w:val="0"/>
                  <w:vAlign w:val="center"/>
                </w:tcPr>
                <w:p w14:paraId="39CACCE4">
                  <w:pPr>
                    <w:snapToGrid w:val="0"/>
                    <w:jc w:val="center"/>
                    <w:rPr>
                      <w:rFonts w:hint="default"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相对工程位置/距离</w:t>
                  </w:r>
                </w:p>
              </w:tc>
              <w:tc>
                <w:tcPr>
                  <w:tcW w:w="560" w:type="pct"/>
                  <w:noWrap w:val="0"/>
                  <w:vAlign w:val="center"/>
                </w:tcPr>
                <w:p w14:paraId="6A48B8BC">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保护内容</w:t>
                  </w:r>
                </w:p>
              </w:tc>
              <w:tc>
                <w:tcPr>
                  <w:tcW w:w="2279" w:type="pct"/>
                  <w:noWrap w:val="0"/>
                  <w:vAlign w:val="center"/>
                </w:tcPr>
                <w:p w14:paraId="2DD4FA09">
                  <w:pPr>
                    <w:snapToGrid w:val="0"/>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eastAsia="宋体" w:cs="Times New Roman"/>
                      <w:b/>
                      <w:bCs/>
                      <w:color w:val="auto"/>
                      <w:szCs w:val="21"/>
                      <w:highlight w:val="none"/>
                      <w:vertAlign w:val="baseline"/>
                      <w:lang w:val="en-US" w:eastAsia="zh-CN"/>
                    </w:rPr>
                    <w:t>基本情况</w:t>
                  </w:r>
                </w:p>
              </w:tc>
            </w:tr>
            <w:tr w14:paraId="52E1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60E2DCD5">
                  <w:pPr>
                    <w:snapToGrid w:val="0"/>
                    <w:jc w:val="both"/>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1</w:t>
                  </w:r>
                </w:p>
              </w:tc>
              <w:tc>
                <w:tcPr>
                  <w:tcW w:w="422" w:type="pct"/>
                  <w:noWrap w:val="0"/>
                  <w:vAlign w:val="center"/>
                </w:tcPr>
                <w:p w14:paraId="29823D35">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声环境</w:t>
                  </w:r>
                </w:p>
              </w:tc>
              <w:tc>
                <w:tcPr>
                  <w:tcW w:w="4309" w:type="pct"/>
                  <w:gridSpan w:val="4"/>
                  <w:noWrap w:val="0"/>
                  <w:vAlign w:val="center"/>
                </w:tcPr>
                <w:p w14:paraId="144D72C6">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200m范围内无声环境保护目标</w:t>
                  </w:r>
                </w:p>
              </w:tc>
            </w:tr>
            <w:tr w14:paraId="4F7D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79D7B057">
                  <w:pPr>
                    <w:snapToGrid w:val="0"/>
                    <w:jc w:val="both"/>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2</w:t>
                  </w:r>
                </w:p>
              </w:tc>
              <w:tc>
                <w:tcPr>
                  <w:tcW w:w="422" w:type="pct"/>
                  <w:noWrap w:val="0"/>
                  <w:vAlign w:val="center"/>
                </w:tcPr>
                <w:p w14:paraId="65B932A4">
                  <w:pPr>
                    <w:snapToGrid w:val="0"/>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环境</w:t>
                  </w:r>
                </w:p>
                <w:p w14:paraId="61DBAE6D">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空气</w:t>
                  </w:r>
                </w:p>
              </w:tc>
              <w:tc>
                <w:tcPr>
                  <w:tcW w:w="4309" w:type="pct"/>
                  <w:gridSpan w:val="4"/>
                  <w:noWrap w:val="0"/>
                  <w:vAlign w:val="center"/>
                </w:tcPr>
                <w:p w14:paraId="014F07F4">
                  <w:pPr>
                    <w:snapToGrid w:val="0"/>
                    <w:jc w:val="center"/>
                    <w:rPr>
                      <w:rFonts w:hint="default" w:ascii="Times New Roman" w:hAnsi="Times New Roman" w:eastAsia="宋体" w:cs="Times New Roman"/>
                      <w:b w:val="0"/>
                      <w:bCs w:val="0"/>
                      <w:color w:val="auto"/>
                      <w:szCs w:val="21"/>
                      <w:highlight w:val="none"/>
                      <w:vertAlign w:val="baseline"/>
                      <w:lang w:val="en-US" w:eastAsia="zh-CN"/>
                    </w:rPr>
                  </w:pPr>
                  <w:r>
                    <w:rPr>
                      <w:rFonts w:hint="eastAsia" w:ascii="Times New Roman" w:hAnsi="Times New Roman" w:eastAsia="宋体" w:cs="Times New Roman"/>
                      <w:b w:val="0"/>
                      <w:bCs w:val="0"/>
                      <w:color w:val="auto"/>
                      <w:szCs w:val="21"/>
                      <w:highlight w:val="none"/>
                      <w:vertAlign w:val="baseline"/>
                      <w:lang w:val="en-US" w:eastAsia="zh-CN"/>
                    </w:rPr>
                    <w:t>500m范围内无环境空气保护目标</w:t>
                  </w:r>
                </w:p>
              </w:tc>
            </w:tr>
            <w:tr w14:paraId="553C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6115EE4C">
                  <w:pPr>
                    <w:snapToGrid w:val="0"/>
                    <w:jc w:val="cente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Cs w:val="21"/>
                      <w:highlight w:val="none"/>
                      <w:u w:val="none"/>
                      <w:vertAlign w:val="baseline"/>
                      <w:lang w:val="en-US" w:eastAsia="zh-CN"/>
                    </w:rPr>
                    <w:t>3</w:t>
                  </w:r>
                </w:p>
              </w:tc>
              <w:tc>
                <w:tcPr>
                  <w:tcW w:w="422" w:type="pct"/>
                  <w:vMerge w:val="restart"/>
                  <w:noWrap w:val="0"/>
                  <w:vAlign w:val="center"/>
                </w:tcPr>
                <w:p w14:paraId="17CC4293">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海洋生态、环境风险</w:t>
                  </w:r>
                </w:p>
              </w:tc>
              <w:tc>
                <w:tcPr>
                  <w:tcW w:w="962" w:type="pct"/>
                  <w:noWrap w:val="0"/>
                  <w:vAlign w:val="center"/>
                </w:tcPr>
                <w:p w14:paraId="426690CB">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金鼓江上游红树林区</w:t>
                  </w:r>
                </w:p>
              </w:tc>
              <w:tc>
                <w:tcPr>
                  <w:tcW w:w="508" w:type="pct"/>
                  <w:noWrap w:val="0"/>
                  <w:vAlign w:val="center"/>
                </w:tcPr>
                <w:p w14:paraId="33D6DD76">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北/2.6km</w:t>
                  </w:r>
                </w:p>
              </w:tc>
              <w:tc>
                <w:tcPr>
                  <w:tcW w:w="560" w:type="pct"/>
                  <w:noWrap w:val="0"/>
                  <w:vAlign w:val="center"/>
                </w:tcPr>
                <w:p w14:paraId="0271FB0F">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生物多样性维持和恢复红树一类水质</w:t>
                  </w:r>
                </w:p>
              </w:tc>
              <w:tc>
                <w:tcPr>
                  <w:tcW w:w="2279" w:type="pct"/>
                  <w:noWrap w:val="0"/>
                  <w:vAlign w:val="center"/>
                </w:tcPr>
                <w:p w14:paraId="75339EE6">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 xml:space="preserve">钦州湾岸线曲折，港汊众多，岛屿棋 布，红树林滩涂发育，区划金鼓江上游 </w:t>
                  </w:r>
                  <w:r>
                    <w:rPr>
                      <w:rFonts w:hint="default" w:ascii="Times New Roman" w:hAnsi="Times New Roman" w:eastAsia="宋体" w:cs="Times New Roman"/>
                      <w:b w:val="0"/>
                      <w:bCs w:val="0"/>
                      <w:color w:val="auto"/>
                      <w:szCs w:val="21"/>
                      <w:highlight w:val="none"/>
                      <w:u w:val="none"/>
                      <w:vertAlign w:val="baseline"/>
                      <w:lang w:val="en-US" w:eastAsia="zh-CN"/>
                    </w:rPr>
                    <w:t>200 hm</w:t>
                  </w:r>
                  <w:r>
                    <w:rPr>
                      <w:rFonts w:hint="default" w:ascii="Times New Roman" w:hAnsi="Times New Roman" w:eastAsia="宋体" w:cs="Times New Roman"/>
                      <w:b w:val="0"/>
                      <w:bCs w:val="0"/>
                      <w:color w:val="auto"/>
                      <w:szCs w:val="21"/>
                      <w:highlight w:val="none"/>
                      <w:u w:val="none"/>
                      <w:vertAlign w:val="superscript"/>
                      <w:lang w:val="en-US" w:eastAsia="zh-CN"/>
                    </w:rPr>
                    <w:t>2</w:t>
                  </w:r>
                  <w:r>
                    <w:rPr>
                      <w:rFonts w:hint="eastAsia" w:ascii="Times New Roman" w:hAnsi="Times New Roman" w:eastAsia="宋体" w:cs="Times New Roman"/>
                      <w:b w:val="0"/>
                      <w:bCs w:val="0"/>
                      <w:color w:val="auto"/>
                      <w:szCs w:val="21"/>
                      <w:highlight w:val="none"/>
                      <w:u w:val="none"/>
                      <w:vertAlign w:val="baseline"/>
                      <w:lang w:val="en-US" w:eastAsia="zh-CN"/>
                    </w:rPr>
                    <w:t>为红树林区，加强红树林 保护和恢复，维护海湾生态平衡。</w:t>
                  </w:r>
                </w:p>
              </w:tc>
            </w:tr>
            <w:tr w14:paraId="5EE8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4933897F">
                  <w:pPr>
                    <w:snapToGrid w:val="0"/>
                    <w:jc w:val="cente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Cs w:val="21"/>
                      <w:highlight w:val="none"/>
                      <w:u w:val="none"/>
                      <w:vertAlign w:val="baseline"/>
                      <w:lang w:val="en-US" w:eastAsia="zh-CN"/>
                    </w:rPr>
                    <w:t>4</w:t>
                  </w:r>
                </w:p>
              </w:tc>
              <w:tc>
                <w:tcPr>
                  <w:tcW w:w="422" w:type="pct"/>
                  <w:vMerge w:val="continue"/>
                  <w:noWrap w:val="0"/>
                  <w:vAlign w:val="center"/>
                </w:tcPr>
                <w:p w14:paraId="4B1D184C">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2F0D0FC0">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茅尾海红树林自然保护区-七十二泾片区</w:t>
                  </w:r>
                </w:p>
              </w:tc>
              <w:tc>
                <w:tcPr>
                  <w:tcW w:w="508" w:type="pct"/>
                  <w:noWrap w:val="0"/>
                  <w:vAlign w:val="center"/>
                </w:tcPr>
                <w:p w14:paraId="00C882D8">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西北/4.9km</w:t>
                  </w:r>
                </w:p>
              </w:tc>
              <w:tc>
                <w:tcPr>
                  <w:tcW w:w="560" w:type="pct"/>
                  <w:noWrap w:val="0"/>
                  <w:vAlign w:val="center"/>
                </w:tcPr>
                <w:p w14:paraId="0266D019">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一类水质</w:t>
                  </w:r>
                </w:p>
              </w:tc>
              <w:tc>
                <w:tcPr>
                  <w:tcW w:w="2279" w:type="pct"/>
                  <w:noWrap w:val="0"/>
                  <w:vAlign w:val="center"/>
                </w:tcPr>
                <w:p w14:paraId="0917E5A3">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保护区范围涉及康熙岭片、坚心围片、七十二泾片和大风江片4个片区，地理坐标为东经 108°28′35″—108°54′26″、北纬21°44′13″—21°53′49″。保护区总面积5010.05公顷，其中核心区面积2153.2公顷、缓冲区面积1386.13公顷、实验区面积1470.72公顷。七十二泾片区为保护区的其中一部分。</w:t>
                  </w:r>
                </w:p>
              </w:tc>
            </w:tr>
            <w:tr w14:paraId="36A0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noWrap w:val="0"/>
                  <w:vAlign w:val="center"/>
                </w:tcPr>
                <w:p w14:paraId="51FE0A34">
                  <w:pPr>
                    <w:snapToGrid w:val="0"/>
                    <w:jc w:val="center"/>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Cs w:val="21"/>
                      <w:highlight w:val="none"/>
                      <w:u w:val="none"/>
                      <w:vertAlign w:val="baseline"/>
                      <w:lang w:val="en-US" w:eastAsia="zh-CN"/>
                    </w:rPr>
                    <w:t>5</w:t>
                  </w:r>
                </w:p>
              </w:tc>
              <w:tc>
                <w:tcPr>
                  <w:tcW w:w="422" w:type="pct"/>
                  <w:vMerge w:val="continue"/>
                  <w:noWrap w:val="0"/>
                  <w:vAlign w:val="center"/>
                </w:tcPr>
                <w:p w14:paraId="3C12734D">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228CF1A8">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七十二泾旅游休闲娱乐区</w:t>
                  </w:r>
                </w:p>
              </w:tc>
              <w:tc>
                <w:tcPr>
                  <w:tcW w:w="508" w:type="pct"/>
                  <w:noWrap w:val="0"/>
                  <w:vAlign w:val="center"/>
                </w:tcPr>
                <w:p w14:paraId="6F52BC75">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西北</w:t>
                  </w:r>
                </w:p>
                <w:p w14:paraId="4589427E">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6.2km</w:t>
                  </w:r>
                </w:p>
              </w:tc>
              <w:tc>
                <w:tcPr>
                  <w:tcW w:w="560" w:type="pct"/>
                  <w:noWrap w:val="0"/>
                  <w:vAlign w:val="center"/>
                </w:tcPr>
                <w:p w14:paraId="38B380D8">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二类水质</w:t>
                  </w:r>
                </w:p>
              </w:tc>
              <w:tc>
                <w:tcPr>
                  <w:tcW w:w="2279" w:type="pct"/>
                  <w:noWrap w:val="0"/>
                  <w:vAlign w:val="center"/>
                </w:tcPr>
                <w:p w14:paraId="511B95DD">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 xml:space="preserve">茅尾海东岸七十二泾海域，包括东经 </w:t>
                  </w:r>
                  <w:r>
                    <w:rPr>
                      <w:rFonts w:hint="default" w:ascii="Times New Roman" w:hAnsi="Times New Roman" w:eastAsia="宋体" w:cs="Times New Roman"/>
                      <w:b w:val="0"/>
                      <w:bCs w:val="0"/>
                      <w:color w:val="auto"/>
                      <w:szCs w:val="21"/>
                      <w:highlight w:val="none"/>
                      <w:u w:val="none"/>
                      <w:vertAlign w:val="baseline"/>
                      <w:lang w:val="en-US" w:eastAsia="zh-CN"/>
                    </w:rPr>
                    <w:t>108°32′55″~108°35′47″</w:t>
                  </w:r>
                  <w:r>
                    <w:rPr>
                      <w:rFonts w:hint="eastAsia" w:ascii="Times New Roman" w:hAnsi="Times New Roman" w:eastAsia="宋体" w:cs="Times New Roman"/>
                      <w:b w:val="0"/>
                      <w:bCs w:val="0"/>
                      <w:color w:val="auto"/>
                      <w:szCs w:val="21"/>
                      <w:highlight w:val="none"/>
                      <w:u w:val="none"/>
                      <w:vertAlign w:val="baseline"/>
                      <w:lang w:val="en-US" w:eastAsia="zh-CN"/>
                    </w:rPr>
                    <w:t>，北纬</w:t>
                  </w:r>
                  <w:r>
                    <w:rPr>
                      <w:rFonts w:hint="default" w:ascii="Times New Roman" w:hAnsi="Times New Roman" w:eastAsia="宋体" w:cs="Times New Roman"/>
                      <w:b w:val="0"/>
                      <w:bCs w:val="0"/>
                      <w:color w:val="auto"/>
                      <w:szCs w:val="21"/>
                      <w:highlight w:val="none"/>
                      <w:u w:val="none"/>
                      <w:vertAlign w:val="baseline"/>
                      <w:lang w:val="en-US" w:eastAsia="zh-CN"/>
                    </w:rPr>
                    <w:t>21°44′28″~21°47′53″</w:t>
                  </w:r>
                </w:p>
              </w:tc>
            </w:tr>
            <w:tr w14:paraId="7222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15FF8756">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6</w:t>
                  </w:r>
                </w:p>
              </w:tc>
              <w:tc>
                <w:tcPr>
                  <w:tcW w:w="422" w:type="pct"/>
                  <w:vMerge w:val="continue"/>
                  <w:noWrap w:val="0"/>
                  <w:vAlign w:val="center"/>
                </w:tcPr>
                <w:p w14:paraId="341E6819">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4F43E06F">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钦州港青菜头南浅海滩涂养殖区</w:t>
                  </w:r>
                </w:p>
              </w:tc>
              <w:tc>
                <w:tcPr>
                  <w:tcW w:w="508" w:type="pct"/>
                  <w:noWrap w:val="0"/>
                  <w:vAlign w:val="center"/>
                </w:tcPr>
                <w:p w14:paraId="5C98DB24">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西南/4.7km</w:t>
                  </w:r>
                </w:p>
              </w:tc>
              <w:tc>
                <w:tcPr>
                  <w:tcW w:w="560" w:type="pct"/>
                  <w:noWrap w:val="0"/>
                  <w:vAlign w:val="center"/>
                </w:tcPr>
                <w:p w14:paraId="5D378EBE">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二类水质</w:t>
                  </w:r>
                </w:p>
              </w:tc>
              <w:tc>
                <w:tcPr>
                  <w:tcW w:w="2279" w:type="pct"/>
                  <w:noWrap w:val="0"/>
                  <w:vAlign w:val="center"/>
                </w:tcPr>
                <w:p w14:paraId="352ACC81">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西航道以东，传统中航道以西，北至 青菜头，南至伞沙尾海域（</w:t>
                  </w:r>
                  <w:r>
                    <w:rPr>
                      <w:rFonts w:hint="default" w:ascii="Times New Roman" w:hAnsi="Times New Roman" w:eastAsia="宋体" w:cs="Times New Roman"/>
                      <w:b w:val="0"/>
                      <w:bCs w:val="0"/>
                      <w:color w:val="auto"/>
                      <w:szCs w:val="21"/>
                      <w:highlight w:val="none"/>
                      <w:u w:val="none"/>
                      <w:vertAlign w:val="baseline"/>
                      <w:lang w:val="en-US" w:eastAsia="zh-CN"/>
                    </w:rPr>
                    <w:t>108°35′24″</w:t>
                  </w:r>
                  <w:r>
                    <w:rPr>
                      <w:rFonts w:hint="eastAsia" w:ascii="Times New Roman" w:hAnsi="Times New Roman" w:eastAsia="宋体" w:cs="Times New Roman"/>
                      <w:b w:val="0"/>
                      <w:bCs w:val="0"/>
                      <w:color w:val="auto"/>
                      <w:szCs w:val="21"/>
                      <w:highlight w:val="none"/>
                      <w:u w:val="none"/>
                      <w:vertAlign w:val="baseline"/>
                      <w:lang w:val="en-US" w:eastAsia="zh-CN"/>
                    </w:rPr>
                    <w:t>；</w:t>
                  </w:r>
                  <w:r>
                    <w:rPr>
                      <w:rFonts w:hint="default" w:ascii="Times New Roman" w:hAnsi="Times New Roman" w:eastAsia="宋体" w:cs="Times New Roman"/>
                      <w:b w:val="0"/>
                      <w:bCs w:val="0"/>
                      <w:color w:val="auto"/>
                      <w:szCs w:val="21"/>
                      <w:highlight w:val="none"/>
                      <w:u w:val="none"/>
                      <w:vertAlign w:val="baseline"/>
                      <w:lang w:val="en-US" w:eastAsia="zh-CN"/>
                    </w:rPr>
                    <w:t>108°37′56″</w:t>
                  </w:r>
                  <w:r>
                    <w:rPr>
                      <w:rFonts w:hint="eastAsia" w:ascii="Times New Roman" w:hAnsi="Times New Roman" w:eastAsia="宋体" w:cs="Times New Roman"/>
                      <w:b w:val="0"/>
                      <w:bCs w:val="0"/>
                      <w:color w:val="auto"/>
                      <w:szCs w:val="21"/>
                      <w:highlight w:val="none"/>
                      <w:u w:val="none"/>
                      <w:vertAlign w:val="baseline"/>
                      <w:lang w:val="en-US" w:eastAsia="zh-CN"/>
                    </w:rPr>
                    <w:t>；</w:t>
                  </w:r>
                  <w:r>
                    <w:rPr>
                      <w:rFonts w:hint="default" w:ascii="Times New Roman" w:hAnsi="Times New Roman" w:eastAsia="宋体" w:cs="Times New Roman"/>
                      <w:b w:val="0"/>
                      <w:bCs w:val="0"/>
                      <w:color w:val="auto"/>
                      <w:szCs w:val="21"/>
                      <w:highlight w:val="none"/>
                      <w:u w:val="none"/>
                      <w:vertAlign w:val="baseline"/>
                      <w:lang w:val="en-US" w:eastAsia="zh-CN"/>
                    </w:rPr>
                    <w:t>21°34′ 09″</w:t>
                  </w:r>
                  <w:r>
                    <w:rPr>
                      <w:rFonts w:hint="eastAsia" w:ascii="Times New Roman" w:hAnsi="Times New Roman" w:eastAsia="宋体" w:cs="Times New Roman"/>
                      <w:b w:val="0"/>
                      <w:bCs w:val="0"/>
                      <w:color w:val="auto"/>
                      <w:szCs w:val="21"/>
                      <w:highlight w:val="none"/>
                      <w:u w:val="none"/>
                      <w:vertAlign w:val="baseline"/>
                      <w:lang w:val="en-US" w:eastAsia="zh-CN"/>
                    </w:rPr>
                    <w:t xml:space="preserve">； </w:t>
                  </w:r>
                  <w:r>
                    <w:rPr>
                      <w:rFonts w:hint="default" w:ascii="Times New Roman" w:hAnsi="Times New Roman" w:eastAsia="宋体" w:cs="Times New Roman"/>
                      <w:b w:val="0"/>
                      <w:bCs w:val="0"/>
                      <w:color w:val="auto"/>
                      <w:szCs w:val="21"/>
                      <w:highlight w:val="none"/>
                      <w:u w:val="none"/>
                      <w:vertAlign w:val="baseline"/>
                      <w:lang w:val="en-US" w:eastAsia="zh-CN"/>
                    </w:rPr>
                    <w:t>21°40′32″</w:t>
                  </w:r>
                  <w:r>
                    <w:rPr>
                      <w:rFonts w:hint="eastAsia" w:ascii="Times New Roman" w:hAnsi="Times New Roman" w:eastAsia="宋体" w:cs="Times New Roman"/>
                      <w:b w:val="0"/>
                      <w:bCs w:val="0"/>
                      <w:color w:val="auto"/>
                      <w:szCs w:val="21"/>
                      <w:highlight w:val="none"/>
                      <w:u w:val="none"/>
                      <w:vertAlign w:val="baseline"/>
                      <w:lang w:val="en-US" w:eastAsia="zh-CN"/>
                    </w:rPr>
                    <w:t>）</w:t>
                  </w:r>
                </w:p>
              </w:tc>
            </w:tr>
            <w:tr w14:paraId="3A2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650661B6">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7</w:t>
                  </w:r>
                </w:p>
              </w:tc>
              <w:tc>
                <w:tcPr>
                  <w:tcW w:w="422" w:type="pct"/>
                  <w:vMerge w:val="continue"/>
                  <w:noWrap w:val="0"/>
                  <w:vAlign w:val="center"/>
                </w:tcPr>
                <w:p w14:paraId="71858F72">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45AC9615">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七十二泾重要滨海旅游区限制类红线区</w:t>
                  </w:r>
                </w:p>
              </w:tc>
              <w:tc>
                <w:tcPr>
                  <w:tcW w:w="508" w:type="pct"/>
                  <w:noWrap w:val="0"/>
                  <w:vAlign w:val="center"/>
                </w:tcPr>
                <w:p w14:paraId="6BBB0188">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西北</w:t>
                  </w:r>
                </w:p>
                <w:p w14:paraId="1B984850">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/6.1km</w:t>
                  </w:r>
                </w:p>
              </w:tc>
              <w:tc>
                <w:tcPr>
                  <w:tcW w:w="560" w:type="pct"/>
                  <w:noWrap w:val="0"/>
                  <w:vAlign w:val="center"/>
                </w:tcPr>
                <w:p w14:paraId="7AAF7CE9">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二类水质</w:t>
                  </w:r>
                </w:p>
              </w:tc>
              <w:tc>
                <w:tcPr>
                  <w:tcW w:w="2279" w:type="pct"/>
                  <w:noWrap w:val="0"/>
                  <w:vAlign w:val="center"/>
                </w:tcPr>
                <w:p w14:paraId="067A8B64">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生态红线区范围为以重要旅游区向海扩展100米的区域。</w:t>
                  </w:r>
                </w:p>
              </w:tc>
            </w:tr>
            <w:tr w14:paraId="6E03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00DF6EF7">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8</w:t>
                  </w:r>
                </w:p>
              </w:tc>
              <w:tc>
                <w:tcPr>
                  <w:tcW w:w="422" w:type="pct"/>
                  <w:vMerge w:val="continue"/>
                  <w:noWrap w:val="0"/>
                  <w:vAlign w:val="center"/>
                </w:tcPr>
                <w:p w14:paraId="009FE7EB">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2F4B3FF3">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广西茅尾海红树林保护区限制类红线区</w:t>
                  </w:r>
                </w:p>
              </w:tc>
              <w:tc>
                <w:tcPr>
                  <w:tcW w:w="508" w:type="pct"/>
                  <w:noWrap w:val="0"/>
                  <w:vAlign w:val="center"/>
                </w:tcPr>
                <w:p w14:paraId="530AEAE1">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西北/4.9km</w:t>
                  </w:r>
                </w:p>
              </w:tc>
              <w:tc>
                <w:tcPr>
                  <w:tcW w:w="560" w:type="pct"/>
                  <w:noWrap w:val="0"/>
                  <w:vAlign w:val="center"/>
                </w:tcPr>
                <w:p w14:paraId="0FA987D3">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一类水质</w:t>
                  </w:r>
                </w:p>
              </w:tc>
              <w:tc>
                <w:tcPr>
                  <w:tcW w:w="2279" w:type="pct"/>
                  <w:noWrap w:val="0"/>
                  <w:vAlign w:val="center"/>
                </w:tcPr>
                <w:p w14:paraId="206DE277">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自然保护区范围内，除已划定为自然保护区禁止类红线区以外区域划定为自然保护区限制类红线区。</w:t>
                  </w:r>
                </w:p>
              </w:tc>
            </w:tr>
            <w:tr w14:paraId="01C0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14:paraId="0C150D67">
                  <w:pPr>
                    <w:snapToGrid w:val="0"/>
                    <w:jc w:val="center"/>
                    <w:rPr>
                      <w:rFonts w:hint="default" w:ascii="Times New Roman" w:hAnsi="Times New Roman" w:eastAsia="宋体" w:cs="Times New Roman"/>
                      <w:b w:val="0"/>
                      <w:bCs w:val="0"/>
                      <w:color w:val="auto"/>
                      <w:szCs w:val="21"/>
                      <w:highlight w:val="none"/>
                      <w:u w:val="none"/>
                      <w:vertAlign w:val="baseline"/>
                      <w:lang w:val="en-US" w:eastAsia="zh-CN"/>
                    </w:rPr>
                  </w:pPr>
                  <w:r>
                    <w:rPr>
                      <w:rFonts w:hint="eastAsia" w:ascii="Times New Roman" w:hAnsi="Times New Roman" w:eastAsia="宋体" w:cs="Times New Roman"/>
                      <w:b w:val="0"/>
                      <w:bCs w:val="0"/>
                      <w:color w:val="auto"/>
                      <w:szCs w:val="21"/>
                      <w:highlight w:val="none"/>
                      <w:u w:val="none"/>
                      <w:vertAlign w:val="baseline"/>
                      <w:lang w:val="en-US" w:eastAsia="zh-CN"/>
                    </w:rPr>
                    <w:t>9</w:t>
                  </w:r>
                </w:p>
              </w:tc>
              <w:tc>
                <w:tcPr>
                  <w:tcW w:w="422" w:type="pct"/>
                  <w:vMerge w:val="continue"/>
                  <w:noWrap w:val="0"/>
                  <w:vAlign w:val="center"/>
                </w:tcPr>
                <w:p w14:paraId="0BC4EC79">
                  <w:pPr>
                    <w:snapToGrid w:val="0"/>
                    <w:jc w:val="center"/>
                    <w:rPr>
                      <w:rFonts w:hint="eastAsia" w:ascii="Times New Roman" w:hAnsi="Times New Roman" w:eastAsia="宋体" w:cs="Times New Roman"/>
                      <w:b w:val="0"/>
                      <w:bCs w:val="0"/>
                      <w:color w:val="auto"/>
                      <w:szCs w:val="21"/>
                      <w:highlight w:val="none"/>
                      <w:u w:val="none"/>
                      <w:vertAlign w:val="baseline"/>
                      <w:lang w:val="en-US" w:eastAsia="zh-CN"/>
                    </w:rPr>
                  </w:pPr>
                </w:p>
              </w:tc>
              <w:tc>
                <w:tcPr>
                  <w:tcW w:w="962" w:type="pct"/>
                  <w:noWrap w:val="0"/>
                  <w:vAlign w:val="center"/>
                </w:tcPr>
                <w:p w14:paraId="54333D67">
                  <w:pPr>
                    <w:snapToGrid w:val="0"/>
                    <w:jc w:val="center"/>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kern w:val="0"/>
                      <w:sz w:val="21"/>
                      <w:szCs w:val="21"/>
                      <w:highlight w:val="none"/>
                      <w:u w:val="none"/>
                      <w:lang w:val="en-US" w:eastAsia="zh-CN" w:bidi="ar"/>
                    </w:rPr>
                    <w:t>广西</w:t>
                  </w:r>
                  <w:r>
                    <w:rPr>
                      <w:rFonts w:hint="eastAsia" w:ascii="Times New Roman" w:hAnsi="Times New Roman" w:eastAsia="宋体" w:cs="Times New Roman"/>
                      <w:b w:val="0"/>
                      <w:bCs w:val="0"/>
                      <w:color w:val="auto"/>
                      <w:kern w:val="0"/>
                      <w:sz w:val="21"/>
                      <w:szCs w:val="21"/>
                      <w:highlight w:val="none"/>
                      <w:u w:val="none"/>
                      <w:lang w:val="en-US" w:eastAsia="zh-CN" w:bidi="ar"/>
                    </w:rPr>
                    <w:t>钦州</w:t>
                  </w:r>
                  <w:r>
                    <w:rPr>
                      <w:rFonts w:hint="default" w:ascii="Times New Roman" w:hAnsi="Times New Roman" w:eastAsia="宋体" w:cs="Times New Roman"/>
                      <w:b w:val="0"/>
                      <w:bCs w:val="0"/>
                      <w:color w:val="auto"/>
                      <w:kern w:val="0"/>
                      <w:sz w:val="21"/>
                      <w:szCs w:val="21"/>
                      <w:highlight w:val="none"/>
                      <w:u w:val="none"/>
                      <w:lang w:val="en-US" w:eastAsia="zh-CN" w:bidi="ar"/>
                    </w:rPr>
                    <w:t>茅尾海红树林自治区级重要湿地</w:t>
                  </w:r>
                </w:p>
              </w:tc>
              <w:tc>
                <w:tcPr>
                  <w:tcW w:w="508" w:type="pct"/>
                  <w:noWrap w:val="0"/>
                  <w:vAlign w:val="center"/>
                </w:tcPr>
                <w:p w14:paraId="092BCA60">
                  <w:pPr>
                    <w:snapToGrid w:val="0"/>
                    <w:jc w:val="center"/>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西北/4.9km</w:t>
                  </w:r>
                </w:p>
              </w:tc>
              <w:tc>
                <w:tcPr>
                  <w:tcW w:w="560" w:type="pct"/>
                  <w:noWrap w:val="0"/>
                  <w:vAlign w:val="center"/>
                </w:tcPr>
                <w:p w14:paraId="499977F3">
                  <w:pPr>
                    <w:snapToGrid w:val="0"/>
                    <w:jc w:val="center"/>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一类水质</w:t>
                  </w:r>
                </w:p>
              </w:tc>
              <w:tc>
                <w:tcPr>
                  <w:tcW w:w="2279" w:type="pct"/>
                  <w:noWrap w:val="0"/>
                  <w:vAlign w:val="center"/>
                </w:tcPr>
                <w:p w14:paraId="64DA5104">
                  <w:pPr>
                    <w:snapToGrid w:val="0"/>
                    <w:jc w:val="center"/>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湿地总面积约4908.63hm</w:t>
                  </w:r>
                  <w:r>
                    <w:rPr>
                      <w:rFonts w:hint="eastAsia" w:ascii="Times New Roman" w:hAnsi="Times New Roman" w:eastAsia="宋体" w:cs="Times New Roman"/>
                      <w:b w:val="0"/>
                      <w:bCs w:val="0"/>
                      <w:color w:val="auto"/>
                      <w:sz w:val="21"/>
                      <w:szCs w:val="21"/>
                      <w:highlight w:val="none"/>
                      <w:u w:val="none"/>
                      <w:vertAlign w:val="superscript"/>
                      <w:lang w:val="en-US" w:eastAsia="zh-CN"/>
                    </w:rPr>
                    <w:t>2</w:t>
                  </w:r>
                  <w:r>
                    <w:rPr>
                      <w:rFonts w:hint="eastAsia" w:ascii="Times New Roman" w:hAnsi="Times New Roman" w:eastAsia="宋体" w:cs="Times New Roman"/>
                      <w:b w:val="0"/>
                      <w:bCs w:val="0"/>
                      <w:color w:val="auto"/>
                      <w:sz w:val="21"/>
                      <w:szCs w:val="21"/>
                      <w:highlight w:val="none"/>
                      <w:u w:val="none"/>
                      <w:vertAlign w:val="baseline"/>
                      <w:lang w:val="en-US" w:eastAsia="zh-CN"/>
                    </w:rPr>
                    <w:t>，湿地类型为近海与海岸湿地</w:t>
                  </w:r>
                </w:p>
              </w:tc>
            </w:tr>
          </w:tbl>
          <w:p w14:paraId="1A90B627">
            <w:pPr>
              <w:spacing w:line="360" w:lineRule="auto"/>
              <w:ind w:firstLine="482" w:firstLineChars="200"/>
              <w:rPr>
                <w:rFonts w:hint="eastAsia" w:ascii="Times New Roman" w:hAnsi="Times New Roman" w:eastAsia="宋体" w:cs="Times New Roman"/>
                <w:b/>
                <w:bCs/>
                <w:color w:val="auto"/>
                <w:sz w:val="24"/>
                <w:highlight w:val="none"/>
                <w:lang w:val="en-US" w:eastAsia="zh-CN"/>
              </w:rPr>
            </w:pPr>
          </w:p>
          <w:p w14:paraId="2EB9D085">
            <w:pPr>
              <w:numPr>
                <w:ilvl w:val="0"/>
                <w:numId w:val="3"/>
              </w:numPr>
              <w:spacing w:line="360" w:lineRule="auto"/>
              <w:ind w:left="0" w:leftChars="0" w:firstLine="482"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环境风险保护目标：</w:t>
            </w:r>
            <w:r>
              <w:rPr>
                <w:rFonts w:hint="eastAsia" w:ascii="Times New Roman" w:hAnsi="Times New Roman" w:eastAsia="宋体" w:cs="Times New Roman"/>
                <w:color w:val="auto"/>
                <w:sz w:val="24"/>
                <w:highlight w:val="none"/>
                <w:u w:val="none"/>
                <w:lang w:val="en-US" w:eastAsia="zh-CN"/>
              </w:rPr>
              <w:t>项目环境风险保护目标同海洋生态环境保护目标，金鼓江上游红树林区、茅尾海红树林自然保护区七十二泾片、七十二泾旅游休闲娱乐区、钦州港青菜头南浅海滩涂养殖区、七十二泾重要滨海旅游区限制类红线区、</w:t>
            </w:r>
            <w:r>
              <w:rPr>
                <w:rFonts w:hint="eastAsia" w:ascii="Times New Roman" w:hAnsi="Times New Roman" w:eastAsia="宋体" w:cs="Times New Roman"/>
                <w:color w:val="auto"/>
                <w:kern w:val="0"/>
                <w:sz w:val="24"/>
                <w:szCs w:val="24"/>
                <w:highlight w:val="none"/>
                <w:u w:val="none"/>
                <w:lang w:val="en-US" w:eastAsia="zh-CN" w:bidi="ar"/>
              </w:rPr>
              <w:t>广西茅尾海红树林保护区限制类红线区、</w:t>
            </w:r>
            <w:r>
              <w:rPr>
                <w:rFonts w:hint="default" w:ascii="Times New Roman" w:hAnsi="Times New Roman" w:eastAsia="宋体" w:cs="Times New Roman"/>
                <w:b w:val="0"/>
                <w:bCs w:val="0"/>
                <w:color w:val="auto"/>
                <w:kern w:val="0"/>
                <w:sz w:val="24"/>
                <w:szCs w:val="24"/>
                <w:highlight w:val="none"/>
                <w:u w:val="none"/>
                <w:lang w:val="en-US" w:eastAsia="zh-CN" w:bidi="ar"/>
              </w:rPr>
              <w:t>广西</w:t>
            </w:r>
            <w:r>
              <w:rPr>
                <w:rFonts w:hint="eastAsia" w:ascii="Times New Roman" w:hAnsi="Times New Roman" w:eastAsia="宋体" w:cs="Times New Roman"/>
                <w:b w:val="0"/>
                <w:bCs w:val="0"/>
                <w:color w:val="auto"/>
                <w:kern w:val="0"/>
                <w:sz w:val="24"/>
                <w:szCs w:val="24"/>
                <w:highlight w:val="none"/>
                <w:u w:val="none"/>
                <w:lang w:val="en-US" w:eastAsia="zh-CN" w:bidi="ar"/>
              </w:rPr>
              <w:t>钦州</w:t>
            </w:r>
            <w:r>
              <w:rPr>
                <w:rFonts w:hint="default" w:ascii="Times New Roman" w:hAnsi="Times New Roman" w:eastAsia="宋体" w:cs="Times New Roman"/>
                <w:b w:val="0"/>
                <w:bCs w:val="0"/>
                <w:color w:val="auto"/>
                <w:kern w:val="0"/>
                <w:sz w:val="24"/>
                <w:szCs w:val="24"/>
                <w:highlight w:val="none"/>
                <w:u w:val="none"/>
                <w:lang w:val="en-US" w:eastAsia="zh-CN" w:bidi="ar"/>
              </w:rPr>
              <w:t>茅尾海红树林自治区级重要湿地</w:t>
            </w:r>
            <w:r>
              <w:rPr>
                <w:rFonts w:hint="eastAsia" w:ascii="Times New Roman" w:hAnsi="Times New Roman" w:eastAsia="宋体" w:cs="Times New Roman"/>
                <w:color w:val="auto"/>
                <w:kern w:val="0"/>
                <w:sz w:val="24"/>
                <w:szCs w:val="24"/>
                <w:highlight w:val="none"/>
                <w:u w:val="none"/>
                <w:lang w:val="en-US" w:eastAsia="zh-CN" w:bidi="ar"/>
              </w:rPr>
              <w:t>，共计7处</w:t>
            </w:r>
            <w:r>
              <w:rPr>
                <w:rFonts w:hint="eastAsia" w:ascii="Times New Roman" w:hAnsi="Times New Roman" w:eastAsia="宋体" w:cs="Times New Roman"/>
                <w:color w:val="auto"/>
                <w:sz w:val="24"/>
                <w:highlight w:val="none"/>
                <w:u w:val="none"/>
                <w:lang w:val="en-US" w:eastAsia="zh-CN"/>
              </w:rPr>
              <w:t>。</w:t>
            </w:r>
          </w:p>
          <w:p w14:paraId="55BE9A51">
            <w:pPr>
              <w:numPr>
                <w:ilvl w:val="0"/>
                <w:numId w:val="0"/>
              </w:numPr>
              <w:spacing w:line="360" w:lineRule="auto"/>
              <w:ind w:leftChars="200"/>
              <w:rPr>
                <w:rFonts w:hint="eastAsia" w:ascii="Times New Roman" w:hAnsi="Times New Roman" w:eastAsia="宋体" w:cs="Times New Roman"/>
                <w:color w:val="auto"/>
                <w:sz w:val="24"/>
                <w:highlight w:val="none"/>
                <w:u w:val="none"/>
                <w:lang w:val="en-US" w:eastAsia="zh-CN"/>
              </w:rPr>
            </w:pPr>
          </w:p>
        </w:tc>
      </w:tr>
      <w:tr w14:paraId="564F5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 w:type="pct"/>
            <w:noWrap w:val="0"/>
            <w:tcMar>
              <w:left w:w="28" w:type="dxa"/>
              <w:right w:w="28" w:type="dxa"/>
            </w:tcMar>
            <w:vAlign w:val="center"/>
          </w:tcPr>
          <w:p w14:paraId="35C47873">
            <w:pPr>
              <w:adjustRightInd w:val="0"/>
              <w:snapToGrid w:val="0"/>
              <w:jc w:val="center"/>
              <w:rPr>
                <w:color w:val="auto"/>
                <w:kern w:val="0"/>
                <w:szCs w:val="21"/>
                <w:highlight w:val="none"/>
              </w:rPr>
            </w:pPr>
            <w:r>
              <w:rPr>
                <w:rFonts w:hint="eastAsia" w:ascii="宋体" w:hAnsi="宋体" w:cs="宋体"/>
                <w:color w:val="auto"/>
                <w:kern w:val="0"/>
                <w:sz w:val="24"/>
                <w:szCs w:val="21"/>
                <w:highlight w:val="none"/>
              </w:rPr>
              <w:t>评价标准</w:t>
            </w:r>
          </w:p>
        </w:tc>
        <w:tc>
          <w:tcPr>
            <w:tcW w:w="4711" w:type="pct"/>
            <w:noWrap w:val="0"/>
            <w:vAlign w:val="center"/>
          </w:tcPr>
          <w:p w14:paraId="1A7B6447">
            <w:pPr>
              <w:spacing w:line="360" w:lineRule="auto"/>
              <w:rPr>
                <w:b/>
                <w:color w:val="auto"/>
                <w:sz w:val="28"/>
                <w:szCs w:val="28"/>
                <w:highlight w:val="none"/>
              </w:rPr>
            </w:pPr>
            <w:r>
              <w:rPr>
                <w:rFonts w:hint="eastAsia"/>
                <w:b/>
                <w:color w:val="auto"/>
                <w:sz w:val="28"/>
                <w:szCs w:val="28"/>
                <w:highlight w:val="none"/>
                <w:lang w:val="en-US" w:eastAsia="zh-CN"/>
              </w:rPr>
              <w:t>3.4.1</w:t>
            </w:r>
            <w:r>
              <w:rPr>
                <w:rFonts w:hint="eastAsia"/>
                <w:b/>
                <w:color w:val="auto"/>
                <w:sz w:val="28"/>
                <w:szCs w:val="28"/>
                <w:highlight w:val="none"/>
              </w:rPr>
              <w:t>环境质量</w:t>
            </w:r>
            <w:r>
              <w:rPr>
                <w:b/>
                <w:color w:val="auto"/>
                <w:sz w:val="28"/>
                <w:szCs w:val="28"/>
                <w:highlight w:val="none"/>
              </w:rPr>
              <w:t>标准</w:t>
            </w:r>
          </w:p>
          <w:p w14:paraId="3249ADE7">
            <w:pPr>
              <w:spacing w:line="360" w:lineRule="auto"/>
              <w:ind w:firstLine="482" w:firstLineChars="200"/>
              <w:rPr>
                <w:b/>
                <w:bCs/>
                <w:color w:val="auto"/>
                <w:sz w:val="24"/>
                <w:highlight w:val="none"/>
                <w:shd w:val="clear" w:color="auto" w:fill="FFFFFF"/>
              </w:rPr>
            </w:pPr>
            <w:r>
              <w:rPr>
                <w:b/>
                <w:bCs/>
                <w:color w:val="auto"/>
                <w:sz w:val="24"/>
                <w:highlight w:val="none"/>
                <w:shd w:val="clear" w:color="auto" w:fill="FFFFFF"/>
              </w:rPr>
              <w:t>1、</w:t>
            </w:r>
            <w:r>
              <w:rPr>
                <w:rFonts w:hint="eastAsia"/>
                <w:b/>
                <w:bCs/>
                <w:color w:val="auto"/>
                <w:sz w:val="24"/>
                <w:highlight w:val="none"/>
                <w:shd w:val="clear" w:color="auto" w:fill="FFFFFF"/>
              </w:rPr>
              <w:t>环境空气</w:t>
            </w:r>
          </w:p>
          <w:p w14:paraId="67B57E4C">
            <w:pPr>
              <w:widowControl/>
              <w:spacing w:line="360" w:lineRule="auto"/>
              <w:ind w:firstLine="480" w:firstLineChars="200"/>
              <w:rPr>
                <w:rFonts w:hint="eastAsia"/>
                <w:color w:val="auto"/>
                <w:sz w:val="24"/>
                <w:highlight w:val="none"/>
              </w:rPr>
            </w:pPr>
            <w:r>
              <w:rPr>
                <w:rFonts w:hint="eastAsia"/>
                <w:color w:val="auto"/>
                <w:sz w:val="24"/>
                <w:highlight w:val="none"/>
                <w:lang w:eastAsia="zh-CN"/>
              </w:rPr>
              <w:t>本项目所在区域为环境空气功能为二类区，</w:t>
            </w:r>
            <w:r>
              <w:rPr>
                <w:rFonts w:hint="eastAsia"/>
                <w:color w:val="auto"/>
                <w:sz w:val="24"/>
                <w:highlight w:val="none"/>
                <w:u w:val="single"/>
                <w:lang w:val="en-US" w:eastAsia="zh-CN"/>
              </w:rPr>
              <w:t>环境空气污染物基本项目</w:t>
            </w:r>
            <w:r>
              <w:rPr>
                <w:rFonts w:hint="eastAsia"/>
                <w:color w:val="auto"/>
                <w:sz w:val="24"/>
                <w:highlight w:val="none"/>
                <w:u w:val="single"/>
                <w:lang w:eastAsia="zh-CN"/>
              </w:rPr>
              <w:t>执行《环境空气质量标准》（</w:t>
            </w:r>
            <w:r>
              <w:rPr>
                <w:rFonts w:hint="eastAsia"/>
                <w:color w:val="auto"/>
                <w:sz w:val="24"/>
                <w:highlight w:val="none"/>
                <w:u w:val="single"/>
                <w:lang w:val="en-US" w:eastAsia="zh-CN"/>
              </w:rPr>
              <w:t>GB3095-2026</w:t>
            </w:r>
            <w:r>
              <w:rPr>
                <w:rFonts w:hint="eastAsia"/>
                <w:color w:val="auto"/>
                <w:sz w:val="24"/>
                <w:highlight w:val="none"/>
                <w:u w:val="single"/>
                <w:lang w:eastAsia="zh-CN"/>
              </w:rPr>
              <w:t>）</w:t>
            </w:r>
            <w:r>
              <w:rPr>
                <w:rFonts w:hint="eastAsia"/>
                <w:color w:val="auto"/>
                <w:sz w:val="24"/>
                <w:highlight w:val="none"/>
                <w:u w:val="single"/>
                <w:lang w:val="en-US" w:eastAsia="zh-CN"/>
              </w:rPr>
              <w:t>过渡阶段浓度限值</w:t>
            </w:r>
            <w:r>
              <w:rPr>
                <w:rFonts w:hint="eastAsia"/>
                <w:color w:val="auto"/>
                <w:sz w:val="24"/>
                <w:highlight w:val="none"/>
                <w:u w:val="single"/>
              </w:rPr>
              <w:t>。</w:t>
            </w:r>
            <w:r>
              <w:rPr>
                <w:rFonts w:hint="eastAsia"/>
                <w:color w:val="auto"/>
                <w:sz w:val="24"/>
                <w:highlight w:val="none"/>
              </w:rPr>
              <w:t>标准值见下表。</w:t>
            </w:r>
          </w:p>
          <w:p w14:paraId="0EE82BB0">
            <w:pPr>
              <w:snapToGrid w:val="0"/>
              <w:jc w:val="center"/>
              <w:rPr>
                <w:color w:val="auto"/>
                <w:szCs w:val="21"/>
                <w:highlight w:val="none"/>
              </w:rPr>
            </w:pPr>
            <w:r>
              <w:rPr>
                <w:b/>
                <w:bCs/>
                <w:color w:val="auto"/>
                <w:szCs w:val="21"/>
                <w:highlight w:val="none"/>
              </w:rPr>
              <w:t xml:space="preserve">表 </w:t>
            </w:r>
            <w:r>
              <w:rPr>
                <w:rFonts w:hint="eastAsia"/>
                <w:b/>
                <w:bCs/>
                <w:color w:val="auto"/>
                <w:szCs w:val="21"/>
                <w:highlight w:val="none"/>
                <w:lang w:val="en-US" w:eastAsia="zh-CN"/>
              </w:rPr>
              <w:t>3.4-1</w:t>
            </w:r>
            <w:r>
              <w:rPr>
                <w:rFonts w:hint="eastAsia"/>
                <w:b/>
                <w:bCs/>
                <w:color w:val="auto"/>
                <w:szCs w:val="21"/>
                <w:highlight w:val="none"/>
              </w:rPr>
              <w:t xml:space="preserve">  环境空气</w:t>
            </w:r>
            <w:r>
              <w:rPr>
                <w:b/>
                <w:bCs/>
                <w:color w:val="auto"/>
                <w:szCs w:val="21"/>
                <w:highlight w:val="none"/>
              </w:rPr>
              <w:t>评价标准表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1773"/>
              <w:gridCol w:w="1554"/>
              <w:gridCol w:w="3503"/>
            </w:tblGrid>
            <w:tr w14:paraId="7892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34" w:type="dxa"/>
                  <w:noWrap w:val="0"/>
                  <w:vAlign w:val="center"/>
                </w:tcPr>
                <w:p w14:paraId="33518C88">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评价因子</w:t>
                  </w:r>
                </w:p>
              </w:tc>
              <w:tc>
                <w:tcPr>
                  <w:tcW w:w="1773" w:type="dxa"/>
                  <w:noWrap w:val="0"/>
                  <w:vAlign w:val="center"/>
                </w:tcPr>
                <w:p w14:paraId="2A450C79">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平均时段</w:t>
                  </w:r>
                </w:p>
              </w:tc>
              <w:tc>
                <w:tcPr>
                  <w:tcW w:w="1554" w:type="dxa"/>
                  <w:noWrap w:val="0"/>
                  <w:vAlign w:val="center"/>
                </w:tcPr>
                <w:p w14:paraId="233D41A3">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u w:val="single"/>
                      <w:lang w:val="en-US" w:eastAsia="zh-CN"/>
                    </w:rPr>
                    <w:t>浓度限值</w:t>
                  </w:r>
                </w:p>
              </w:tc>
              <w:tc>
                <w:tcPr>
                  <w:tcW w:w="3503" w:type="dxa"/>
                  <w:noWrap w:val="0"/>
                  <w:vAlign w:val="center"/>
                </w:tcPr>
                <w:p w14:paraId="42C019BE">
                  <w:pPr>
                    <w:snapToGrid w:val="0"/>
                    <w:jc w:val="center"/>
                    <w:rPr>
                      <w:rFonts w:hint="eastAsia" w:ascii="宋体" w:hAnsi="宋体" w:cs="宋体"/>
                      <w:color w:val="auto"/>
                      <w:szCs w:val="21"/>
                      <w:highlight w:val="none"/>
                    </w:rPr>
                  </w:pPr>
                  <w:r>
                    <w:rPr>
                      <w:rFonts w:hint="eastAsia" w:ascii="宋体" w:hAnsi="宋体" w:cs="宋体"/>
                      <w:color w:val="auto"/>
                      <w:szCs w:val="21"/>
                      <w:highlight w:val="none"/>
                    </w:rPr>
                    <w:t>标准来源</w:t>
                  </w:r>
                </w:p>
              </w:tc>
            </w:tr>
            <w:tr w14:paraId="7DB5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71B647A4">
                  <w:pPr>
                    <w:snapToGrid w:val="0"/>
                    <w:jc w:val="center"/>
                    <w:rPr>
                      <w:rFonts w:eastAsia="Times New Roman"/>
                      <w:color w:val="auto"/>
                      <w:szCs w:val="21"/>
                      <w:highlight w:val="none"/>
                    </w:rPr>
                  </w:pPr>
                  <w:r>
                    <w:rPr>
                      <w:color w:val="auto"/>
                      <w:position w:val="2"/>
                      <w:szCs w:val="21"/>
                      <w:highlight w:val="none"/>
                    </w:rPr>
                    <w:t>SO</w:t>
                  </w:r>
                  <w:r>
                    <w:rPr>
                      <w:color w:val="auto"/>
                      <w:szCs w:val="21"/>
                      <w:highlight w:val="none"/>
                      <w:vertAlign w:val="subscript"/>
                    </w:rPr>
                    <w:t>2</w:t>
                  </w:r>
                </w:p>
              </w:tc>
              <w:tc>
                <w:tcPr>
                  <w:tcW w:w="1773" w:type="dxa"/>
                  <w:noWrap w:val="0"/>
                  <w:vAlign w:val="center"/>
                </w:tcPr>
                <w:p w14:paraId="05C3E233">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1BFEF12E">
                  <w:pPr>
                    <w:snapToGrid w:val="0"/>
                    <w:jc w:val="center"/>
                    <w:rPr>
                      <w:rFonts w:eastAsia="Times New Roman"/>
                      <w:color w:val="auto"/>
                      <w:szCs w:val="21"/>
                      <w:highlight w:val="none"/>
                    </w:rPr>
                  </w:pPr>
                  <w:r>
                    <w:rPr>
                      <w:color w:val="auto"/>
                      <w:szCs w:val="21"/>
                      <w:highlight w:val="none"/>
                    </w:rPr>
                    <w:t>500</w:t>
                  </w:r>
                  <w:r>
                    <w:rPr>
                      <w:color w:val="auto"/>
                      <w:spacing w:val="-1"/>
                      <w:szCs w:val="21"/>
                      <w:highlight w:val="none"/>
                    </w:rPr>
                    <w:t>μg/m</w:t>
                  </w:r>
                  <w:r>
                    <w:rPr>
                      <w:color w:val="auto"/>
                      <w:spacing w:val="-1"/>
                      <w:szCs w:val="21"/>
                      <w:highlight w:val="none"/>
                      <w:vertAlign w:val="superscript"/>
                    </w:rPr>
                    <w:t>3</w:t>
                  </w:r>
                </w:p>
              </w:tc>
              <w:tc>
                <w:tcPr>
                  <w:tcW w:w="3503" w:type="dxa"/>
                  <w:vMerge w:val="restart"/>
                  <w:noWrap w:val="0"/>
                  <w:vAlign w:val="center"/>
                </w:tcPr>
                <w:p w14:paraId="68786508">
                  <w:pPr>
                    <w:snapToGrid w:val="0"/>
                    <w:jc w:val="center"/>
                    <w:rPr>
                      <w:rFonts w:hint="default" w:ascii="宋体" w:hAnsi="宋体" w:eastAsia="宋体" w:cs="宋体"/>
                      <w:color w:val="auto"/>
                      <w:szCs w:val="21"/>
                      <w:highlight w:val="none"/>
                      <w:lang w:val="en-US" w:eastAsia="zh-CN"/>
                    </w:rPr>
                  </w:pPr>
                  <w:r>
                    <w:rPr>
                      <w:rFonts w:ascii="宋体" w:hAnsi="宋体" w:cs="宋体"/>
                      <w:color w:val="auto"/>
                      <w:spacing w:val="-2"/>
                      <w:szCs w:val="21"/>
                      <w:highlight w:val="none"/>
                      <w:u w:val="single"/>
                    </w:rPr>
                    <w:t>《环境空气质量标准》</w:t>
                  </w:r>
                  <w:r>
                    <w:rPr>
                      <w:rFonts w:eastAsia="Times New Roman"/>
                      <w:color w:val="auto"/>
                      <w:spacing w:val="-2"/>
                      <w:szCs w:val="21"/>
                      <w:highlight w:val="none"/>
                      <w:u w:val="single"/>
                    </w:rPr>
                    <w:t>(GB3095</w:t>
                  </w:r>
                  <w:r>
                    <w:rPr>
                      <w:rFonts w:hint="eastAsia" w:eastAsia="宋体"/>
                      <w:color w:val="auto"/>
                      <w:spacing w:val="-2"/>
                      <w:szCs w:val="21"/>
                      <w:highlight w:val="none"/>
                      <w:u w:val="single"/>
                      <w:lang w:val="en-US" w:eastAsia="zh-CN"/>
                    </w:rPr>
                    <w:t>-2026</w:t>
                  </w:r>
                  <w:r>
                    <w:rPr>
                      <w:rFonts w:eastAsia="Times New Roman"/>
                      <w:color w:val="auto"/>
                      <w:spacing w:val="-2"/>
                      <w:szCs w:val="21"/>
                      <w:highlight w:val="none"/>
                      <w:u w:val="single"/>
                    </w:rPr>
                    <w:t>)</w:t>
                  </w:r>
                </w:p>
              </w:tc>
            </w:tr>
            <w:tr w14:paraId="3AF4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60B2AB04">
                  <w:pPr>
                    <w:snapToGrid w:val="0"/>
                    <w:jc w:val="center"/>
                    <w:rPr>
                      <w:color w:val="auto"/>
                      <w:szCs w:val="21"/>
                      <w:highlight w:val="none"/>
                    </w:rPr>
                  </w:pPr>
                </w:p>
              </w:tc>
              <w:tc>
                <w:tcPr>
                  <w:tcW w:w="1773" w:type="dxa"/>
                  <w:noWrap w:val="0"/>
                  <w:vAlign w:val="center"/>
                </w:tcPr>
                <w:p w14:paraId="3238CCFD">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14F4230B">
                  <w:pPr>
                    <w:snapToGrid w:val="0"/>
                    <w:jc w:val="center"/>
                    <w:rPr>
                      <w:rFonts w:eastAsia="Times New Roman"/>
                      <w:color w:val="auto"/>
                      <w:szCs w:val="21"/>
                      <w:highlight w:val="none"/>
                    </w:rPr>
                  </w:pPr>
                  <w:r>
                    <w:rPr>
                      <w:color w:val="auto"/>
                      <w:szCs w:val="21"/>
                      <w:highlight w:val="none"/>
                    </w:rPr>
                    <w:t>150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7DB6045F">
                  <w:pPr>
                    <w:snapToGrid w:val="0"/>
                    <w:jc w:val="center"/>
                    <w:rPr>
                      <w:color w:val="auto"/>
                      <w:szCs w:val="21"/>
                      <w:highlight w:val="none"/>
                    </w:rPr>
                  </w:pPr>
                </w:p>
              </w:tc>
            </w:tr>
            <w:tr w14:paraId="6010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09C45CF8">
                  <w:pPr>
                    <w:snapToGrid w:val="0"/>
                    <w:jc w:val="center"/>
                    <w:rPr>
                      <w:color w:val="auto"/>
                      <w:szCs w:val="21"/>
                      <w:highlight w:val="none"/>
                    </w:rPr>
                  </w:pPr>
                </w:p>
              </w:tc>
              <w:tc>
                <w:tcPr>
                  <w:tcW w:w="1773" w:type="dxa"/>
                  <w:noWrap w:val="0"/>
                  <w:vAlign w:val="center"/>
                </w:tcPr>
                <w:p w14:paraId="4BE0E5B7">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4C0DC9DC">
                  <w:pPr>
                    <w:snapToGrid w:val="0"/>
                    <w:jc w:val="center"/>
                    <w:rPr>
                      <w:rFonts w:eastAsia="Times New Roman"/>
                      <w:color w:val="auto"/>
                      <w:szCs w:val="21"/>
                      <w:highlight w:val="none"/>
                    </w:rPr>
                  </w:pPr>
                  <w:r>
                    <w:rPr>
                      <w:color w:val="auto"/>
                      <w:szCs w:val="21"/>
                      <w:highlight w:val="none"/>
                    </w:rPr>
                    <w:t>60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51170BA1">
                  <w:pPr>
                    <w:snapToGrid w:val="0"/>
                    <w:jc w:val="center"/>
                    <w:rPr>
                      <w:color w:val="auto"/>
                      <w:szCs w:val="21"/>
                      <w:highlight w:val="none"/>
                    </w:rPr>
                  </w:pPr>
                </w:p>
              </w:tc>
            </w:tr>
            <w:tr w14:paraId="1961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69CB42A6">
                  <w:pPr>
                    <w:snapToGrid w:val="0"/>
                    <w:jc w:val="center"/>
                    <w:rPr>
                      <w:rFonts w:eastAsia="Times New Roman"/>
                      <w:color w:val="auto"/>
                      <w:szCs w:val="21"/>
                      <w:highlight w:val="none"/>
                    </w:rPr>
                  </w:pPr>
                  <w:r>
                    <w:rPr>
                      <w:color w:val="auto"/>
                      <w:spacing w:val="-1"/>
                      <w:position w:val="2"/>
                      <w:szCs w:val="21"/>
                      <w:highlight w:val="none"/>
                    </w:rPr>
                    <w:t>NO</w:t>
                  </w:r>
                  <w:r>
                    <w:rPr>
                      <w:color w:val="auto"/>
                      <w:spacing w:val="-1"/>
                      <w:szCs w:val="21"/>
                      <w:highlight w:val="none"/>
                      <w:vertAlign w:val="subscript"/>
                    </w:rPr>
                    <w:t>2</w:t>
                  </w:r>
                </w:p>
              </w:tc>
              <w:tc>
                <w:tcPr>
                  <w:tcW w:w="1773" w:type="dxa"/>
                  <w:noWrap w:val="0"/>
                  <w:vAlign w:val="center"/>
                </w:tcPr>
                <w:p w14:paraId="4800CD00">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0F2DA9F5">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51B1CE67">
                  <w:pPr>
                    <w:snapToGrid w:val="0"/>
                    <w:jc w:val="center"/>
                    <w:rPr>
                      <w:color w:val="auto"/>
                      <w:szCs w:val="21"/>
                      <w:highlight w:val="none"/>
                    </w:rPr>
                  </w:pPr>
                </w:p>
              </w:tc>
            </w:tr>
            <w:tr w14:paraId="09A0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7936A8A0">
                  <w:pPr>
                    <w:snapToGrid w:val="0"/>
                    <w:jc w:val="center"/>
                    <w:rPr>
                      <w:color w:val="auto"/>
                      <w:szCs w:val="21"/>
                      <w:highlight w:val="none"/>
                    </w:rPr>
                  </w:pPr>
                </w:p>
              </w:tc>
              <w:tc>
                <w:tcPr>
                  <w:tcW w:w="1773" w:type="dxa"/>
                  <w:noWrap w:val="0"/>
                  <w:vAlign w:val="center"/>
                </w:tcPr>
                <w:p w14:paraId="30864775">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30E25B19">
                  <w:pPr>
                    <w:snapToGrid w:val="0"/>
                    <w:jc w:val="center"/>
                    <w:rPr>
                      <w:rFonts w:eastAsia="Times New Roman"/>
                      <w:color w:val="auto"/>
                      <w:szCs w:val="21"/>
                      <w:highlight w:val="none"/>
                    </w:rPr>
                  </w:pPr>
                  <w:r>
                    <w:rPr>
                      <w:color w:val="auto"/>
                      <w:szCs w:val="21"/>
                      <w:highlight w:val="none"/>
                    </w:rPr>
                    <w:t>80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0120592C">
                  <w:pPr>
                    <w:snapToGrid w:val="0"/>
                    <w:jc w:val="center"/>
                    <w:rPr>
                      <w:color w:val="auto"/>
                      <w:szCs w:val="21"/>
                      <w:highlight w:val="none"/>
                    </w:rPr>
                  </w:pPr>
                </w:p>
              </w:tc>
            </w:tr>
            <w:tr w14:paraId="4A74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603C178C">
                  <w:pPr>
                    <w:snapToGrid w:val="0"/>
                    <w:jc w:val="center"/>
                    <w:rPr>
                      <w:color w:val="auto"/>
                      <w:szCs w:val="21"/>
                      <w:highlight w:val="none"/>
                    </w:rPr>
                  </w:pPr>
                </w:p>
              </w:tc>
              <w:tc>
                <w:tcPr>
                  <w:tcW w:w="1773" w:type="dxa"/>
                  <w:noWrap w:val="0"/>
                  <w:vAlign w:val="center"/>
                </w:tcPr>
                <w:p w14:paraId="46EB7AAE">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5C4081EA">
                  <w:pPr>
                    <w:snapToGrid w:val="0"/>
                    <w:jc w:val="center"/>
                    <w:rPr>
                      <w:rFonts w:eastAsia="Times New Roman"/>
                      <w:color w:val="auto"/>
                      <w:szCs w:val="21"/>
                      <w:highlight w:val="none"/>
                    </w:rPr>
                  </w:pPr>
                  <w:r>
                    <w:rPr>
                      <w:color w:val="auto"/>
                      <w:szCs w:val="21"/>
                      <w:highlight w:val="none"/>
                    </w:rPr>
                    <w:t>40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5CF3342">
                  <w:pPr>
                    <w:snapToGrid w:val="0"/>
                    <w:jc w:val="center"/>
                    <w:rPr>
                      <w:color w:val="auto"/>
                      <w:szCs w:val="21"/>
                      <w:highlight w:val="none"/>
                    </w:rPr>
                  </w:pPr>
                </w:p>
              </w:tc>
            </w:tr>
            <w:tr w14:paraId="7131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565980BB">
                  <w:pPr>
                    <w:snapToGrid w:val="0"/>
                    <w:jc w:val="center"/>
                    <w:rPr>
                      <w:rFonts w:eastAsia="Times New Roman"/>
                      <w:color w:val="auto"/>
                      <w:szCs w:val="21"/>
                      <w:highlight w:val="none"/>
                    </w:rPr>
                  </w:pPr>
                  <w:r>
                    <w:rPr>
                      <w:color w:val="auto"/>
                      <w:spacing w:val="-1"/>
                      <w:position w:val="2"/>
                      <w:szCs w:val="21"/>
                      <w:highlight w:val="none"/>
                    </w:rPr>
                    <w:t>PM</w:t>
                  </w:r>
                  <w:r>
                    <w:rPr>
                      <w:color w:val="auto"/>
                      <w:spacing w:val="-1"/>
                      <w:szCs w:val="21"/>
                      <w:highlight w:val="none"/>
                      <w:vertAlign w:val="subscript"/>
                    </w:rPr>
                    <w:t>10</w:t>
                  </w:r>
                </w:p>
              </w:tc>
              <w:tc>
                <w:tcPr>
                  <w:tcW w:w="1773" w:type="dxa"/>
                  <w:noWrap w:val="0"/>
                  <w:vAlign w:val="center"/>
                </w:tcPr>
                <w:p w14:paraId="701C22EF">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3EAD220C">
                  <w:pPr>
                    <w:snapToGrid w:val="0"/>
                    <w:jc w:val="center"/>
                    <w:rPr>
                      <w:rFonts w:eastAsia="Times New Roman"/>
                      <w:color w:val="auto"/>
                      <w:szCs w:val="21"/>
                      <w:highlight w:val="none"/>
                      <w:u w:val="single"/>
                    </w:rPr>
                  </w:pPr>
                  <w:r>
                    <w:rPr>
                      <w:rFonts w:hint="eastAsia"/>
                      <w:color w:val="auto"/>
                      <w:szCs w:val="21"/>
                      <w:highlight w:val="none"/>
                      <w:u w:val="single"/>
                      <w:lang w:val="en-US" w:eastAsia="zh-CN"/>
                    </w:rPr>
                    <w:t>12</w:t>
                  </w:r>
                  <w:r>
                    <w:rPr>
                      <w:rFonts w:hint="eastAsia"/>
                      <w:color w:val="auto"/>
                      <w:spacing w:val="-1"/>
                      <w:szCs w:val="21"/>
                      <w:highlight w:val="none"/>
                      <w:u w:val="single"/>
                      <w:lang w:val="en-US" w:eastAsia="zh-CN"/>
                    </w:rPr>
                    <w:t>0</w:t>
                  </w:r>
                  <w:r>
                    <w:rPr>
                      <w:color w:val="auto"/>
                      <w:spacing w:val="-1"/>
                      <w:szCs w:val="21"/>
                      <w:highlight w:val="none"/>
                      <w:u w:val="single"/>
                    </w:rPr>
                    <w:t>μg/m</w:t>
                  </w:r>
                  <w:r>
                    <w:rPr>
                      <w:color w:val="auto"/>
                      <w:spacing w:val="-1"/>
                      <w:szCs w:val="21"/>
                      <w:highlight w:val="none"/>
                      <w:u w:val="single"/>
                      <w:vertAlign w:val="superscript"/>
                    </w:rPr>
                    <w:t>3</w:t>
                  </w:r>
                </w:p>
              </w:tc>
              <w:tc>
                <w:tcPr>
                  <w:tcW w:w="3503" w:type="dxa"/>
                  <w:vMerge w:val="continue"/>
                  <w:noWrap w:val="0"/>
                  <w:vAlign w:val="center"/>
                </w:tcPr>
                <w:p w14:paraId="6F5FA7A8">
                  <w:pPr>
                    <w:snapToGrid w:val="0"/>
                    <w:jc w:val="center"/>
                    <w:rPr>
                      <w:color w:val="auto"/>
                      <w:szCs w:val="21"/>
                      <w:highlight w:val="none"/>
                    </w:rPr>
                  </w:pPr>
                </w:p>
              </w:tc>
            </w:tr>
            <w:tr w14:paraId="5E25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0601ED59">
                  <w:pPr>
                    <w:snapToGrid w:val="0"/>
                    <w:jc w:val="center"/>
                    <w:rPr>
                      <w:color w:val="auto"/>
                      <w:szCs w:val="21"/>
                      <w:highlight w:val="none"/>
                    </w:rPr>
                  </w:pPr>
                </w:p>
              </w:tc>
              <w:tc>
                <w:tcPr>
                  <w:tcW w:w="1773" w:type="dxa"/>
                  <w:noWrap w:val="0"/>
                  <w:vAlign w:val="center"/>
                </w:tcPr>
                <w:p w14:paraId="74DAC769">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58F23037">
                  <w:pPr>
                    <w:snapToGrid w:val="0"/>
                    <w:jc w:val="center"/>
                    <w:rPr>
                      <w:rFonts w:eastAsia="Times New Roman"/>
                      <w:color w:val="auto"/>
                      <w:szCs w:val="21"/>
                      <w:highlight w:val="none"/>
                      <w:u w:val="single"/>
                    </w:rPr>
                  </w:pPr>
                  <w:r>
                    <w:rPr>
                      <w:rFonts w:hint="eastAsia"/>
                      <w:color w:val="auto"/>
                      <w:szCs w:val="21"/>
                      <w:highlight w:val="none"/>
                      <w:u w:val="single"/>
                      <w:lang w:val="en-US" w:eastAsia="zh-CN"/>
                    </w:rPr>
                    <w:t>60</w:t>
                  </w:r>
                  <w:r>
                    <w:rPr>
                      <w:color w:val="auto"/>
                      <w:spacing w:val="-1"/>
                      <w:szCs w:val="21"/>
                      <w:highlight w:val="none"/>
                      <w:u w:val="single"/>
                    </w:rPr>
                    <w:t>μg/m</w:t>
                  </w:r>
                  <w:r>
                    <w:rPr>
                      <w:color w:val="auto"/>
                      <w:spacing w:val="-1"/>
                      <w:szCs w:val="21"/>
                      <w:highlight w:val="none"/>
                      <w:u w:val="single"/>
                      <w:vertAlign w:val="superscript"/>
                    </w:rPr>
                    <w:t>3</w:t>
                  </w:r>
                </w:p>
              </w:tc>
              <w:tc>
                <w:tcPr>
                  <w:tcW w:w="3503" w:type="dxa"/>
                  <w:vMerge w:val="continue"/>
                  <w:noWrap w:val="0"/>
                  <w:vAlign w:val="center"/>
                </w:tcPr>
                <w:p w14:paraId="0493E319">
                  <w:pPr>
                    <w:snapToGrid w:val="0"/>
                    <w:jc w:val="center"/>
                    <w:rPr>
                      <w:color w:val="auto"/>
                      <w:szCs w:val="21"/>
                      <w:highlight w:val="none"/>
                    </w:rPr>
                  </w:pPr>
                </w:p>
              </w:tc>
            </w:tr>
            <w:tr w14:paraId="5D4F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2965B61E">
                  <w:pPr>
                    <w:snapToGrid w:val="0"/>
                    <w:jc w:val="center"/>
                    <w:rPr>
                      <w:rFonts w:eastAsia="Times New Roman"/>
                      <w:color w:val="auto"/>
                      <w:szCs w:val="21"/>
                      <w:highlight w:val="none"/>
                    </w:rPr>
                  </w:pPr>
                  <w:r>
                    <w:rPr>
                      <w:color w:val="auto"/>
                      <w:position w:val="2"/>
                      <w:szCs w:val="21"/>
                      <w:highlight w:val="none"/>
                    </w:rPr>
                    <w:t>PM</w:t>
                  </w:r>
                  <w:r>
                    <w:rPr>
                      <w:color w:val="auto"/>
                      <w:szCs w:val="21"/>
                      <w:highlight w:val="none"/>
                      <w:vertAlign w:val="subscript"/>
                    </w:rPr>
                    <w:t>2.5</w:t>
                  </w:r>
                </w:p>
              </w:tc>
              <w:tc>
                <w:tcPr>
                  <w:tcW w:w="1773" w:type="dxa"/>
                  <w:noWrap w:val="0"/>
                  <w:vAlign w:val="center"/>
                </w:tcPr>
                <w:p w14:paraId="2A3DFC2C">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30E47ACC">
                  <w:pPr>
                    <w:snapToGrid w:val="0"/>
                    <w:jc w:val="center"/>
                    <w:rPr>
                      <w:rFonts w:eastAsia="Times New Roman"/>
                      <w:color w:val="auto"/>
                      <w:szCs w:val="21"/>
                      <w:highlight w:val="none"/>
                      <w:u w:val="single"/>
                    </w:rPr>
                  </w:pPr>
                  <w:r>
                    <w:rPr>
                      <w:rFonts w:hint="eastAsia"/>
                      <w:color w:val="auto"/>
                      <w:szCs w:val="21"/>
                      <w:highlight w:val="none"/>
                      <w:u w:val="single"/>
                      <w:lang w:val="en-US" w:eastAsia="zh-CN"/>
                    </w:rPr>
                    <w:t>60</w:t>
                  </w:r>
                  <w:r>
                    <w:rPr>
                      <w:color w:val="auto"/>
                      <w:spacing w:val="-1"/>
                      <w:szCs w:val="21"/>
                      <w:highlight w:val="none"/>
                      <w:u w:val="single"/>
                    </w:rPr>
                    <w:t>μg/m</w:t>
                  </w:r>
                  <w:r>
                    <w:rPr>
                      <w:color w:val="auto"/>
                      <w:spacing w:val="-1"/>
                      <w:szCs w:val="21"/>
                      <w:highlight w:val="none"/>
                      <w:u w:val="single"/>
                      <w:vertAlign w:val="superscript"/>
                    </w:rPr>
                    <w:t>3</w:t>
                  </w:r>
                </w:p>
              </w:tc>
              <w:tc>
                <w:tcPr>
                  <w:tcW w:w="3503" w:type="dxa"/>
                  <w:vMerge w:val="continue"/>
                  <w:noWrap w:val="0"/>
                  <w:vAlign w:val="center"/>
                </w:tcPr>
                <w:p w14:paraId="0F63144A">
                  <w:pPr>
                    <w:snapToGrid w:val="0"/>
                    <w:jc w:val="center"/>
                    <w:rPr>
                      <w:color w:val="auto"/>
                      <w:szCs w:val="21"/>
                      <w:highlight w:val="none"/>
                    </w:rPr>
                  </w:pPr>
                </w:p>
              </w:tc>
            </w:tr>
            <w:tr w14:paraId="348C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7A6D3570">
                  <w:pPr>
                    <w:snapToGrid w:val="0"/>
                    <w:jc w:val="center"/>
                    <w:rPr>
                      <w:color w:val="auto"/>
                      <w:szCs w:val="21"/>
                      <w:highlight w:val="none"/>
                    </w:rPr>
                  </w:pPr>
                </w:p>
              </w:tc>
              <w:tc>
                <w:tcPr>
                  <w:tcW w:w="1773" w:type="dxa"/>
                  <w:noWrap w:val="0"/>
                  <w:vAlign w:val="center"/>
                </w:tcPr>
                <w:p w14:paraId="3BD7E244">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041C634A">
                  <w:pPr>
                    <w:snapToGrid w:val="0"/>
                    <w:jc w:val="center"/>
                    <w:rPr>
                      <w:rFonts w:eastAsia="Times New Roman"/>
                      <w:color w:val="auto"/>
                      <w:szCs w:val="21"/>
                      <w:highlight w:val="none"/>
                      <w:u w:val="single"/>
                    </w:rPr>
                  </w:pPr>
                  <w:r>
                    <w:rPr>
                      <w:rFonts w:hint="eastAsia"/>
                      <w:color w:val="auto"/>
                      <w:szCs w:val="21"/>
                      <w:highlight w:val="none"/>
                      <w:u w:val="single"/>
                      <w:lang w:val="en-US" w:eastAsia="zh-CN"/>
                    </w:rPr>
                    <w:t>30</w:t>
                  </w:r>
                  <w:r>
                    <w:rPr>
                      <w:color w:val="auto"/>
                      <w:spacing w:val="-1"/>
                      <w:szCs w:val="21"/>
                      <w:highlight w:val="none"/>
                      <w:u w:val="single"/>
                    </w:rPr>
                    <w:t>μg/m</w:t>
                  </w:r>
                  <w:r>
                    <w:rPr>
                      <w:color w:val="auto"/>
                      <w:spacing w:val="-1"/>
                      <w:szCs w:val="21"/>
                      <w:highlight w:val="none"/>
                      <w:u w:val="single"/>
                      <w:vertAlign w:val="superscript"/>
                    </w:rPr>
                    <w:t>3</w:t>
                  </w:r>
                </w:p>
              </w:tc>
              <w:tc>
                <w:tcPr>
                  <w:tcW w:w="3503" w:type="dxa"/>
                  <w:vMerge w:val="continue"/>
                  <w:noWrap w:val="0"/>
                  <w:vAlign w:val="center"/>
                </w:tcPr>
                <w:p w14:paraId="7D511A76">
                  <w:pPr>
                    <w:snapToGrid w:val="0"/>
                    <w:jc w:val="center"/>
                    <w:rPr>
                      <w:color w:val="auto"/>
                      <w:szCs w:val="21"/>
                      <w:highlight w:val="none"/>
                    </w:rPr>
                  </w:pPr>
                </w:p>
              </w:tc>
            </w:tr>
            <w:tr w14:paraId="3508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0534F64A">
                  <w:pPr>
                    <w:snapToGrid w:val="0"/>
                    <w:jc w:val="center"/>
                    <w:rPr>
                      <w:rFonts w:eastAsia="Times New Roman"/>
                      <w:color w:val="auto"/>
                      <w:szCs w:val="21"/>
                      <w:highlight w:val="none"/>
                    </w:rPr>
                  </w:pPr>
                  <w:r>
                    <w:rPr>
                      <w:color w:val="auto"/>
                      <w:spacing w:val="-1"/>
                      <w:szCs w:val="21"/>
                      <w:highlight w:val="none"/>
                    </w:rPr>
                    <w:t>TSP</w:t>
                  </w:r>
                </w:p>
              </w:tc>
              <w:tc>
                <w:tcPr>
                  <w:tcW w:w="1773" w:type="dxa"/>
                  <w:noWrap w:val="0"/>
                  <w:vAlign w:val="center"/>
                </w:tcPr>
                <w:p w14:paraId="75E51C04">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3992AB7E">
                  <w:pPr>
                    <w:snapToGrid w:val="0"/>
                    <w:jc w:val="center"/>
                    <w:rPr>
                      <w:rFonts w:eastAsia="Times New Roman"/>
                      <w:color w:val="auto"/>
                      <w:szCs w:val="21"/>
                      <w:highlight w:val="none"/>
                    </w:rPr>
                  </w:pPr>
                  <w:r>
                    <w:rPr>
                      <w:color w:val="auto"/>
                      <w:szCs w:val="21"/>
                      <w:highlight w:val="none"/>
                    </w:rPr>
                    <w:t>300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05BDA1F6">
                  <w:pPr>
                    <w:snapToGrid w:val="0"/>
                    <w:jc w:val="center"/>
                    <w:rPr>
                      <w:color w:val="auto"/>
                      <w:szCs w:val="21"/>
                      <w:highlight w:val="none"/>
                    </w:rPr>
                  </w:pPr>
                </w:p>
              </w:tc>
            </w:tr>
            <w:tr w14:paraId="23E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60BA3CE8">
                  <w:pPr>
                    <w:snapToGrid w:val="0"/>
                    <w:jc w:val="center"/>
                    <w:rPr>
                      <w:color w:val="auto"/>
                      <w:szCs w:val="21"/>
                      <w:highlight w:val="none"/>
                    </w:rPr>
                  </w:pPr>
                </w:p>
              </w:tc>
              <w:tc>
                <w:tcPr>
                  <w:tcW w:w="1773" w:type="dxa"/>
                  <w:noWrap w:val="0"/>
                  <w:vAlign w:val="center"/>
                </w:tcPr>
                <w:p w14:paraId="02726CB4">
                  <w:pPr>
                    <w:snapToGrid w:val="0"/>
                    <w:jc w:val="center"/>
                    <w:rPr>
                      <w:rFonts w:ascii="宋体" w:hAnsi="宋体" w:cs="宋体"/>
                      <w:color w:val="auto"/>
                      <w:szCs w:val="21"/>
                      <w:highlight w:val="none"/>
                    </w:rPr>
                  </w:pPr>
                  <w:r>
                    <w:rPr>
                      <w:rFonts w:ascii="宋体" w:hAnsi="宋体" w:cs="宋体"/>
                      <w:color w:val="auto"/>
                      <w:szCs w:val="21"/>
                      <w:highlight w:val="none"/>
                    </w:rPr>
                    <w:t>年</w:t>
                  </w:r>
                  <w:r>
                    <w:rPr>
                      <w:rFonts w:ascii="宋体" w:hAnsi="宋体" w:cs="宋体"/>
                      <w:color w:val="auto"/>
                      <w:spacing w:val="-1"/>
                      <w:szCs w:val="21"/>
                      <w:highlight w:val="none"/>
                    </w:rPr>
                    <w:t>平均</w:t>
                  </w:r>
                </w:p>
              </w:tc>
              <w:tc>
                <w:tcPr>
                  <w:tcW w:w="1554" w:type="dxa"/>
                  <w:noWrap w:val="0"/>
                  <w:vAlign w:val="center"/>
                </w:tcPr>
                <w:p w14:paraId="790F0A95">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570376BB">
                  <w:pPr>
                    <w:snapToGrid w:val="0"/>
                    <w:jc w:val="center"/>
                    <w:rPr>
                      <w:color w:val="auto"/>
                      <w:szCs w:val="21"/>
                      <w:highlight w:val="none"/>
                    </w:rPr>
                  </w:pPr>
                </w:p>
              </w:tc>
            </w:tr>
            <w:tr w14:paraId="28A3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5D8BB84C">
                  <w:pPr>
                    <w:snapToGrid w:val="0"/>
                    <w:jc w:val="center"/>
                    <w:rPr>
                      <w:rFonts w:eastAsia="Times New Roman"/>
                      <w:color w:val="auto"/>
                      <w:szCs w:val="21"/>
                      <w:highlight w:val="none"/>
                    </w:rPr>
                  </w:pPr>
                  <w:r>
                    <w:rPr>
                      <w:color w:val="auto"/>
                      <w:szCs w:val="21"/>
                      <w:highlight w:val="none"/>
                    </w:rPr>
                    <w:t>CO</w:t>
                  </w:r>
                </w:p>
              </w:tc>
              <w:tc>
                <w:tcPr>
                  <w:tcW w:w="1773" w:type="dxa"/>
                  <w:noWrap w:val="0"/>
                  <w:vAlign w:val="center"/>
                </w:tcPr>
                <w:p w14:paraId="2C409D80">
                  <w:pPr>
                    <w:snapToGrid w:val="0"/>
                    <w:jc w:val="center"/>
                    <w:rPr>
                      <w:rFonts w:ascii="宋体" w:hAnsi="宋体" w:cs="宋体"/>
                      <w:color w:val="auto"/>
                      <w:szCs w:val="21"/>
                      <w:highlight w:val="none"/>
                    </w:rPr>
                  </w:pPr>
                  <w:r>
                    <w:rPr>
                      <w:rFonts w:eastAsia="Times New Roman"/>
                      <w:color w:val="auto"/>
                      <w:szCs w:val="21"/>
                      <w:highlight w:val="none"/>
                    </w:rPr>
                    <w:t>1</w:t>
                  </w:r>
                  <w:r>
                    <w:rPr>
                      <w:rFonts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1A49B36E">
                  <w:pPr>
                    <w:snapToGrid w:val="0"/>
                    <w:jc w:val="center"/>
                    <w:rPr>
                      <w:rFonts w:eastAsia="Times New Roman"/>
                      <w:color w:val="auto"/>
                      <w:szCs w:val="21"/>
                      <w:highlight w:val="none"/>
                    </w:rPr>
                  </w:pPr>
                  <w:r>
                    <w:rPr>
                      <w:color w:val="auto"/>
                      <w:szCs w:val="21"/>
                      <w:highlight w:val="none"/>
                    </w:rPr>
                    <w:t>10</w:t>
                  </w:r>
                  <w:r>
                    <w:rPr>
                      <w:rFonts w:hint="eastAsia"/>
                      <w:color w:val="auto"/>
                      <w:szCs w:val="21"/>
                      <w:highlight w:val="none"/>
                    </w:rPr>
                    <w:t>m</w:t>
                  </w:r>
                  <w:r>
                    <w:rPr>
                      <w:color w:val="auto"/>
                      <w:spacing w:val="-1"/>
                      <w:szCs w:val="21"/>
                      <w:highlight w:val="none"/>
                    </w:rPr>
                    <w:t>g/m</w:t>
                  </w:r>
                  <w:r>
                    <w:rPr>
                      <w:color w:val="auto"/>
                      <w:spacing w:val="-1"/>
                      <w:szCs w:val="21"/>
                      <w:highlight w:val="none"/>
                      <w:vertAlign w:val="superscript"/>
                    </w:rPr>
                    <w:t>3</w:t>
                  </w:r>
                </w:p>
              </w:tc>
              <w:tc>
                <w:tcPr>
                  <w:tcW w:w="3503" w:type="dxa"/>
                  <w:vMerge w:val="continue"/>
                  <w:noWrap w:val="0"/>
                  <w:vAlign w:val="center"/>
                </w:tcPr>
                <w:p w14:paraId="28904318">
                  <w:pPr>
                    <w:snapToGrid w:val="0"/>
                    <w:jc w:val="center"/>
                    <w:rPr>
                      <w:color w:val="auto"/>
                      <w:szCs w:val="21"/>
                      <w:highlight w:val="none"/>
                    </w:rPr>
                  </w:pPr>
                </w:p>
              </w:tc>
            </w:tr>
            <w:tr w14:paraId="3F82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3663005C">
                  <w:pPr>
                    <w:snapToGrid w:val="0"/>
                    <w:jc w:val="center"/>
                    <w:rPr>
                      <w:color w:val="auto"/>
                      <w:szCs w:val="21"/>
                      <w:highlight w:val="none"/>
                    </w:rPr>
                  </w:pPr>
                </w:p>
              </w:tc>
              <w:tc>
                <w:tcPr>
                  <w:tcW w:w="1773" w:type="dxa"/>
                  <w:noWrap w:val="0"/>
                  <w:vAlign w:val="center"/>
                </w:tcPr>
                <w:p w14:paraId="7E5BB47D">
                  <w:pPr>
                    <w:snapToGrid w:val="0"/>
                    <w:jc w:val="center"/>
                    <w:rPr>
                      <w:rFonts w:ascii="宋体" w:hAnsi="宋体" w:cs="宋体"/>
                      <w:color w:val="auto"/>
                      <w:szCs w:val="21"/>
                      <w:highlight w:val="none"/>
                    </w:rPr>
                  </w:pPr>
                  <w:r>
                    <w:rPr>
                      <w:color w:val="auto"/>
                      <w:szCs w:val="21"/>
                      <w:highlight w:val="none"/>
                    </w:rPr>
                    <w:t>24</w:t>
                  </w:r>
                  <w:r>
                    <w:rPr>
                      <w:rFonts w:hint="eastAsia" w:ascii="宋体" w:hAnsi="宋体" w:cs="宋体"/>
                      <w:color w:val="auto"/>
                      <w:szCs w:val="21"/>
                      <w:highlight w:val="none"/>
                    </w:rPr>
                    <w:t>小时</w:t>
                  </w:r>
                  <w:r>
                    <w:rPr>
                      <w:rFonts w:ascii="宋体" w:hAnsi="宋体" w:cs="宋体"/>
                      <w:color w:val="auto"/>
                      <w:spacing w:val="-1"/>
                      <w:szCs w:val="21"/>
                      <w:highlight w:val="none"/>
                    </w:rPr>
                    <w:t>平均</w:t>
                  </w:r>
                </w:p>
              </w:tc>
              <w:tc>
                <w:tcPr>
                  <w:tcW w:w="1554" w:type="dxa"/>
                  <w:noWrap w:val="0"/>
                  <w:vAlign w:val="center"/>
                </w:tcPr>
                <w:p w14:paraId="26907C96">
                  <w:pPr>
                    <w:snapToGrid w:val="0"/>
                    <w:jc w:val="center"/>
                    <w:rPr>
                      <w:rFonts w:eastAsia="Times New Roman"/>
                      <w:color w:val="auto"/>
                      <w:szCs w:val="21"/>
                      <w:highlight w:val="none"/>
                    </w:rPr>
                  </w:pPr>
                  <w:r>
                    <w:rPr>
                      <w:color w:val="auto"/>
                      <w:szCs w:val="21"/>
                      <w:highlight w:val="none"/>
                    </w:rPr>
                    <w:t>4</w:t>
                  </w:r>
                  <w:r>
                    <w:rPr>
                      <w:rFonts w:hint="eastAsia"/>
                      <w:color w:val="auto"/>
                      <w:szCs w:val="21"/>
                      <w:highlight w:val="none"/>
                    </w:rPr>
                    <w:t>m</w:t>
                  </w:r>
                  <w:r>
                    <w:rPr>
                      <w:color w:val="auto"/>
                      <w:spacing w:val="-1"/>
                      <w:szCs w:val="21"/>
                      <w:highlight w:val="none"/>
                    </w:rPr>
                    <w:t>g/m</w:t>
                  </w:r>
                  <w:r>
                    <w:rPr>
                      <w:color w:val="auto"/>
                      <w:spacing w:val="-1"/>
                      <w:szCs w:val="21"/>
                      <w:highlight w:val="none"/>
                      <w:vertAlign w:val="superscript"/>
                    </w:rPr>
                    <w:t>3</w:t>
                  </w:r>
                </w:p>
              </w:tc>
              <w:tc>
                <w:tcPr>
                  <w:tcW w:w="3503" w:type="dxa"/>
                  <w:vMerge w:val="continue"/>
                  <w:noWrap w:val="0"/>
                  <w:vAlign w:val="center"/>
                </w:tcPr>
                <w:p w14:paraId="525BE884">
                  <w:pPr>
                    <w:snapToGrid w:val="0"/>
                    <w:jc w:val="center"/>
                    <w:rPr>
                      <w:color w:val="auto"/>
                      <w:szCs w:val="21"/>
                      <w:highlight w:val="none"/>
                    </w:rPr>
                  </w:pPr>
                </w:p>
              </w:tc>
            </w:tr>
            <w:tr w14:paraId="3F7A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restart"/>
                  <w:noWrap w:val="0"/>
                  <w:vAlign w:val="center"/>
                </w:tcPr>
                <w:p w14:paraId="5F6EBD45">
                  <w:pPr>
                    <w:snapToGrid w:val="0"/>
                    <w:jc w:val="center"/>
                    <w:rPr>
                      <w:rFonts w:eastAsia="Times New Roman"/>
                      <w:color w:val="auto"/>
                      <w:szCs w:val="21"/>
                      <w:highlight w:val="none"/>
                    </w:rPr>
                  </w:pPr>
                  <w:r>
                    <w:rPr>
                      <w:color w:val="auto"/>
                      <w:position w:val="2"/>
                      <w:szCs w:val="21"/>
                      <w:highlight w:val="none"/>
                    </w:rPr>
                    <w:t>O</w:t>
                  </w:r>
                  <w:r>
                    <w:rPr>
                      <w:color w:val="auto"/>
                      <w:szCs w:val="21"/>
                      <w:highlight w:val="none"/>
                      <w:vertAlign w:val="subscript"/>
                    </w:rPr>
                    <w:t>3</w:t>
                  </w:r>
                </w:p>
              </w:tc>
              <w:tc>
                <w:tcPr>
                  <w:tcW w:w="1773" w:type="dxa"/>
                  <w:noWrap w:val="0"/>
                  <w:vAlign w:val="center"/>
                </w:tcPr>
                <w:p w14:paraId="1018E690">
                  <w:pPr>
                    <w:snapToGrid w:val="0"/>
                    <w:jc w:val="center"/>
                    <w:rPr>
                      <w:rFonts w:ascii="宋体" w:hAnsi="宋体" w:cs="宋体"/>
                      <w:color w:val="auto"/>
                      <w:szCs w:val="21"/>
                      <w:highlight w:val="none"/>
                    </w:rPr>
                  </w:pPr>
                  <w:r>
                    <w:rPr>
                      <w:rFonts w:hint="eastAsia" w:ascii="宋体" w:hAnsi="宋体" w:cs="宋体"/>
                      <w:color w:val="auto"/>
                      <w:spacing w:val="-1"/>
                      <w:szCs w:val="21"/>
                      <w:highlight w:val="none"/>
                    </w:rPr>
                    <w:t>1</w:t>
                  </w:r>
                  <w:r>
                    <w:rPr>
                      <w:rFonts w:ascii="宋体" w:hAnsi="宋体" w:cs="宋体"/>
                      <w:color w:val="auto"/>
                      <w:spacing w:val="-1"/>
                      <w:szCs w:val="21"/>
                      <w:highlight w:val="none"/>
                    </w:rPr>
                    <w:t>小时平均</w:t>
                  </w:r>
                </w:p>
              </w:tc>
              <w:tc>
                <w:tcPr>
                  <w:tcW w:w="1554" w:type="dxa"/>
                  <w:noWrap w:val="0"/>
                  <w:vAlign w:val="center"/>
                </w:tcPr>
                <w:p w14:paraId="02FA2CCE">
                  <w:pPr>
                    <w:snapToGrid w:val="0"/>
                    <w:jc w:val="center"/>
                    <w:rPr>
                      <w:rFonts w:eastAsia="Times New Roman"/>
                      <w:color w:val="auto"/>
                      <w:szCs w:val="21"/>
                      <w:highlight w:val="none"/>
                    </w:rPr>
                  </w:pPr>
                  <w:r>
                    <w:rPr>
                      <w:color w:val="auto"/>
                      <w:szCs w:val="21"/>
                      <w:highlight w:val="none"/>
                    </w:rPr>
                    <w:t>200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68E65671">
                  <w:pPr>
                    <w:snapToGrid w:val="0"/>
                    <w:jc w:val="center"/>
                    <w:rPr>
                      <w:color w:val="auto"/>
                      <w:szCs w:val="21"/>
                      <w:highlight w:val="none"/>
                    </w:rPr>
                  </w:pPr>
                </w:p>
              </w:tc>
            </w:tr>
            <w:tr w14:paraId="5030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4" w:type="dxa"/>
                  <w:vMerge w:val="continue"/>
                  <w:noWrap w:val="0"/>
                  <w:vAlign w:val="center"/>
                </w:tcPr>
                <w:p w14:paraId="5FECDF5C">
                  <w:pPr>
                    <w:snapToGrid w:val="0"/>
                    <w:jc w:val="center"/>
                    <w:rPr>
                      <w:color w:val="auto"/>
                      <w:szCs w:val="21"/>
                      <w:highlight w:val="none"/>
                    </w:rPr>
                  </w:pPr>
                </w:p>
              </w:tc>
              <w:tc>
                <w:tcPr>
                  <w:tcW w:w="1773" w:type="dxa"/>
                  <w:noWrap w:val="0"/>
                  <w:vAlign w:val="center"/>
                </w:tcPr>
                <w:p w14:paraId="543F4D27">
                  <w:pPr>
                    <w:snapToGrid w:val="0"/>
                    <w:jc w:val="center"/>
                    <w:rPr>
                      <w:rFonts w:ascii="宋体" w:hAnsi="宋体" w:cs="宋体"/>
                      <w:color w:val="auto"/>
                      <w:szCs w:val="21"/>
                      <w:highlight w:val="none"/>
                    </w:rPr>
                  </w:pPr>
                  <w:r>
                    <w:rPr>
                      <w:rFonts w:ascii="宋体" w:hAnsi="宋体" w:cs="宋体"/>
                      <w:color w:val="auto"/>
                      <w:szCs w:val="21"/>
                      <w:highlight w:val="none"/>
                    </w:rPr>
                    <w:t>日最大</w:t>
                  </w:r>
                  <w:r>
                    <w:rPr>
                      <w:rFonts w:eastAsia="Times New Roman"/>
                      <w:color w:val="auto"/>
                      <w:szCs w:val="21"/>
                      <w:highlight w:val="none"/>
                    </w:rPr>
                    <w:t xml:space="preserve">8 </w:t>
                  </w:r>
                  <w:r>
                    <w:rPr>
                      <w:rFonts w:ascii="宋体" w:hAnsi="宋体" w:cs="宋体"/>
                      <w:color w:val="auto"/>
                      <w:spacing w:val="-1"/>
                      <w:szCs w:val="21"/>
                      <w:highlight w:val="none"/>
                    </w:rPr>
                    <w:t>小时平均</w:t>
                  </w:r>
                </w:p>
              </w:tc>
              <w:tc>
                <w:tcPr>
                  <w:tcW w:w="1554" w:type="dxa"/>
                  <w:noWrap w:val="0"/>
                  <w:vAlign w:val="center"/>
                </w:tcPr>
                <w:p w14:paraId="1B3E4B65">
                  <w:pPr>
                    <w:snapToGrid w:val="0"/>
                    <w:jc w:val="center"/>
                    <w:rPr>
                      <w:rFonts w:eastAsia="Times New Roman"/>
                      <w:color w:val="auto"/>
                      <w:szCs w:val="21"/>
                      <w:highlight w:val="none"/>
                    </w:rPr>
                  </w:pPr>
                  <w:r>
                    <w:rPr>
                      <w:color w:val="auto"/>
                      <w:szCs w:val="21"/>
                      <w:highlight w:val="none"/>
                    </w:rPr>
                    <w:t>160</w:t>
                  </w:r>
                  <w:r>
                    <w:rPr>
                      <w:color w:val="auto"/>
                      <w:spacing w:val="-1"/>
                      <w:szCs w:val="21"/>
                      <w:highlight w:val="none"/>
                    </w:rPr>
                    <w:t>μg/m</w:t>
                  </w:r>
                  <w:r>
                    <w:rPr>
                      <w:color w:val="auto"/>
                      <w:spacing w:val="-1"/>
                      <w:szCs w:val="21"/>
                      <w:highlight w:val="none"/>
                      <w:vertAlign w:val="superscript"/>
                    </w:rPr>
                    <w:t>3</w:t>
                  </w:r>
                </w:p>
              </w:tc>
              <w:tc>
                <w:tcPr>
                  <w:tcW w:w="3503" w:type="dxa"/>
                  <w:vMerge w:val="continue"/>
                  <w:noWrap w:val="0"/>
                  <w:vAlign w:val="center"/>
                </w:tcPr>
                <w:p w14:paraId="1689679C">
                  <w:pPr>
                    <w:snapToGrid w:val="0"/>
                    <w:jc w:val="center"/>
                    <w:rPr>
                      <w:color w:val="auto"/>
                      <w:szCs w:val="21"/>
                      <w:highlight w:val="none"/>
                    </w:rPr>
                  </w:pPr>
                </w:p>
              </w:tc>
            </w:tr>
          </w:tbl>
          <w:p w14:paraId="56E93432">
            <w:pPr>
              <w:spacing w:line="360" w:lineRule="auto"/>
              <w:ind w:firstLine="482" w:firstLineChars="200"/>
              <w:rPr>
                <w:rFonts w:hint="eastAsia"/>
                <w:color w:val="auto"/>
                <w:sz w:val="24"/>
                <w:highlight w:val="none"/>
              </w:rPr>
            </w:pPr>
            <w:r>
              <w:rPr>
                <w:rFonts w:hint="eastAsia"/>
                <w:b/>
                <w:color w:val="auto"/>
                <w:sz w:val="24"/>
                <w:highlight w:val="none"/>
              </w:rPr>
              <w:t>2、声环境</w:t>
            </w:r>
          </w:p>
          <w:p w14:paraId="6072668C">
            <w:pPr>
              <w:spacing w:line="360" w:lineRule="auto"/>
              <w:ind w:firstLine="480" w:firstLineChars="200"/>
              <w:rPr>
                <w:rFonts w:hint="eastAsia"/>
                <w:color w:val="auto"/>
                <w:sz w:val="24"/>
                <w:highlight w:val="none"/>
              </w:rPr>
            </w:pPr>
            <w:r>
              <w:rPr>
                <w:rFonts w:hint="eastAsia" w:ascii="Times New Roman" w:hAnsi="Times New Roman" w:eastAsia="宋体" w:cs="Times New Roman"/>
                <w:color w:val="auto"/>
                <w:sz w:val="24"/>
                <w:highlight w:val="none"/>
                <w:lang w:val="en-US" w:eastAsia="zh-CN"/>
              </w:rPr>
              <w:t>根据《钦州市中心城区声环境功能区划（2018-2035年）》，</w:t>
            </w:r>
            <w:r>
              <w:rPr>
                <w:rFonts w:hint="eastAsia" w:cs="Times New Roman"/>
                <w:color w:val="auto"/>
                <w:sz w:val="24"/>
                <w:highlight w:val="none"/>
                <w:u w:val="single"/>
                <w:lang w:val="en-US" w:eastAsia="zh-CN"/>
              </w:rPr>
              <w:t>金鼓江海运航线划定为4a类声环境功能区</w:t>
            </w:r>
            <w:r>
              <w:rPr>
                <w:rFonts w:hint="eastAsia" w:ascii="Times New Roman" w:hAnsi="Times New Roman" w:eastAsia="宋体" w:cs="Times New Roman"/>
                <w:color w:val="auto"/>
                <w:sz w:val="24"/>
                <w:highlight w:val="none"/>
                <w:u w:val="single"/>
                <w:shd w:val="clear" w:color="auto" w:fill="FFFFFF"/>
                <w:lang w:val="en-US" w:eastAsia="zh-CN"/>
              </w:rPr>
              <w:t>，</w:t>
            </w:r>
            <w:r>
              <w:rPr>
                <w:rFonts w:hint="eastAsia" w:cs="Times New Roman"/>
                <w:color w:val="auto"/>
                <w:sz w:val="24"/>
                <w:highlight w:val="none"/>
                <w:u w:val="single"/>
                <w:shd w:val="clear" w:color="auto" w:fill="FFFFFF"/>
                <w:lang w:val="en-US" w:eastAsia="zh-CN"/>
              </w:rPr>
              <w:t>本次回旋水域维护性疏浚区与金鼓江航道重叠</w:t>
            </w:r>
            <w:r>
              <w:rPr>
                <w:rFonts w:hint="eastAsia" w:ascii="Times New Roman" w:hAnsi="Times New Roman" w:eastAsia="宋体" w:cs="Times New Roman"/>
                <w:color w:val="auto"/>
                <w:sz w:val="24"/>
                <w:highlight w:val="none"/>
                <w:shd w:val="clear" w:color="auto" w:fill="FFFFFF"/>
                <w:lang w:val="en-US" w:eastAsia="zh-CN"/>
              </w:rPr>
              <w:t>，因此，工程区域</w:t>
            </w:r>
            <w:r>
              <w:rPr>
                <w:rFonts w:hint="eastAsia" w:cs="Times New Roman"/>
                <w:color w:val="auto"/>
                <w:sz w:val="24"/>
                <w:highlight w:val="none"/>
                <w:shd w:val="clear" w:color="auto" w:fill="FFFFFF"/>
                <w:lang w:val="en-US" w:eastAsia="zh-CN"/>
              </w:rPr>
              <w:t>为</w:t>
            </w:r>
            <w:r>
              <w:rPr>
                <w:rFonts w:hint="eastAsia" w:cs="Times New Roman"/>
                <w:color w:val="auto"/>
                <w:sz w:val="24"/>
                <w:highlight w:val="none"/>
                <w:u w:val="single"/>
                <w:lang w:val="en-US" w:eastAsia="zh-CN"/>
              </w:rPr>
              <w:t>4a类声环境功能区，执行《声环境质量标准》（GB3096-2008）4a类环境噪声限值</w:t>
            </w:r>
            <w:r>
              <w:rPr>
                <w:rFonts w:hint="eastAsia" w:ascii="Times New Roman" w:hAnsi="Times New Roman" w:eastAsia="宋体" w:cs="Times New Roman"/>
                <w:color w:val="auto"/>
                <w:sz w:val="24"/>
                <w:highlight w:val="none"/>
                <w:lang w:val="en-US" w:eastAsia="zh-CN"/>
              </w:rPr>
              <w:t>。</w:t>
            </w:r>
          </w:p>
          <w:p w14:paraId="7B61C2BE">
            <w:pPr>
              <w:snapToGrid w:val="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表3.4-2 环境质量标准</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025"/>
              <w:gridCol w:w="1974"/>
              <w:gridCol w:w="2655"/>
            </w:tblGrid>
            <w:tr w14:paraId="13BC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Merge w:val="restart"/>
                  <w:noWrap w:val="0"/>
                  <w:vAlign w:val="center"/>
                </w:tcPr>
                <w:p w14:paraId="611D5158">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类别</w:t>
                  </w:r>
                </w:p>
              </w:tc>
              <w:tc>
                <w:tcPr>
                  <w:tcW w:w="2405" w:type="pct"/>
                  <w:gridSpan w:val="2"/>
                  <w:noWrap w:val="0"/>
                  <w:vAlign w:val="center"/>
                </w:tcPr>
                <w:p w14:paraId="2200B702">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标准值</w:t>
                  </w:r>
                </w:p>
              </w:tc>
              <w:tc>
                <w:tcPr>
                  <w:tcW w:w="1597" w:type="pct"/>
                  <w:vMerge w:val="restart"/>
                  <w:noWrap w:val="0"/>
                  <w:vAlign w:val="center"/>
                </w:tcPr>
                <w:p w14:paraId="054A1C08">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标准来源</w:t>
                  </w:r>
                </w:p>
              </w:tc>
            </w:tr>
            <w:tr w14:paraId="4720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vMerge w:val="continue"/>
                  <w:noWrap w:val="0"/>
                  <w:vAlign w:val="center"/>
                </w:tcPr>
                <w:p w14:paraId="2E10520B">
                  <w:pPr>
                    <w:snapToGrid w:val="0"/>
                    <w:jc w:val="center"/>
                    <w:rPr>
                      <w:rFonts w:hint="default" w:ascii="Times New Roman" w:hAnsi="Times New Roman" w:eastAsia="宋体" w:cs="Times New Roman"/>
                      <w:color w:val="auto"/>
                      <w:szCs w:val="21"/>
                      <w:highlight w:val="none"/>
                      <w:lang w:val="en-US" w:eastAsia="zh-CN"/>
                    </w:rPr>
                  </w:pPr>
                </w:p>
              </w:tc>
              <w:tc>
                <w:tcPr>
                  <w:tcW w:w="1218" w:type="pct"/>
                  <w:noWrap w:val="0"/>
                  <w:vAlign w:val="center"/>
                </w:tcPr>
                <w:p w14:paraId="0A5F5D0A">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1187" w:type="pct"/>
                  <w:noWrap w:val="0"/>
                  <w:vAlign w:val="center"/>
                </w:tcPr>
                <w:p w14:paraId="610E2D2F">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c>
                <w:tcPr>
                  <w:tcW w:w="1597" w:type="pct"/>
                  <w:vMerge w:val="continue"/>
                  <w:noWrap w:val="0"/>
                  <w:vAlign w:val="top"/>
                </w:tcPr>
                <w:p w14:paraId="58B0C829">
                  <w:pPr>
                    <w:snapToGrid w:val="0"/>
                    <w:jc w:val="center"/>
                    <w:rPr>
                      <w:rFonts w:hint="default" w:ascii="Times New Roman" w:hAnsi="Times New Roman" w:eastAsia="宋体" w:cs="Times New Roman"/>
                      <w:color w:val="auto"/>
                      <w:szCs w:val="21"/>
                      <w:highlight w:val="none"/>
                      <w:lang w:val="en-US" w:eastAsia="zh-CN"/>
                    </w:rPr>
                  </w:pPr>
                </w:p>
              </w:tc>
            </w:tr>
            <w:tr w14:paraId="1C51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6" w:type="pct"/>
                  <w:noWrap w:val="0"/>
                  <w:vAlign w:val="center"/>
                </w:tcPr>
                <w:p w14:paraId="500058FF">
                  <w:pPr>
                    <w:snapToGrid w:val="0"/>
                    <w:jc w:val="center"/>
                    <w:rPr>
                      <w:rFonts w:hint="default" w:ascii="Times New Roman" w:hAnsi="Times New Roman" w:eastAsia="宋体" w:cs="Times New Roman"/>
                      <w:color w:val="auto"/>
                      <w:position w:val="2"/>
                      <w:szCs w:val="21"/>
                      <w:highlight w:val="none"/>
                      <w:u w:val="single"/>
                      <w:lang w:val="en-US" w:eastAsia="zh-CN"/>
                    </w:rPr>
                  </w:pPr>
                  <w:r>
                    <w:rPr>
                      <w:rFonts w:hint="eastAsia" w:cs="Times New Roman"/>
                      <w:color w:val="auto"/>
                      <w:position w:val="2"/>
                      <w:szCs w:val="21"/>
                      <w:highlight w:val="none"/>
                      <w:u w:val="single"/>
                      <w:lang w:val="en-US" w:eastAsia="zh-CN"/>
                    </w:rPr>
                    <w:t>4a</w:t>
                  </w:r>
                  <w:r>
                    <w:rPr>
                      <w:rFonts w:hint="eastAsia" w:ascii="Times New Roman" w:hAnsi="Times New Roman" w:eastAsia="宋体" w:cs="Times New Roman"/>
                      <w:color w:val="auto"/>
                      <w:position w:val="2"/>
                      <w:szCs w:val="21"/>
                      <w:highlight w:val="none"/>
                      <w:u w:val="single"/>
                      <w:lang w:val="en-US" w:eastAsia="zh-CN"/>
                    </w:rPr>
                    <w:t>类</w:t>
                  </w:r>
                </w:p>
              </w:tc>
              <w:tc>
                <w:tcPr>
                  <w:tcW w:w="1218" w:type="pct"/>
                  <w:noWrap w:val="0"/>
                  <w:vAlign w:val="center"/>
                </w:tcPr>
                <w:p w14:paraId="5B3CEC60">
                  <w:pPr>
                    <w:snapToGrid w:val="0"/>
                    <w:jc w:val="center"/>
                    <w:rPr>
                      <w:rFonts w:hint="default" w:ascii="Times New Roman" w:hAnsi="Times New Roman" w:eastAsia="宋体" w:cs="Times New Roman"/>
                      <w:color w:val="auto"/>
                      <w:position w:val="2"/>
                      <w:szCs w:val="21"/>
                      <w:highlight w:val="none"/>
                      <w:u w:val="single"/>
                      <w:lang w:val="en-US" w:eastAsia="zh-CN"/>
                    </w:rPr>
                  </w:pPr>
                  <w:r>
                    <w:rPr>
                      <w:rFonts w:hint="eastAsia" w:cs="Times New Roman"/>
                      <w:color w:val="auto"/>
                      <w:position w:val="2"/>
                      <w:szCs w:val="21"/>
                      <w:highlight w:val="none"/>
                      <w:u w:val="single"/>
                      <w:lang w:val="en-US" w:eastAsia="zh-CN"/>
                    </w:rPr>
                    <w:t>70</w:t>
                  </w:r>
                </w:p>
              </w:tc>
              <w:tc>
                <w:tcPr>
                  <w:tcW w:w="1187" w:type="pct"/>
                  <w:noWrap w:val="0"/>
                  <w:vAlign w:val="center"/>
                </w:tcPr>
                <w:p w14:paraId="25797831">
                  <w:pPr>
                    <w:snapToGrid w:val="0"/>
                    <w:jc w:val="center"/>
                    <w:rPr>
                      <w:rFonts w:hint="default" w:ascii="Times New Roman" w:hAnsi="Times New Roman" w:eastAsia="宋体" w:cs="Times New Roman"/>
                      <w:color w:val="auto"/>
                      <w:position w:val="2"/>
                      <w:szCs w:val="21"/>
                      <w:highlight w:val="none"/>
                      <w:u w:val="single"/>
                      <w:lang w:val="en-US" w:eastAsia="zh-CN"/>
                    </w:rPr>
                  </w:pPr>
                  <w:r>
                    <w:rPr>
                      <w:rFonts w:hint="eastAsia" w:ascii="Times New Roman" w:hAnsi="Times New Roman" w:eastAsia="宋体" w:cs="Times New Roman"/>
                      <w:color w:val="auto"/>
                      <w:position w:val="2"/>
                      <w:szCs w:val="21"/>
                      <w:highlight w:val="none"/>
                      <w:u w:val="single"/>
                      <w:lang w:val="en-US" w:eastAsia="zh-CN"/>
                    </w:rPr>
                    <w:t>55</w:t>
                  </w:r>
                </w:p>
              </w:tc>
              <w:tc>
                <w:tcPr>
                  <w:tcW w:w="1597" w:type="pct"/>
                  <w:noWrap w:val="0"/>
                  <w:vAlign w:val="center"/>
                </w:tcPr>
                <w:p w14:paraId="0FA36705">
                  <w:pPr>
                    <w:snapToGrid w:val="0"/>
                    <w:jc w:val="center"/>
                    <w:rPr>
                      <w:rFonts w:hint="default" w:ascii="Times New Roman" w:hAnsi="Times New Roman" w:eastAsia="宋体" w:cs="Times New Roman"/>
                      <w:color w:val="auto"/>
                      <w:position w:val="2"/>
                      <w:szCs w:val="21"/>
                      <w:highlight w:val="none"/>
                      <w:u w:val="single"/>
                      <w:lang w:val="en-US" w:eastAsia="zh-CN"/>
                    </w:rPr>
                  </w:pPr>
                  <w:r>
                    <w:rPr>
                      <w:rFonts w:hint="eastAsia" w:ascii="Times New Roman" w:hAnsi="Times New Roman" w:eastAsia="宋体" w:cs="Times New Roman"/>
                      <w:color w:val="auto"/>
                      <w:position w:val="2"/>
                      <w:szCs w:val="21"/>
                      <w:highlight w:val="none"/>
                      <w:u w:val="single"/>
                      <w:lang w:val="en-US" w:eastAsia="zh-CN"/>
                    </w:rPr>
                    <w:t>《声环境质量标准》（</w:t>
                  </w:r>
                  <w:r>
                    <w:rPr>
                      <w:rFonts w:hint="default" w:ascii="Times New Roman" w:hAnsi="Times New Roman" w:eastAsia="宋体" w:cs="Times New Roman"/>
                      <w:color w:val="auto"/>
                      <w:position w:val="2"/>
                      <w:szCs w:val="21"/>
                      <w:highlight w:val="none"/>
                      <w:u w:val="single"/>
                      <w:lang w:val="en-US" w:eastAsia="zh-CN"/>
                    </w:rPr>
                    <w:t>GB3096-2008</w:t>
                  </w:r>
                  <w:r>
                    <w:rPr>
                      <w:rFonts w:hint="eastAsia" w:ascii="Times New Roman" w:hAnsi="Times New Roman" w:eastAsia="宋体" w:cs="Times New Roman"/>
                      <w:color w:val="auto"/>
                      <w:position w:val="2"/>
                      <w:szCs w:val="21"/>
                      <w:highlight w:val="none"/>
                      <w:u w:val="single"/>
                      <w:lang w:val="en-US" w:eastAsia="zh-CN"/>
                    </w:rPr>
                    <w:t>）</w:t>
                  </w:r>
                </w:p>
              </w:tc>
            </w:tr>
          </w:tbl>
          <w:p w14:paraId="6C88FEE4">
            <w:pPr>
              <w:spacing w:line="360" w:lineRule="auto"/>
              <w:ind w:firstLine="482" w:firstLineChars="200"/>
              <w:rPr>
                <w:rFonts w:hint="eastAsia" w:ascii="Times New Roman" w:hAnsi="Times New Roman" w:eastAsia="宋体" w:cs="Times New Roman"/>
                <w:b/>
                <w:color w:val="auto"/>
                <w:sz w:val="24"/>
                <w:highlight w:val="none"/>
                <w:lang w:val="en-US" w:eastAsia="zh-CN"/>
              </w:rPr>
            </w:pPr>
          </w:p>
          <w:p w14:paraId="719F8973">
            <w:pPr>
              <w:spacing w:line="360" w:lineRule="auto"/>
              <w:ind w:firstLine="482" w:firstLineChars="200"/>
              <w:rPr>
                <w:rFonts w:hint="eastAsia" w:ascii="Times New Roman" w:hAnsi="Times New Roman" w:eastAsia="宋体" w:cs="Times New Roman"/>
                <w:b/>
                <w:color w:val="auto"/>
                <w:sz w:val="24"/>
                <w:highlight w:val="none"/>
                <w:lang w:val="en-US" w:eastAsia="zh-CN"/>
              </w:rPr>
            </w:pPr>
          </w:p>
          <w:p w14:paraId="1B4F6228">
            <w:pPr>
              <w:spacing w:line="360" w:lineRule="auto"/>
              <w:ind w:firstLine="482" w:firstLineChars="20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3、海水水质</w:t>
            </w:r>
          </w:p>
          <w:p w14:paraId="09CC3668">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《广西壮族自治区近岸海域环境功能区划调整方案》（桂环发〔2023〕9 号）</w:t>
            </w:r>
            <w:r>
              <w:rPr>
                <w:rFonts w:hint="eastAsia" w:ascii="Times New Roman" w:hAnsi="Times New Roman" w:eastAsia="宋体" w:cs="Times New Roman"/>
                <w:color w:val="auto"/>
                <w:sz w:val="24"/>
                <w:highlight w:val="none"/>
                <w:lang w:val="en-US" w:eastAsia="zh-CN"/>
              </w:rPr>
              <w:t>，本项目位于钦州港大榄坪港口、工业区(GX055D IV)，主导功能为港口、工业用海，属四类环境功能区</w:t>
            </w:r>
            <w:r>
              <w:rPr>
                <w:rFonts w:hint="eastAsia" w:hAnsi="宋体"/>
                <w:color w:val="auto"/>
                <w:sz w:val="24"/>
                <w:highlight w:val="none"/>
              </w:rPr>
              <w:t>，</w:t>
            </w:r>
            <w:r>
              <w:rPr>
                <w:rFonts w:hint="eastAsia" w:ascii="Times New Roman" w:hAnsi="Times New Roman" w:eastAsia="宋体" w:cs="Times New Roman"/>
                <w:color w:val="auto"/>
                <w:sz w:val="24"/>
                <w:highlight w:val="none"/>
                <w:lang w:val="en-US" w:eastAsia="zh-CN"/>
              </w:rPr>
              <w:t>水质保护目标为海水水质标准第四类，执行《海水水质标准》（GB3097-1997）第四类标准。</w:t>
            </w:r>
          </w:p>
          <w:p w14:paraId="3A77CE98">
            <w:pPr>
              <w:tabs>
                <w:tab w:val="left" w:pos="0"/>
              </w:tabs>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表3.4-3 海水水质标准  单位：mg/L (pH除外)</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6"/>
              <w:gridCol w:w="3578"/>
            </w:tblGrid>
            <w:tr w14:paraId="0969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386" w:type="dxa"/>
                  <w:noWrap w:val="0"/>
                  <w:vAlign w:val="center"/>
                </w:tcPr>
                <w:p w14:paraId="6D96F0BA">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污染物名称</w:t>
                  </w:r>
                </w:p>
              </w:tc>
              <w:tc>
                <w:tcPr>
                  <w:tcW w:w="3578" w:type="dxa"/>
                  <w:noWrap w:val="0"/>
                  <w:vAlign w:val="center"/>
                </w:tcPr>
                <w:p w14:paraId="62BA4A65">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第四类</w:t>
                  </w:r>
                </w:p>
              </w:tc>
            </w:tr>
            <w:tr w14:paraId="1F4A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61436DC8">
                  <w:pPr>
                    <w:pStyle w:val="179"/>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SS</w:t>
                  </w:r>
                </w:p>
              </w:tc>
              <w:tc>
                <w:tcPr>
                  <w:tcW w:w="3578" w:type="dxa"/>
                  <w:noWrap w:val="0"/>
                  <w:vAlign w:val="center"/>
                </w:tcPr>
                <w:p w14:paraId="1308AF28">
                  <w:pPr>
                    <w:pStyle w:val="179"/>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人为增加的量</w:t>
                  </w:r>
                </w:p>
              </w:tc>
            </w:tr>
            <w:tr w14:paraId="29D2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4EC72CCF">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w:t>
                  </w:r>
                </w:p>
              </w:tc>
              <w:tc>
                <w:tcPr>
                  <w:tcW w:w="3578" w:type="dxa"/>
                  <w:noWrap w:val="0"/>
                  <w:vAlign w:val="center"/>
                </w:tcPr>
                <w:p w14:paraId="0639D07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6.8-8.8</w:t>
                  </w:r>
                </w:p>
              </w:tc>
            </w:tr>
            <w:tr w14:paraId="1524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6E0F1C89">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DO&gt;</w:t>
                  </w:r>
                </w:p>
              </w:tc>
              <w:tc>
                <w:tcPr>
                  <w:tcW w:w="3578" w:type="dxa"/>
                  <w:noWrap w:val="0"/>
                  <w:vAlign w:val="center"/>
                </w:tcPr>
                <w:p w14:paraId="6C5D615E">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r>
            <w:tr w14:paraId="1DB6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0A0D07E8">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0DB64F7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3D29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08D362D6">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无机氮≤</w:t>
                  </w:r>
                </w:p>
              </w:tc>
              <w:tc>
                <w:tcPr>
                  <w:tcW w:w="3578" w:type="dxa"/>
                  <w:noWrap w:val="0"/>
                  <w:vAlign w:val="center"/>
                </w:tcPr>
                <w:p w14:paraId="4FE8347B">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1B65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199DBB5E">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活性磷酸盐≤</w:t>
                  </w:r>
                </w:p>
              </w:tc>
              <w:tc>
                <w:tcPr>
                  <w:tcW w:w="3578" w:type="dxa"/>
                  <w:noWrap w:val="0"/>
                  <w:vAlign w:val="center"/>
                </w:tcPr>
                <w:p w14:paraId="223CED36">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0.045</w:t>
                  </w:r>
                </w:p>
              </w:tc>
            </w:tr>
            <w:tr w14:paraId="3500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43119A13">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Pb</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6A8B649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3521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22F960ED">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Cu</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117DBFE4">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r>
            <w:tr w14:paraId="765E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2FE87234">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Hg</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3BB9CF20">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0.0005</w:t>
                  </w:r>
                </w:p>
              </w:tc>
            </w:tr>
            <w:tr w14:paraId="6B34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10BE94BA">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Zn</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7714F4D7">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4880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051A6A9E">
                  <w:pPr>
                    <w:pStyle w:val="179"/>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石油类≤</w:t>
                  </w:r>
                </w:p>
              </w:tc>
              <w:tc>
                <w:tcPr>
                  <w:tcW w:w="3578" w:type="dxa"/>
                  <w:noWrap w:val="0"/>
                  <w:vAlign w:val="center"/>
                </w:tcPr>
                <w:p w14:paraId="21F4938A">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2724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6" w:type="dxa"/>
                  <w:noWrap w:val="0"/>
                  <w:vAlign w:val="center"/>
                </w:tcPr>
                <w:p w14:paraId="08D00181">
                  <w:pPr>
                    <w:pStyle w:val="179"/>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Cd</w:t>
                  </w:r>
                  <w:r>
                    <w:rPr>
                      <w:rFonts w:hint="eastAsia" w:ascii="Times New Roman" w:hAnsi="Times New Roman" w:eastAsia="宋体" w:cs="Times New Roman"/>
                      <w:color w:val="auto"/>
                      <w:sz w:val="21"/>
                      <w:szCs w:val="21"/>
                      <w:highlight w:val="none"/>
                      <w:lang w:val="en-US" w:eastAsia="zh-CN"/>
                    </w:rPr>
                    <w:t>≤</w:t>
                  </w:r>
                </w:p>
              </w:tc>
              <w:tc>
                <w:tcPr>
                  <w:tcW w:w="3578" w:type="dxa"/>
                  <w:noWrap w:val="0"/>
                  <w:vAlign w:val="center"/>
                </w:tcPr>
                <w:p w14:paraId="505BFDAC">
                  <w:pPr>
                    <w:pStyle w:val="1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r>
          </w:tbl>
          <w:p w14:paraId="6B50509F">
            <w:pPr>
              <w:spacing w:line="360" w:lineRule="auto"/>
              <w:ind w:firstLine="482" w:firstLineChars="200"/>
              <w:rPr>
                <w:rFonts w:hint="eastAsia" w:ascii="Times New Roman" w:hAnsi="Times New Roman" w:eastAsia="宋体" w:cs="Times New Roman"/>
                <w:b/>
                <w:color w:val="auto"/>
                <w:sz w:val="24"/>
                <w:highlight w:val="none"/>
                <w:u w:val="none"/>
                <w:lang w:val="en-US" w:eastAsia="zh-CN"/>
              </w:rPr>
            </w:pPr>
            <w:r>
              <w:rPr>
                <w:rFonts w:hint="eastAsia" w:ascii="Times New Roman" w:hAnsi="Times New Roman" w:eastAsia="宋体" w:cs="Times New Roman"/>
                <w:b/>
                <w:color w:val="auto"/>
                <w:sz w:val="24"/>
                <w:highlight w:val="none"/>
                <w:u w:val="none"/>
                <w:lang w:val="en-US" w:eastAsia="zh-CN"/>
              </w:rPr>
              <w:t>4、海洋沉积物</w:t>
            </w:r>
          </w:p>
          <w:p w14:paraId="18BAB0D3">
            <w:pPr>
              <w:spacing w:line="360" w:lineRule="auto"/>
              <w:ind w:firstLine="480" w:firstLineChars="200"/>
              <w:jc w:val="left"/>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广西壮族自治区海洋功能区划（2012-2020年）</w:t>
            </w:r>
            <w:r>
              <w:rPr>
                <w:rFonts w:hint="default" w:ascii="Times New Roman" w:hAnsi="Times New Roman" w:eastAsia="宋体" w:cs="Times New Roman"/>
                <w:color w:val="auto"/>
                <w:sz w:val="24"/>
                <w:highlight w:val="none"/>
                <w:u w:val="none"/>
                <w:lang w:val="en-US" w:eastAsia="zh-CN"/>
              </w:rPr>
              <w:t>》（桂</w:t>
            </w:r>
            <w:r>
              <w:rPr>
                <w:rFonts w:hint="eastAsia" w:ascii="Times New Roman" w:hAnsi="Times New Roman" w:eastAsia="宋体" w:cs="Times New Roman"/>
                <w:color w:val="auto"/>
                <w:sz w:val="24"/>
                <w:highlight w:val="none"/>
                <w:u w:val="none"/>
                <w:lang w:val="en-US" w:eastAsia="zh-CN"/>
              </w:rPr>
              <w:t>海</w:t>
            </w:r>
            <w:r>
              <w:rPr>
                <w:rFonts w:hint="default" w:ascii="Times New Roman" w:hAnsi="Times New Roman" w:eastAsia="宋体" w:cs="Times New Roman"/>
                <w:color w:val="auto"/>
                <w:sz w:val="24"/>
                <w:highlight w:val="none"/>
                <w:u w:val="none"/>
                <w:lang w:val="en-US" w:eastAsia="zh-CN"/>
              </w:rPr>
              <w:t>发〔</w:t>
            </w:r>
            <w:r>
              <w:rPr>
                <w:rFonts w:hint="eastAsia" w:ascii="Times New Roman" w:hAnsi="Times New Roman" w:eastAsia="宋体" w:cs="Times New Roman"/>
                <w:color w:val="auto"/>
                <w:sz w:val="24"/>
                <w:highlight w:val="none"/>
                <w:u w:val="none"/>
                <w:lang w:val="en-US" w:eastAsia="zh-CN"/>
              </w:rPr>
              <w:t>2013</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9 号）</w:t>
            </w:r>
            <w:r>
              <w:rPr>
                <w:rFonts w:hint="eastAsia" w:ascii="Times New Roman" w:hAnsi="Times New Roman" w:eastAsia="宋体" w:cs="Times New Roman"/>
                <w:color w:val="auto"/>
                <w:sz w:val="24"/>
                <w:highlight w:val="none"/>
                <w:u w:val="none"/>
                <w:lang w:val="en-US" w:eastAsia="zh-CN"/>
              </w:rPr>
              <w:t>，本项目位于“A2-9 鹰岭-果子山-金鼓江港口航运区”，主导功能为港口航运，海洋沉积物执行不劣于</w:t>
            </w:r>
            <w:r>
              <w:rPr>
                <w:rFonts w:hint="eastAsia" w:ascii="Times New Roman" w:hAnsi="Times New Roman" w:eastAsia="宋体" w:cs="Times New Roman"/>
                <w:color w:val="auto"/>
                <w:sz w:val="24"/>
                <w:highlight w:val="none"/>
                <w:u w:val="single"/>
                <w:lang w:val="en-US" w:eastAsia="zh-CN"/>
              </w:rPr>
              <w:t>《海洋沉积物质量》（GB18668-2002）</w:t>
            </w:r>
            <w:r>
              <w:rPr>
                <w:rFonts w:hint="eastAsia" w:ascii="Times New Roman" w:hAnsi="Times New Roman" w:eastAsia="宋体" w:cs="Times New Roman"/>
                <w:color w:val="auto"/>
                <w:sz w:val="24"/>
                <w:highlight w:val="none"/>
                <w:u w:val="none"/>
                <w:lang w:val="en-US" w:eastAsia="zh-CN"/>
              </w:rPr>
              <w:t>三类标准。</w:t>
            </w:r>
          </w:p>
          <w:p w14:paraId="72A5F8D0">
            <w:pPr>
              <w:tabs>
                <w:tab w:val="left" w:pos="0"/>
              </w:tabs>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表3.4-</w:t>
            </w:r>
            <w:r>
              <w:rPr>
                <w:rFonts w:hint="eastAsia" w:cs="Times New Roman"/>
                <w:b/>
                <w:bCs/>
                <w:color w:val="auto"/>
                <w:highlight w:val="none"/>
                <w:u w:val="none"/>
                <w:lang w:val="en-US" w:eastAsia="zh-CN"/>
              </w:rPr>
              <w:t>4</w:t>
            </w:r>
            <w:r>
              <w:rPr>
                <w:rFonts w:hint="eastAsia" w:ascii="Times New Roman" w:hAnsi="Times New Roman" w:eastAsia="宋体" w:cs="Times New Roman"/>
                <w:b/>
                <w:bCs/>
                <w:color w:val="auto"/>
                <w:highlight w:val="none"/>
                <w:u w:val="none"/>
                <w:lang w:val="en-US" w:eastAsia="zh-CN"/>
              </w:rPr>
              <w:t>海洋沉积物质量标准</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076"/>
              <w:gridCol w:w="2078"/>
              <w:gridCol w:w="2080"/>
            </w:tblGrid>
            <w:tr w14:paraId="2EAD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5891579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评价项目</w:t>
                  </w:r>
                </w:p>
              </w:tc>
              <w:tc>
                <w:tcPr>
                  <w:tcW w:w="1249" w:type="pct"/>
                  <w:noWrap w:val="0"/>
                  <w:vAlign w:val="top"/>
                </w:tcPr>
                <w:p w14:paraId="30DA6EB7">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第一类</w:t>
                  </w:r>
                </w:p>
              </w:tc>
              <w:tc>
                <w:tcPr>
                  <w:tcW w:w="1250" w:type="pct"/>
                  <w:noWrap w:val="0"/>
                  <w:vAlign w:val="top"/>
                </w:tcPr>
                <w:p w14:paraId="7937EE7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第二类</w:t>
                  </w:r>
                </w:p>
              </w:tc>
              <w:tc>
                <w:tcPr>
                  <w:tcW w:w="1251" w:type="pct"/>
                  <w:noWrap w:val="0"/>
                  <w:vAlign w:val="top"/>
                </w:tcPr>
                <w:p w14:paraId="7E66B6E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第三类</w:t>
                  </w:r>
                </w:p>
              </w:tc>
            </w:tr>
            <w:tr w14:paraId="3CD9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2278A849">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有机碳（</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1FDF3C5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w:t>
                  </w:r>
                </w:p>
              </w:tc>
              <w:tc>
                <w:tcPr>
                  <w:tcW w:w="1250" w:type="pct"/>
                  <w:noWrap w:val="0"/>
                  <w:vAlign w:val="top"/>
                </w:tcPr>
                <w:p w14:paraId="654289D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w:t>
                  </w:r>
                </w:p>
              </w:tc>
              <w:tc>
                <w:tcPr>
                  <w:tcW w:w="1251" w:type="pct"/>
                  <w:noWrap w:val="0"/>
                  <w:vAlign w:val="top"/>
                </w:tcPr>
                <w:p w14:paraId="4CC115C9">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w:t>
                  </w:r>
                </w:p>
              </w:tc>
            </w:tr>
            <w:tr w14:paraId="2C48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588114D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硫化物（</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03248CC9">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300</w:t>
                  </w:r>
                </w:p>
              </w:tc>
              <w:tc>
                <w:tcPr>
                  <w:tcW w:w="1250" w:type="pct"/>
                  <w:noWrap w:val="0"/>
                  <w:vAlign w:val="top"/>
                </w:tcPr>
                <w:p w14:paraId="3896EA8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500</w:t>
                  </w:r>
                </w:p>
              </w:tc>
              <w:tc>
                <w:tcPr>
                  <w:tcW w:w="1251" w:type="pct"/>
                  <w:noWrap w:val="0"/>
                  <w:vAlign w:val="top"/>
                </w:tcPr>
                <w:p w14:paraId="03F4F5A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600</w:t>
                  </w:r>
                </w:p>
              </w:tc>
            </w:tr>
            <w:tr w14:paraId="0FDE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7B2A7AE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石油类（</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1E4A7AC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500</w:t>
                  </w:r>
                </w:p>
              </w:tc>
              <w:tc>
                <w:tcPr>
                  <w:tcW w:w="1250" w:type="pct"/>
                  <w:noWrap w:val="0"/>
                  <w:vAlign w:val="top"/>
                </w:tcPr>
                <w:p w14:paraId="129AA01D">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1000</w:t>
                  </w:r>
                </w:p>
              </w:tc>
              <w:tc>
                <w:tcPr>
                  <w:tcW w:w="1251" w:type="pct"/>
                  <w:noWrap w:val="0"/>
                  <w:vAlign w:val="top"/>
                </w:tcPr>
                <w:p w14:paraId="7A6DA3E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1500</w:t>
                  </w:r>
                </w:p>
              </w:tc>
            </w:tr>
            <w:tr w14:paraId="3190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4740384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铜（</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3D42653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35</w:t>
                  </w:r>
                </w:p>
              </w:tc>
              <w:tc>
                <w:tcPr>
                  <w:tcW w:w="1250" w:type="pct"/>
                  <w:noWrap w:val="0"/>
                  <w:vAlign w:val="top"/>
                </w:tcPr>
                <w:p w14:paraId="001E394E">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100</w:t>
                  </w:r>
                </w:p>
              </w:tc>
              <w:tc>
                <w:tcPr>
                  <w:tcW w:w="1251" w:type="pct"/>
                  <w:noWrap w:val="0"/>
                  <w:vAlign w:val="top"/>
                </w:tcPr>
                <w:p w14:paraId="20DAC3C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200</w:t>
                  </w:r>
                </w:p>
              </w:tc>
            </w:tr>
            <w:tr w14:paraId="7961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12FF425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铅（</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169E7D0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60</w:t>
                  </w:r>
                </w:p>
              </w:tc>
              <w:tc>
                <w:tcPr>
                  <w:tcW w:w="1250" w:type="pct"/>
                  <w:noWrap w:val="0"/>
                  <w:vAlign w:val="top"/>
                </w:tcPr>
                <w:p w14:paraId="522C561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130</w:t>
                  </w:r>
                </w:p>
              </w:tc>
              <w:tc>
                <w:tcPr>
                  <w:tcW w:w="1251" w:type="pct"/>
                  <w:noWrap w:val="0"/>
                  <w:vAlign w:val="top"/>
                </w:tcPr>
                <w:p w14:paraId="5FE578D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250</w:t>
                  </w:r>
                </w:p>
              </w:tc>
            </w:tr>
            <w:tr w14:paraId="7956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68F8692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锌（</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53F07F7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150</w:t>
                  </w:r>
                </w:p>
              </w:tc>
              <w:tc>
                <w:tcPr>
                  <w:tcW w:w="1250" w:type="pct"/>
                  <w:noWrap w:val="0"/>
                  <w:vAlign w:val="top"/>
                </w:tcPr>
                <w:p w14:paraId="1382FFA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350</w:t>
                  </w:r>
                </w:p>
              </w:tc>
              <w:tc>
                <w:tcPr>
                  <w:tcW w:w="1251" w:type="pct"/>
                  <w:noWrap w:val="0"/>
                  <w:vAlign w:val="top"/>
                </w:tcPr>
                <w:p w14:paraId="7E6C51C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600</w:t>
                  </w:r>
                </w:p>
              </w:tc>
            </w:tr>
            <w:tr w14:paraId="75E3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1C76FF8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镉（</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5FA124B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0.5</w:t>
                  </w:r>
                </w:p>
              </w:tc>
              <w:tc>
                <w:tcPr>
                  <w:tcW w:w="1250" w:type="pct"/>
                  <w:noWrap w:val="0"/>
                  <w:vAlign w:val="top"/>
                </w:tcPr>
                <w:p w14:paraId="3062E16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w:t>
                  </w:r>
                </w:p>
              </w:tc>
              <w:tc>
                <w:tcPr>
                  <w:tcW w:w="1251" w:type="pct"/>
                  <w:noWrap w:val="0"/>
                  <w:vAlign w:val="top"/>
                </w:tcPr>
                <w:p w14:paraId="1C36DF7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w:t>
                  </w:r>
                </w:p>
              </w:tc>
            </w:tr>
            <w:tr w14:paraId="715B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79DEB79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铬（</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383808A7">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80</w:t>
                  </w:r>
                </w:p>
              </w:tc>
              <w:tc>
                <w:tcPr>
                  <w:tcW w:w="1250" w:type="pct"/>
                  <w:noWrap w:val="0"/>
                  <w:vAlign w:val="top"/>
                </w:tcPr>
                <w:p w14:paraId="7946301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150</w:t>
                  </w:r>
                </w:p>
              </w:tc>
              <w:tc>
                <w:tcPr>
                  <w:tcW w:w="1251" w:type="pct"/>
                  <w:noWrap w:val="0"/>
                  <w:vAlign w:val="top"/>
                </w:tcPr>
                <w:p w14:paraId="1946CCE8">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270</w:t>
                  </w:r>
                </w:p>
              </w:tc>
            </w:tr>
            <w:tr w14:paraId="3A37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04F2151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汞（</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4B48896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0.2</w:t>
                  </w:r>
                </w:p>
              </w:tc>
              <w:tc>
                <w:tcPr>
                  <w:tcW w:w="1250" w:type="pct"/>
                  <w:noWrap w:val="0"/>
                  <w:vAlign w:val="top"/>
                </w:tcPr>
                <w:p w14:paraId="3544BFA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0.5</w:t>
                  </w:r>
                </w:p>
              </w:tc>
              <w:tc>
                <w:tcPr>
                  <w:tcW w:w="1251" w:type="pct"/>
                  <w:noWrap w:val="0"/>
                  <w:vAlign w:val="top"/>
                </w:tcPr>
                <w:p w14:paraId="75BCE097">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r>
            <w:tr w14:paraId="1208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noWrap w:val="0"/>
                  <w:vAlign w:val="top"/>
                </w:tcPr>
                <w:p w14:paraId="557E605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砷（</w:t>
                  </w:r>
                  <w:r>
                    <w:rPr>
                      <w:rFonts w:hint="default" w:ascii="Times New Roman" w:hAnsi="Times New Roman"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vertAlign w:val="superscript"/>
                      <w:lang w:val="en-US" w:eastAsia="zh-CN"/>
                    </w:rPr>
                    <w:t>-</w:t>
                  </w:r>
                  <w:r>
                    <w:rPr>
                      <w:rFonts w:hint="eastAsia" w:ascii="Times New Roman" w:hAnsi="Times New Roman" w:eastAsia="宋体" w:cs="Times New Roman"/>
                      <w:color w:val="auto"/>
                      <w:sz w:val="21"/>
                      <w:szCs w:val="21"/>
                      <w:highlight w:val="none"/>
                      <w:u w:val="none"/>
                      <w:vertAlign w:val="superscript"/>
                      <w:lang w:val="en-US" w:eastAsia="zh-CN"/>
                    </w:rPr>
                    <w:t>6</w:t>
                  </w:r>
                  <w:r>
                    <w:rPr>
                      <w:rFonts w:hint="eastAsia"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2C9FF33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3CAAF80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65</w:t>
                  </w:r>
                </w:p>
              </w:tc>
              <w:tc>
                <w:tcPr>
                  <w:tcW w:w="1251" w:type="pct"/>
                  <w:noWrap w:val="0"/>
                  <w:vAlign w:val="top"/>
                </w:tcPr>
                <w:p w14:paraId="0005AED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93</w:t>
                  </w:r>
                </w:p>
              </w:tc>
            </w:tr>
          </w:tbl>
          <w:p w14:paraId="672D593F">
            <w:pPr>
              <w:spacing w:line="360" w:lineRule="auto"/>
              <w:ind w:firstLine="482" w:firstLineChars="200"/>
              <w:jc w:val="left"/>
              <w:rPr>
                <w:rFonts w:hint="eastAsia"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5、海洋生物质量标准</w:t>
            </w:r>
          </w:p>
          <w:p w14:paraId="14870A74">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根据《广西壮族自治区海洋功能区划（2012-2020年）》（桂海发〔2013〕39 号），本项目位于“A2-9 鹰岭-果子山-金鼓江港口航运区”，主导功能为港口航运，海洋生物执行</w:t>
            </w:r>
            <w:r>
              <w:rPr>
                <w:rFonts w:hint="eastAsia" w:ascii="Times New Roman" w:hAnsi="Times New Roman" w:eastAsia="宋体" w:cs="Times New Roman"/>
                <w:color w:val="auto"/>
                <w:sz w:val="24"/>
                <w:highlight w:val="none"/>
                <w:u w:val="single"/>
                <w:lang w:val="en-US" w:eastAsia="zh-CN"/>
              </w:rPr>
              <w:t>《海洋</w:t>
            </w:r>
            <w:r>
              <w:rPr>
                <w:rFonts w:hint="eastAsia" w:cs="Times New Roman"/>
                <w:color w:val="auto"/>
                <w:sz w:val="24"/>
                <w:highlight w:val="none"/>
                <w:u w:val="single"/>
                <w:lang w:val="en-US" w:eastAsia="zh-CN"/>
              </w:rPr>
              <w:t>生物</w:t>
            </w:r>
            <w:r>
              <w:rPr>
                <w:rFonts w:hint="eastAsia" w:ascii="Times New Roman" w:hAnsi="Times New Roman" w:eastAsia="宋体" w:cs="Times New Roman"/>
                <w:color w:val="auto"/>
                <w:sz w:val="24"/>
                <w:highlight w:val="none"/>
                <w:u w:val="single"/>
                <w:lang w:val="en-US" w:eastAsia="zh-CN"/>
              </w:rPr>
              <w:t>质量》（GB</w:t>
            </w:r>
            <w:r>
              <w:rPr>
                <w:rFonts w:hint="eastAsia" w:cs="Times New Roman"/>
                <w:color w:val="auto"/>
                <w:sz w:val="24"/>
                <w:highlight w:val="none"/>
                <w:u w:val="single"/>
                <w:lang w:val="en-US" w:eastAsia="zh-CN"/>
              </w:rPr>
              <w:t>18421</w:t>
            </w:r>
            <w:r>
              <w:rPr>
                <w:rFonts w:hint="eastAsia" w:ascii="Times New Roman" w:hAnsi="Times New Roman" w:eastAsia="宋体" w:cs="Times New Roman"/>
                <w:color w:val="auto"/>
                <w:sz w:val="24"/>
                <w:highlight w:val="none"/>
                <w:u w:val="single"/>
                <w:lang w:val="en-US" w:eastAsia="zh-CN"/>
              </w:rPr>
              <w:t>-200</w:t>
            </w:r>
            <w:r>
              <w:rPr>
                <w:rFonts w:hint="eastAsia" w:cs="Times New Roman"/>
                <w:color w:val="auto"/>
                <w:sz w:val="24"/>
                <w:highlight w:val="none"/>
                <w:u w:val="single"/>
                <w:lang w:val="en-US" w:eastAsia="zh-CN"/>
              </w:rPr>
              <w:t>1</w:t>
            </w:r>
            <w:r>
              <w:rPr>
                <w:rFonts w:hint="eastAsia"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u w:val="none"/>
                <w:lang w:val="en-US" w:eastAsia="zh-CN"/>
              </w:rPr>
              <w:t>不劣于三类标准。其他海洋生物（甲壳类、鱼类、软体动物（非双壳贝类））中的污染物质（除铬外）含量评价标准采用《环境影响评价技术导则 海洋生态环境》（HJ 1409-2025）中规定的生物质量标准；铬含量评价标准采用《全国海岸带和海涂资源综合调查简明规程》中规定的生物质量标准。</w:t>
            </w:r>
          </w:p>
          <w:p w14:paraId="234CC2C0">
            <w:pPr>
              <w:tabs>
                <w:tab w:val="left" w:pos="0"/>
              </w:tabs>
              <w:jc w:val="center"/>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b/>
                <w:bCs/>
                <w:color w:val="auto"/>
                <w:highlight w:val="none"/>
                <w:u w:val="none"/>
                <w:lang w:val="en-US" w:eastAsia="zh-CN"/>
              </w:rPr>
              <w:t>表3.4-</w:t>
            </w:r>
            <w:r>
              <w:rPr>
                <w:rFonts w:hint="eastAsia" w:cs="Times New Roman"/>
                <w:b/>
                <w:bCs/>
                <w:color w:val="auto"/>
                <w:highlight w:val="none"/>
                <w:u w:val="none"/>
                <w:lang w:val="en-US" w:eastAsia="zh-CN"/>
              </w:rPr>
              <w:t>5</w:t>
            </w:r>
            <w:r>
              <w:rPr>
                <w:rFonts w:hint="eastAsia" w:ascii="Times New Roman" w:hAnsi="Times New Roman" w:eastAsia="宋体" w:cs="Times New Roman"/>
                <w:b/>
                <w:bCs/>
                <w:color w:val="auto"/>
                <w:highlight w:val="none"/>
                <w:u w:val="none"/>
                <w:lang w:val="en-US" w:eastAsia="zh-CN"/>
              </w:rPr>
              <w:t xml:space="preserve"> 《海洋生物质量》（GB18421-2001）（鲜重：mg/kg）</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076"/>
              <w:gridCol w:w="2078"/>
              <w:gridCol w:w="2080"/>
            </w:tblGrid>
            <w:tr w14:paraId="7782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7C438E9C">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评价项目</w:t>
                  </w:r>
                </w:p>
              </w:tc>
              <w:tc>
                <w:tcPr>
                  <w:tcW w:w="1249" w:type="pct"/>
                  <w:noWrap w:val="0"/>
                  <w:vAlign w:val="top"/>
                </w:tcPr>
                <w:p w14:paraId="44678193">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第一类</w:t>
                  </w:r>
                </w:p>
              </w:tc>
              <w:tc>
                <w:tcPr>
                  <w:tcW w:w="1250" w:type="pct"/>
                  <w:noWrap w:val="0"/>
                  <w:vAlign w:val="top"/>
                </w:tcPr>
                <w:p w14:paraId="5C9CB6A0">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第二类</w:t>
                  </w:r>
                </w:p>
              </w:tc>
              <w:tc>
                <w:tcPr>
                  <w:tcW w:w="1251" w:type="pct"/>
                  <w:noWrap w:val="0"/>
                  <w:vAlign w:val="top"/>
                </w:tcPr>
                <w:p w14:paraId="1944EC23">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第三类</w:t>
                  </w:r>
                </w:p>
              </w:tc>
            </w:tr>
            <w:tr w14:paraId="552F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58D7EE5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总汞</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333ED7A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0.05</w:t>
                  </w:r>
                </w:p>
              </w:tc>
              <w:tc>
                <w:tcPr>
                  <w:tcW w:w="1250" w:type="pct"/>
                  <w:noWrap w:val="0"/>
                  <w:vAlign w:val="top"/>
                </w:tcPr>
                <w:p w14:paraId="0F532E4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0.10</w:t>
                  </w:r>
                </w:p>
              </w:tc>
              <w:tc>
                <w:tcPr>
                  <w:tcW w:w="1251" w:type="pct"/>
                  <w:noWrap w:val="0"/>
                  <w:vAlign w:val="top"/>
                </w:tcPr>
                <w:p w14:paraId="66EE6319">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0.30</w:t>
                  </w:r>
                </w:p>
              </w:tc>
            </w:tr>
            <w:tr w14:paraId="6180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1802EB0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镉</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59B2C7E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0.2</w:t>
                  </w:r>
                </w:p>
              </w:tc>
              <w:tc>
                <w:tcPr>
                  <w:tcW w:w="1250" w:type="pct"/>
                  <w:noWrap w:val="0"/>
                  <w:vAlign w:val="top"/>
                </w:tcPr>
                <w:p w14:paraId="3987E6B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1" w:type="pct"/>
                  <w:noWrap w:val="0"/>
                  <w:vAlign w:val="top"/>
                </w:tcPr>
                <w:p w14:paraId="07AA2BE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w:t>
                  </w:r>
                </w:p>
              </w:tc>
            </w:tr>
            <w:tr w14:paraId="0B05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2FFAEC7E">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铅</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09940D2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0.1</w:t>
                  </w:r>
                </w:p>
              </w:tc>
              <w:tc>
                <w:tcPr>
                  <w:tcW w:w="1250" w:type="pct"/>
                  <w:noWrap w:val="0"/>
                  <w:vAlign w:val="top"/>
                </w:tcPr>
                <w:p w14:paraId="0A37F322">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1" w:type="pct"/>
                  <w:noWrap w:val="0"/>
                  <w:vAlign w:val="top"/>
                </w:tcPr>
                <w:p w14:paraId="345117B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6.0</w:t>
                  </w:r>
                </w:p>
              </w:tc>
            </w:tr>
            <w:tr w14:paraId="485B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2D0E81F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铜</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17398D0E">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10</w:t>
                  </w:r>
                </w:p>
              </w:tc>
              <w:tc>
                <w:tcPr>
                  <w:tcW w:w="1250" w:type="pct"/>
                  <w:noWrap w:val="0"/>
                  <w:vAlign w:val="top"/>
                </w:tcPr>
                <w:p w14:paraId="1BD461D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25</w:t>
                  </w:r>
                </w:p>
              </w:tc>
              <w:tc>
                <w:tcPr>
                  <w:tcW w:w="1251" w:type="pct"/>
                  <w:noWrap w:val="0"/>
                  <w:vAlign w:val="top"/>
                </w:tcPr>
                <w:p w14:paraId="23DA40E7">
                  <w:pPr>
                    <w:pStyle w:val="179"/>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50</w:t>
                  </w:r>
                  <w:r>
                    <w:rPr>
                      <w:rFonts w:hint="eastAsia" w:ascii="Times New Roman" w:hAnsi="Times New Roman" w:eastAsia="宋体" w:cs="Times New Roman"/>
                      <w:color w:val="auto"/>
                      <w:sz w:val="21"/>
                      <w:szCs w:val="21"/>
                      <w:highlight w:val="none"/>
                      <w:u w:val="none"/>
                      <w:lang w:val="en-US" w:eastAsia="zh-CN"/>
                    </w:rPr>
                    <w:t xml:space="preserve">（牡蛎 </w:t>
                  </w:r>
                  <w:r>
                    <w:rPr>
                      <w:rFonts w:hint="default" w:ascii="Times New Roman" w:hAnsi="Times New Roman" w:eastAsia="宋体" w:cs="Times New Roman"/>
                      <w:color w:val="auto"/>
                      <w:sz w:val="21"/>
                      <w:szCs w:val="21"/>
                      <w:highlight w:val="none"/>
                      <w:u w:val="none"/>
                      <w:lang w:val="en-US" w:eastAsia="zh-CN"/>
                    </w:rPr>
                    <w:t>100</w:t>
                  </w:r>
                  <w:r>
                    <w:rPr>
                      <w:rFonts w:hint="eastAsia" w:ascii="Times New Roman" w:hAnsi="Times New Roman" w:eastAsia="宋体" w:cs="Times New Roman"/>
                      <w:color w:val="auto"/>
                      <w:sz w:val="21"/>
                      <w:szCs w:val="21"/>
                      <w:highlight w:val="none"/>
                      <w:u w:val="none"/>
                      <w:lang w:val="en-US" w:eastAsia="zh-CN"/>
                    </w:rPr>
                    <w:t>）</w:t>
                  </w:r>
                </w:p>
              </w:tc>
            </w:tr>
            <w:tr w14:paraId="073D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1C8033AE">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锌</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53FC58B2">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6F3F15F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w:t>
                  </w:r>
                </w:p>
              </w:tc>
              <w:tc>
                <w:tcPr>
                  <w:tcW w:w="1251" w:type="pct"/>
                  <w:noWrap w:val="0"/>
                  <w:vAlign w:val="top"/>
                </w:tcPr>
                <w:p w14:paraId="208D857F">
                  <w:pPr>
                    <w:pStyle w:val="179"/>
                    <w:jc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100</w:t>
                  </w:r>
                  <w:r>
                    <w:rPr>
                      <w:rFonts w:hint="eastAsia" w:ascii="Times New Roman" w:hAnsi="Times New Roman" w:eastAsia="宋体" w:cs="Times New Roman"/>
                      <w:color w:val="auto"/>
                      <w:sz w:val="21"/>
                      <w:szCs w:val="21"/>
                      <w:highlight w:val="none"/>
                      <w:u w:val="none"/>
                      <w:lang w:val="en-US" w:eastAsia="zh-CN"/>
                    </w:rPr>
                    <w:t xml:space="preserve">（牡蛎 </w:t>
                  </w:r>
                  <w:r>
                    <w:rPr>
                      <w:rFonts w:hint="default" w:ascii="Times New Roman" w:hAnsi="Times New Roman" w:eastAsia="宋体" w:cs="Times New Roman"/>
                      <w:color w:val="auto"/>
                      <w:sz w:val="21"/>
                      <w:szCs w:val="21"/>
                      <w:highlight w:val="none"/>
                      <w:u w:val="none"/>
                      <w:lang w:val="en-US" w:eastAsia="zh-CN"/>
                    </w:rPr>
                    <w:t>500</w:t>
                  </w:r>
                  <w:r>
                    <w:rPr>
                      <w:rFonts w:hint="eastAsia" w:ascii="Times New Roman" w:hAnsi="Times New Roman" w:eastAsia="宋体" w:cs="Times New Roman"/>
                      <w:color w:val="auto"/>
                      <w:sz w:val="21"/>
                      <w:szCs w:val="21"/>
                      <w:highlight w:val="none"/>
                      <w:u w:val="none"/>
                      <w:lang w:val="en-US" w:eastAsia="zh-CN"/>
                    </w:rPr>
                    <w:t>）</w:t>
                  </w:r>
                </w:p>
              </w:tc>
            </w:tr>
            <w:tr w14:paraId="7269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04F4B2E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砷</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4DA25BB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10</w:t>
                  </w:r>
                </w:p>
              </w:tc>
              <w:tc>
                <w:tcPr>
                  <w:tcW w:w="1250" w:type="pct"/>
                  <w:noWrap w:val="0"/>
                  <w:vAlign w:val="top"/>
                </w:tcPr>
                <w:p w14:paraId="12A284D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w:t>
                  </w:r>
                </w:p>
              </w:tc>
              <w:tc>
                <w:tcPr>
                  <w:tcW w:w="1251" w:type="pct"/>
                  <w:noWrap w:val="0"/>
                  <w:vAlign w:val="top"/>
                </w:tcPr>
                <w:p w14:paraId="0EEEF142">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8.0</w:t>
                  </w:r>
                </w:p>
              </w:tc>
            </w:tr>
            <w:tr w14:paraId="7DAE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3A958CD2">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铬</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57D6C85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0.5</w:t>
                  </w:r>
                </w:p>
              </w:tc>
              <w:tc>
                <w:tcPr>
                  <w:tcW w:w="1250" w:type="pct"/>
                  <w:noWrap w:val="0"/>
                  <w:vAlign w:val="top"/>
                </w:tcPr>
                <w:p w14:paraId="2F51A8D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1" w:type="pct"/>
                  <w:noWrap w:val="0"/>
                  <w:vAlign w:val="top"/>
                </w:tcPr>
                <w:p w14:paraId="37054AB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6.0</w:t>
                  </w:r>
                </w:p>
              </w:tc>
            </w:tr>
            <w:tr w14:paraId="778C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620E40C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石油烃</w:t>
                  </w:r>
                  <w:r>
                    <w:rPr>
                      <w:rFonts w:hint="default" w:ascii="Times New Roman" w:hAnsi="Times New Roman" w:eastAsia="宋体" w:cs="Times New Roman"/>
                      <w:color w:val="auto"/>
                      <w:sz w:val="21"/>
                      <w:szCs w:val="21"/>
                      <w:highlight w:val="none"/>
                      <w:u w:val="none"/>
                      <w:lang w:val="en-US" w:eastAsia="zh-CN"/>
                    </w:rPr>
                    <w:t>≤</w:t>
                  </w:r>
                </w:p>
              </w:tc>
              <w:tc>
                <w:tcPr>
                  <w:tcW w:w="1249" w:type="pct"/>
                  <w:noWrap w:val="0"/>
                  <w:vAlign w:val="top"/>
                </w:tcPr>
                <w:p w14:paraId="75C2F472">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w:t>
                  </w:r>
                </w:p>
              </w:tc>
              <w:tc>
                <w:tcPr>
                  <w:tcW w:w="1250" w:type="pct"/>
                  <w:noWrap w:val="0"/>
                  <w:vAlign w:val="top"/>
                </w:tcPr>
                <w:p w14:paraId="7BB7B0C8">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50</w:t>
                  </w:r>
                </w:p>
              </w:tc>
              <w:tc>
                <w:tcPr>
                  <w:tcW w:w="1251" w:type="pct"/>
                  <w:noWrap w:val="0"/>
                  <w:vAlign w:val="top"/>
                </w:tcPr>
                <w:p w14:paraId="1FE4FAF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80</w:t>
                  </w:r>
                </w:p>
              </w:tc>
            </w:tr>
          </w:tbl>
          <w:p w14:paraId="2A61B915">
            <w:pPr>
              <w:tabs>
                <w:tab w:val="left" w:pos="0"/>
              </w:tabs>
              <w:jc w:val="center"/>
              <w:rPr>
                <w:rFonts w:hint="eastAsia" w:ascii="Times New Roman" w:hAnsi="Times New Roman" w:eastAsia="宋体" w:cs="Times New Roman"/>
                <w:b/>
                <w:bCs/>
                <w:color w:val="auto"/>
                <w:highlight w:val="none"/>
                <w:u w:val="none"/>
                <w:lang w:val="en-US" w:eastAsia="zh-CN"/>
              </w:rPr>
            </w:pPr>
          </w:p>
          <w:p w14:paraId="777C28F0">
            <w:pPr>
              <w:tabs>
                <w:tab w:val="left" w:pos="0"/>
              </w:tabs>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表3.4-</w:t>
            </w:r>
            <w:r>
              <w:rPr>
                <w:rFonts w:hint="eastAsia" w:cs="Times New Roman"/>
                <w:b/>
                <w:bCs/>
                <w:color w:val="auto"/>
                <w:highlight w:val="none"/>
                <w:u w:val="none"/>
                <w:lang w:val="en-US" w:eastAsia="zh-CN"/>
              </w:rPr>
              <w:t>6</w:t>
            </w:r>
            <w:r>
              <w:rPr>
                <w:rFonts w:hint="eastAsia" w:ascii="Times New Roman" w:hAnsi="Times New Roman" w:eastAsia="宋体" w:cs="Times New Roman"/>
                <w:b/>
                <w:bCs/>
                <w:color w:val="auto"/>
                <w:highlight w:val="none"/>
                <w:u w:val="none"/>
                <w:lang w:val="en-US" w:eastAsia="zh-CN"/>
              </w:rPr>
              <w:t>其他海洋生物质量参考值（鲜重：mg/kg）</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2077"/>
              <w:gridCol w:w="2078"/>
              <w:gridCol w:w="2078"/>
            </w:tblGrid>
            <w:tr w14:paraId="0AA1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5DEC3285">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评价项目</w:t>
                  </w:r>
                </w:p>
              </w:tc>
              <w:tc>
                <w:tcPr>
                  <w:tcW w:w="1249" w:type="pct"/>
                  <w:noWrap w:val="0"/>
                  <w:vAlign w:val="top"/>
                </w:tcPr>
                <w:p w14:paraId="566B6F17">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软体动物（非双壳贝类）</w:t>
                  </w:r>
                </w:p>
              </w:tc>
              <w:tc>
                <w:tcPr>
                  <w:tcW w:w="1250" w:type="pct"/>
                  <w:noWrap w:val="0"/>
                  <w:vAlign w:val="top"/>
                </w:tcPr>
                <w:p w14:paraId="4B123D65">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甲壳类</w:t>
                  </w:r>
                </w:p>
              </w:tc>
              <w:tc>
                <w:tcPr>
                  <w:tcW w:w="1250" w:type="pct"/>
                  <w:noWrap w:val="0"/>
                  <w:vAlign w:val="top"/>
                </w:tcPr>
                <w:p w14:paraId="4A665F98">
                  <w:pPr>
                    <w:pStyle w:val="179"/>
                    <w:jc w:val="center"/>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鱼类</w:t>
                  </w:r>
                </w:p>
              </w:tc>
            </w:tr>
            <w:tr w14:paraId="6E10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3D1A9D79">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铬</w:t>
                  </w:r>
                </w:p>
              </w:tc>
              <w:tc>
                <w:tcPr>
                  <w:tcW w:w="1249" w:type="pct"/>
                  <w:noWrap w:val="0"/>
                  <w:vAlign w:val="top"/>
                </w:tcPr>
                <w:p w14:paraId="09FDD2B1">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5.5</w:t>
                  </w:r>
                </w:p>
              </w:tc>
              <w:tc>
                <w:tcPr>
                  <w:tcW w:w="1250" w:type="pct"/>
                  <w:noWrap w:val="0"/>
                  <w:vAlign w:val="top"/>
                </w:tcPr>
                <w:p w14:paraId="4194BC3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w:t>
                  </w:r>
                </w:p>
              </w:tc>
              <w:tc>
                <w:tcPr>
                  <w:tcW w:w="1250" w:type="pct"/>
                  <w:noWrap w:val="0"/>
                  <w:vAlign w:val="top"/>
                </w:tcPr>
                <w:p w14:paraId="12F4E5B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w:t>
                  </w:r>
                </w:p>
              </w:tc>
            </w:tr>
            <w:tr w14:paraId="3ECC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57B62E63">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铜</w:t>
                  </w:r>
                </w:p>
              </w:tc>
              <w:tc>
                <w:tcPr>
                  <w:tcW w:w="1249" w:type="pct"/>
                  <w:noWrap w:val="0"/>
                  <w:vAlign w:val="top"/>
                </w:tcPr>
                <w:p w14:paraId="7026374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100</w:t>
                  </w:r>
                </w:p>
              </w:tc>
              <w:tc>
                <w:tcPr>
                  <w:tcW w:w="1250" w:type="pct"/>
                  <w:noWrap w:val="0"/>
                  <w:vAlign w:val="top"/>
                </w:tcPr>
                <w:p w14:paraId="66589F4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7CA9DD3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r>
            <w:tr w14:paraId="1595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3E80B1B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锌</w:t>
                  </w:r>
                </w:p>
              </w:tc>
              <w:tc>
                <w:tcPr>
                  <w:tcW w:w="1249" w:type="pct"/>
                  <w:noWrap w:val="0"/>
                  <w:vAlign w:val="top"/>
                </w:tcPr>
                <w:p w14:paraId="1DB841A1">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150</w:t>
                  </w:r>
                </w:p>
              </w:tc>
              <w:tc>
                <w:tcPr>
                  <w:tcW w:w="1250" w:type="pct"/>
                  <w:noWrap w:val="0"/>
                  <w:vAlign w:val="top"/>
                </w:tcPr>
                <w:p w14:paraId="6608F6F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40</w:t>
                  </w:r>
                </w:p>
              </w:tc>
              <w:tc>
                <w:tcPr>
                  <w:tcW w:w="1250" w:type="pct"/>
                  <w:noWrap w:val="0"/>
                  <w:vAlign w:val="top"/>
                </w:tcPr>
                <w:p w14:paraId="25F1969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40</w:t>
                  </w:r>
                </w:p>
              </w:tc>
            </w:tr>
            <w:tr w14:paraId="1494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6D663BE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砷</w:t>
                  </w:r>
                </w:p>
              </w:tc>
              <w:tc>
                <w:tcPr>
                  <w:tcW w:w="1249" w:type="pct"/>
                  <w:noWrap w:val="0"/>
                  <w:vAlign w:val="top"/>
                </w:tcPr>
                <w:p w14:paraId="5C665166">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c>
                <w:tcPr>
                  <w:tcW w:w="1250" w:type="pct"/>
                  <w:noWrap w:val="0"/>
                  <w:vAlign w:val="top"/>
                </w:tcPr>
                <w:p w14:paraId="3143A1E1">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c>
                <w:tcPr>
                  <w:tcW w:w="1250" w:type="pct"/>
                  <w:noWrap w:val="0"/>
                  <w:vAlign w:val="top"/>
                </w:tcPr>
                <w:p w14:paraId="4E4AE84F">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1</w:t>
                  </w:r>
                </w:p>
              </w:tc>
            </w:tr>
            <w:tr w14:paraId="5907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7ED99FE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镉</w:t>
                  </w:r>
                </w:p>
              </w:tc>
              <w:tc>
                <w:tcPr>
                  <w:tcW w:w="1249" w:type="pct"/>
                  <w:noWrap w:val="0"/>
                  <w:vAlign w:val="top"/>
                </w:tcPr>
                <w:p w14:paraId="45BB8AD7">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3FBB9EFB">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0.6</w:t>
                  </w:r>
                </w:p>
              </w:tc>
              <w:tc>
                <w:tcPr>
                  <w:tcW w:w="1250" w:type="pct"/>
                  <w:noWrap w:val="0"/>
                  <w:vAlign w:val="top"/>
                </w:tcPr>
                <w:p w14:paraId="23FC65F1">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0.6</w:t>
                  </w:r>
                </w:p>
              </w:tc>
            </w:tr>
            <w:tr w14:paraId="3905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317A601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铅</w:t>
                  </w:r>
                </w:p>
              </w:tc>
              <w:tc>
                <w:tcPr>
                  <w:tcW w:w="1249" w:type="pct"/>
                  <w:noWrap w:val="0"/>
                  <w:vAlign w:val="top"/>
                </w:tcPr>
                <w:p w14:paraId="6931897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2EBCCF4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75F294A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r>
            <w:tr w14:paraId="4EAF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249BDD05">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总汞</w:t>
                  </w:r>
                </w:p>
              </w:tc>
              <w:tc>
                <w:tcPr>
                  <w:tcW w:w="1249" w:type="pct"/>
                  <w:noWrap w:val="0"/>
                  <w:vAlign w:val="top"/>
                </w:tcPr>
                <w:p w14:paraId="7252D90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0.2</w:t>
                  </w:r>
                </w:p>
              </w:tc>
              <w:tc>
                <w:tcPr>
                  <w:tcW w:w="1250" w:type="pct"/>
                  <w:noWrap w:val="0"/>
                  <w:vAlign w:val="top"/>
                </w:tcPr>
                <w:p w14:paraId="5F2A464A">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0.3</w:t>
                  </w:r>
                </w:p>
              </w:tc>
              <w:tc>
                <w:tcPr>
                  <w:tcW w:w="1250" w:type="pct"/>
                  <w:noWrap w:val="0"/>
                  <w:vAlign w:val="top"/>
                </w:tcPr>
                <w:p w14:paraId="23A93B4C">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0.3</w:t>
                  </w:r>
                </w:p>
              </w:tc>
            </w:tr>
            <w:tr w14:paraId="4396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9" w:type="pct"/>
                  <w:noWrap w:val="0"/>
                  <w:vAlign w:val="top"/>
                </w:tcPr>
                <w:p w14:paraId="561075A0">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石油烃</w:t>
                  </w:r>
                </w:p>
              </w:tc>
              <w:tc>
                <w:tcPr>
                  <w:tcW w:w="1249" w:type="pct"/>
                  <w:noWrap w:val="0"/>
                  <w:vAlign w:val="top"/>
                </w:tcPr>
                <w:p w14:paraId="4308B3E8">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72F1EDC1">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c>
                <w:tcPr>
                  <w:tcW w:w="1250" w:type="pct"/>
                  <w:noWrap w:val="0"/>
                  <w:vAlign w:val="top"/>
                </w:tcPr>
                <w:p w14:paraId="2749CFB4">
                  <w:pPr>
                    <w:pStyle w:val="179"/>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20</w:t>
                  </w:r>
                </w:p>
              </w:tc>
            </w:tr>
          </w:tbl>
          <w:p w14:paraId="0B0851BF">
            <w:pPr>
              <w:numPr>
                <w:ilvl w:val="0"/>
                <w:numId w:val="0"/>
              </w:numPr>
              <w:spacing w:line="360" w:lineRule="auto"/>
              <w:ind w:leftChars="200"/>
              <w:rPr>
                <w:rFonts w:hint="eastAsia" w:ascii="Times New Roman" w:hAnsi="Times New Roman" w:eastAsia="宋体" w:cs="Times New Roman"/>
                <w:b/>
                <w:color w:val="auto"/>
                <w:sz w:val="24"/>
                <w:highlight w:val="none"/>
                <w:u w:val="none"/>
                <w:lang w:val="en-US" w:eastAsia="zh-CN"/>
              </w:rPr>
            </w:pPr>
            <w:r>
              <w:rPr>
                <w:rFonts w:hint="eastAsia" w:ascii="Times New Roman" w:hAnsi="Times New Roman" w:eastAsia="宋体" w:cs="Times New Roman"/>
                <w:b/>
                <w:color w:val="auto"/>
                <w:sz w:val="24"/>
                <w:highlight w:val="none"/>
                <w:u w:val="none"/>
                <w:lang w:val="en-US" w:eastAsia="zh-CN"/>
              </w:rPr>
              <w:t>6、底泥环境质量标准</w:t>
            </w:r>
          </w:p>
          <w:p w14:paraId="301723E6">
            <w:pPr>
              <w:spacing w:line="360" w:lineRule="auto"/>
              <w:ind w:firstLine="480" w:firstLineChars="200"/>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rPr>
              <w:t>疏浚物执行《海洋倾倒物质评价规范疏浚物》</w:t>
            </w:r>
            <w:r>
              <w:rPr>
                <w:rFonts w:ascii="Times New Roman PS MT" w:hAnsi="Times New Roman PS MT" w:eastAsia="Times New Roman PS MT" w:cs="Times New Roman PS MT"/>
                <w:b w:val="0"/>
                <w:bCs w:val="0"/>
                <w:color w:val="auto"/>
                <w:sz w:val="24"/>
                <w:szCs w:val="24"/>
                <w:highlight w:val="none"/>
                <w:u w:val="none"/>
              </w:rPr>
              <w:t>(GB30980-2014)</w:t>
            </w:r>
            <w:r>
              <w:rPr>
                <w:rFonts w:hint="eastAsia" w:ascii="宋体" w:hAnsi="宋体" w:eastAsia="宋体" w:cs="宋体"/>
                <w:b w:val="0"/>
                <w:bCs w:val="0"/>
                <w:color w:val="auto"/>
                <w:sz w:val="24"/>
                <w:szCs w:val="24"/>
                <w:highlight w:val="none"/>
                <w:u w:val="none"/>
              </w:rPr>
              <w:t>，具体标准详见下表</w:t>
            </w:r>
            <w:r>
              <w:rPr>
                <w:rFonts w:hint="eastAsia" w:ascii="宋体" w:hAnsi="宋体" w:eastAsia="宋体" w:cs="宋体"/>
                <w:b w:val="0"/>
                <w:bCs w:val="0"/>
                <w:color w:val="auto"/>
                <w:sz w:val="24"/>
                <w:szCs w:val="24"/>
                <w:highlight w:val="none"/>
                <w:u w:val="none"/>
                <w:lang w:eastAsia="zh-CN"/>
              </w:rPr>
              <w:t>。</w:t>
            </w:r>
          </w:p>
          <w:p w14:paraId="4D040F12">
            <w:pPr>
              <w:spacing w:line="360" w:lineRule="auto"/>
              <w:ind w:firstLine="480" w:firstLineChars="200"/>
              <w:rPr>
                <w:rFonts w:hint="eastAsia" w:ascii="宋体" w:hAnsi="宋体" w:eastAsia="宋体" w:cs="宋体"/>
                <w:b w:val="0"/>
                <w:bCs w:val="0"/>
                <w:color w:val="auto"/>
                <w:sz w:val="24"/>
                <w:szCs w:val="24"/>
                <w:highlight w:val="none"/>
                <w:u w:val="none"/>
                <w:lang w:eastAsia="zh-CN"/>
              </w:rPr>
            </w:pPr>
          </w:p>
          <w:p w14:paraId="559AF483">
            <w:pPr>
              <w:spacing w:line="360" w:lineRule="auto"/>
              <w:ind w:firstLine="480" w:firstLineChars="200"/>
              <w:rPr>
                <w:rFonts w:hint="eastAsia" w:ascii="宋体" w:hAnsi="宋体" w:eastAsia="宋体" w:cs="宋体"/>
                <w:b w:val="0"/>
                <w:bCs w:val="0"/>
                <w:color w:val="auto"/>
                <w:sz w:val="24"/>
                <w:szCs w:val="24"/>
                <w:highlight w:val="none"/>
                <w:u w:val="none"/>
                <w:lang w:eastAsia="zh-CN"/>
              </w:rPr>
            </w:pPr>
          </w:p>
          <w:p w14:paraId="0DAA4D3A">
            <w:pPr>
              <w:spacing w:line="360" w:lineRule="auto"/>
              <w:ind w:firstLine="480" w:firstLineChars="200"/>
              <w:rPr>
                <w:rFonts w:hint="eastAsia" w:ascii="宋体" w:hAnsi="宋体" w:eastAsia="宋体" w:cs="宋体"/>
                <w:b w:val="0"/>
                <w:bCs w:val="0"/>
                <w:color w:val="auto"/>
                <w:sz w:val="24"/>
                <w:szCs w:val="24"/>
                <w:highlight w:val="none"/>
                <w:u w:val="none"/>
                <w:lang w:eastAsia="zh-CN"/>
              </w:rPr>
            </w:pPr>
          </w:p>
          <w:p w14:paraId="53F174E9">
            <w:pPr>
              <w:tabs>
                <w:tab w:val="left" w:pos="0"/>
              </w:tabs>
              <w:jc w:val="center"/>
              <w:rPr>
                <w:rFonts w:hint="eastAsia" w:ascii="Times New Roman" w:hAnsi="Times New Roman" w:eastAsia="宋体" w:cs="Times New Roman"/>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表3.4-</w:t>
            </w:r>
            <w:r>
              <w:rPr>
                <w:rFonts w:hint="eastAsia" w:cs="Times New Roman"/>
                <w:b/>
                <w:bCs/>
                <w:color w:val="auto"/>
                <w:highlight w:val="none"/>
                <w:u w:val="none"/>
                <w:lang w:val="en-US" w:eastAsia="zh-CN"/>
              </w:rPr>
              <w:t>7</w:t>
            </w:r>
            <w:r>
              <w:rPr>
                <w:rFonts w:hint="eastAsia" w:ascii="Times New Roman" w:hAnsi="Times New Roman" w:eastAsia="宋体" w:cs="Times New Roman"/>
                <w:b/>
                <w:bCs/>
                <w:color w:val="auto"/>
                <w:highlight w:val="none"/>
                <w:u w:val="none"/>
                <w:lang w:val="en-US" w:eastAsia="zh-CN"/>
              </w:rPr>
              <w:t>疏浚物类别化学评价限值</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1089"/>
              <w:gridCol w:w="1090"/>
              <w:gridCol w:w="1901"/>
              <w:gridCol w:w="1089"/>
              <w:gridCol w:w="1240"/>
            </w:tblGrid>
            <w:tr w14:paraId="4452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vMerge w:val="restart"/>
                  <w:noWrap w:val="0"/>
                  <w:vAlign w:val="center"/>
                </w:tcPr>
                <w:p w14:paraId="08287211">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2"/>
                      <w:sz w:val="21"/>
                      <w:szCs w:val="21"/>
                      <w:highlight w:val="none"/>
                      <w:u w:val="none"/>
                    </w:rPr>
                    <w:t>化学组分</w:t>
                  </w:r>
                </w:p>
              </w:tc>
              <w:tc>
                <w:tcPr>
                  <w:tcW w:w="1311" w:type="pct"/>
                  <w:gridSpan w:val="2"/>
                  <w:noWrap w:val="0"/>
                  <w:vAlign w:val="center"/>
                </w:tcPr>
                <w:p w14:paraId="1069F11F">
                  <w:pPr>
                    <w:keepNext w:val="0"/>
                    <w:keepLines w:val="0"/>
                    <w:pageBreakBefore w:val="0"/>
                    <w:widowControl w:val="0"/>
                    <w:kinsoku/>
                    <w:wordWrap/>
                    <w:overflowPunct/>
                    <w:topLinePunct w:val="0"/>
                    <w:autoSpaceDE/>
                    <w:autoSpaceDN/>
                    <w:bidi w:val="0"/>
                    <w:adjustRightInd/>
                    <w:snapToGrid/>
                    <w:spacing w:line="285"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z w:val="21"/>
                      <w:szCs w:val="21"/>
                      <w:highlight w:val="none"/>
                      <w:u w:val="none"/>
                    </w:rPr>
                    <w:t>ω/10</w:t>
                  </w:r>
                  <w:r>
                    <w:rPr>
                      <w:rFonts w:ascii="Times New Roman" w:hAnsi="Times New Roman" w:eastAsia="Times New Roman" w:cs="Times New Roman"/>
                      <w:color w:val="auto"/>
                      <w:position w:val="9"/>
                      <w:sz w:val="13"/>
                      <w:szCs w:val="13"/>
                      <w:highlight w:val="none"/>
                      <w:u w:val="none"/>
                    </w:rPr>
                    <w:t>-6</w:t>
                  </w:r>
                </w:p>
              </w:tc>
              <w:tc>
                <w:tcPr>
                  <w:tcW w:w="1144" w:type="pct"/>
                  <w:vMerge w:val="restart"/>
                  <w:noWrap w:val="0"/>
                  <w:vAlign w:val="center"/>
                </w:tcPr>
                <w:p w14:paraId="7694FC80">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2"/>
                      <w:sz w:val="21"/>
                      <w:szCs w:val="21"/>
                      <w:highlight w:val="none"/>
                      <w:u w:val="none"/>
                    </w:rPr>
                    <w:t>化学组分</w:t>
                  </w:r>
                </w:p>
              </w:tc>
              <w:tc>
                <w:tcPr>
                  <w:tcW w:w="1400" w:type="pct"/>
                  <w:gridSpan w:val="2"/>
                  <w:noWrap w:val="0"/>
                  <w:vAlign w:val="center"/>
                </w:tcPr>
                <w:p w14:paraId="2E344570">
                  <w:pPr>
                    <w:keepNext w:val="0"/>
                    <w:keepLines w:val="0"/>
                    <w:pageBreakBefore w:val="0"/>
                    <w:widowControl w:val="0"/>
                    <w:kinsoku/>
                    <w:wordWrap/>
                    <w:overflowPunct/>
                    <w:topLinePunct w:val="0"/>
                    <w:autoSpaceDE/>
                    <w:autoSpaceDN/>
                    <w:bidi w:val="0"/>
                    <w:adjustRightInd/>
                    <w:snapToGrid/>
                    <w:spacing w:line="285"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z w:val="21"/>
                      <w:szCs w:val="21"/>
                      <w:highlight w:val="none"/>
                      <w:u w:val="none"/>
                    </w:rPr>
                    <w:t>ω/10</w:t>
                  </w:r>
                  <w:r>
                    <w:rPr>
                      <w:rFonts w:ascii="Times New Roman" w:hAnsi="Times New Roman" w:eastAsia="Times New Roman" w:cs="Times New Roman"/>
                      <w:color w:val="auto"/>
                      <w:position w:val="9"/>
                      <w:sz w:val="13"/>
                      <w:szCs w:val="13"/>
                      <w:highlight w:val="none"/>
                      <w:u w:val="none"/>
                    </w:rPr>
                    <w:t>-6</w:t>
                  </w:r>
                </w:p>
              </w:tc>
            </w:tr>
            <w:tr w14:paraId="0448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vMerge w:val="continue"/>
                  <w:noWrap w:val="0"/>
                  <w:vAlign w:val="center"/>
                </w:tcPr>
                <w:p w14:paraId="6D10572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55" w:type="pct"/>
                  <w:noWrap w:val="0"/>
                  <w:vAlign w:val="center"/>
                </w:tcPr>
                <w:p w14:paraId="029B4CF5">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4"/>
                      <w:sz w:val="21"/>
                      <w:szCs w:val="21"/>
                      <w:highlight w:val="none"/>
                      <w:u w:val="none"/>
                    </w:rPr>
                    <w:t>下限</w:t>
                  </w:r>
                </w:p>
              </w:tc>
              <w:tc>
                <w:tcPr>
                  <w:tcW w:w="655" w:type="pct"/>
                  <w:noWrap w:val="0"/>
                  <w:vAlign w:val="center"/>
                </w:tcPr>
                <w:p w14:paraId="642111A7">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color w:val="auto"/>
                      <w:highlight w:val="none"/>
                      <w:u w:val="none"/>
                    </w:rPr>
                  </w:pPr>
                  <w:r>
                    <w:rPr>
                      <w:color w:val="auto"/>
                      <w:spacing w:val="-2"/>
                      <w:sz w:val="21"/>
                      <w:szCs w:val="21"/>
                      <w:highlight w:val="none"/>
                      <w:u w:val="none"/>
                    </w:rPr>
                    <w:t>上限</w:t>
                  </w:r>
                </w:p>
              </w:tc>
              <w:tc>
                <w:tcPr>
                  <w:tcW w:w="1144" w:type="pct"/>
                  <w:vMerge w:val="continue"/>
                  <w:noWrap w:val="0"/>
                  <w:vAlign w:val="center"/>
                </w:tcPr>
                <w:p w14:paraId="28A0B41E">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p>
              </w:tc>
              <w:tc>
                <w:tcPr>
                  <w:tcW w:w="655" w:type="pct"/>
                  <w:noWrap w:val="0"/>
                  <w:vAlign w:val="center"/>
                </w:tcPr>
                <w:p w14:paraId="1DF00BDA">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4"/>
                      <w:sz w:val="21"/>
                      <w:szCs w:val="21"/>
                      <w:highlight w:val="none"/>
                      <w:u w:val="none"/>
                    </w:rPr>
                    <w:t>下限</w:t>
                  </w:r>
                </w:p>
              </w:tc>
              <w:tc>
                <w:tcPr>
                  <w:tcW w:w="744" w:type="pct"/>
                  <w:noWrap w:val="0"/>
                  <w:vAlign w:val="center"/>
                </w:tcPr>
                <w:p w14:paraId="48C2E93F">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color w:val="auto"/>
                      <w:highlight w:val="none"/>
                      <w:u w:val="none"/>
                    </w:rPr>
                  </w:pPr>
                  <w:r>
                    <w:rPr>
                      <w:color w:val="auto"/>
                      <w:spacing w:val="-2"/>
                      <w:sz w:val="21"/>
                      <w:szCs w:val="21"/>
                      <w:highlight w:val="none"/>
                      <w:u w:val="none"/>
                    </w:rPr>
                    <w:t>上限</w:t>
                  </w:r>
                </w:p>
              </w:tc>
            </w:tr>
            <w:tr w14:paraId="1C24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70006FD4">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砷</w:t>
                  </w:r>
                </w:p>
              </w:tc>
              <w:tc>
                <w:tcPr>
                  <w:tcW w:w="655" w:type="pct"/>
                  <w:noWrap w:val="0"/>
                  <w:vAlign w:val="center"/>
                </w:tcPr>
                <w:p w14:paraId="6FD9502E">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20.0</w:t>
                  </w:r>
                </w:p>
              </w:tc>
              <w:tc>
                <w:tcPr>
                  <w:tcW w:w="655" w:type="pct"/>
                  <w:noWrap w:val="0"/>
                  <w:vAlign w:val="center"/>
                </w:tcPr>
                <w:p w14:paraId="79F345CA">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4"/>
                      <w:sz w:val="21"/>
                      <w:szCs w:val="21"/>
                      <w:highlight w:val="none"/>
                      <w:u w:val="none"/>
                    </w:rPr>
                    <w:t>100.0</w:t>
                  </w:r>
                </w:p>
              </w:tc>
              <w:tc>
                <w:tcPr>
                  <w:tcW w:w="1144" w:type="pct"/>
                  <w:noWrap w:val="0"/>
                  <w:vAlign w:val="center"/>
                </w:tcPr>
                <w:p w14:paraId="473EED1F">
                  <w:pPr>
                    <w:pStyle w:val="230"/>
                    <w:keepNext w:val="0"/>
                    <w:keepLines w:val="0"/>
                    <w:pageBreakBefore w:val="0"/>
                    <w:widowControl w:val="0"/>
                    <w:kinsoku/>
                    <w:wordWrap/>
                    <w:overflowPunct/>
                    <w:topLinePunct w:val="0"/>
                    <w:autoSpaceDE/>
                    <w:autoSpaceDN/>
                    <w:bidi w:val="0"/>
                    <w:adjustRightInd/>
                    <w:snapToGrid/>
                    <w:spacing w:line="225"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铅</w:t>
                  </w:r>
                </w:p>
              </w:tc>
              <w:tc>
                <w:tcPr>
                  <w:tcW w:w="655" w:type="pct"/>
                  <w:noWrap w:val="0"/>
                  <w:vAlign w:val="center"/>
                </w:tcPr>
                <w:p w14:paraId="0CDCD8FE">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2"/>
                      <w:sz w:val="21"/>
                      <w:szCs w:val="21"/>
                      <w:highlight w:val="none"/>
                      <w:u w:val="none"/>
                    </w:rPr>
                    <w:t>75.0</w:t>
                  </w:r>
                </w:p>
              </w:tc>
              <w:tc>
                <w:tcPr>
                  <w:tcW w:w="744" w:type="pct"/>
                  <w:noWrap w:val="0"/>
                  <w:vAlign w:val="center"/>
                </w:tcPr>
                <w:p w14:paraId="6324A778">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1"/>
                      <w:sz w:val="21"/>
                      <w:szCs w:val="21"/>
                      <w:highlight w:val="none"/>
                      <w:u w:val="none"/>
                    </w:rPr>
                    <w:t>250.0</w:t>
                  </w:r>
                </w:p>
              </w:tc>
            </w:tr>
            <w:tr w14:paraId="6903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12CCE971">
                  <w:pPr>
                    <w:pStyle w:val="230"/>
                    <w:keepNext w:val="0"/>
                    <w:keepLines w:val="0"/>
                    <w:pageBreakBefore w:val="0"/>
                    <w:widowControl w:val="0"/>
                    <w:kinsoku/>
                    <w:wordWrap/>
                    <w:overflowPunct/>
                    <w:topLinePunct w:val="0"/>
                    <w:autoSpaceDE/>
                    <w:autoSpaceDN/>
                    <w:bidi w:val="0"/>
                    <w:adjustRightInd/>
                    <w:snapToGrid/>
                    <w:spacing w:line="22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镉</w:t>
                  </w:r>
                </w:p>
              </w:tc>
              <w:tc>
                <w:tcPr>
                  <w:tcW w:w="655" w:type="pct"/>
                  <w:noWrap w:val="0"/>
                  <w:vAlign w:val="center"/>
                </w:tcPr>
                <w:p w14:paraId="40F3AC97">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0.80</w:t>
                  </w:r>
                </w:p>
              </w:tc>
              <w:tc>
                <w:tcPr>
                  <w:tcW w:w="655" w:type="pct"/>
                  <w:noWrap w:val="0"/>
                  <w:vAlign w:val="center"/>
                </w:tcPr>
                <w:p w14:paraId="063FE728">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2"/>
                      <w:sz w:val="21"/>
                      <w:szCs w:val="21"/>
                      <w:highlight w:val="none"/>
                      <w:u w:val="none"/>
                    </w:rPr>
                    <w:t>5.0</w:t>
                  </w:r>
                </w:p>
              </w:tc>
              <w:tc>
                <w:tcPr>
                  <w:tcW w:w="1144" w:type="pct"/>
                  <w:noWrap w:val="0"/>
                  <w:vAlign w:val="center"/>
                </w:tcPr>
                <w:p w14:paraId="3FC7C912">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汞</w:t>
                  </w:r>
                </w:p>
              </w:tc>
              <w:tc>
                <w:tcPr>
                  <w:tcW w:w="655" w:type="pct"/>
                  <w:noWrap w:val="0"/>
                  <w:vAlign w:val="center"/>
                </w:tcPr>
                <w:p w14:paraId="578AD489">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0.30</w:t>
                  </w:r>
                </w:p>
              </w:tc>
              <w:tc>
                <w:tcPr>
                  <w:tcW w:w="744" w:type="pct"/>
                  <w:noWrap w:val="0"/>
                  <w:vAlign w:val="center"/>
                </w:tcPr>
                <w:p w14:paraId="5864D0FA">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5"/>
                      <w:sz w:val="21"/>
                      <w:szCs w:val="21"/>
                      <w:highlight w:val="none"/>
                      <w:u w:val="none"/>
                    </w:rPr>
                    <w:t>1.0</w:t>
                  </w:r>
                </w:p>
              </w:tc>
            </w:tr>
            <w:tr w14:paraId="1006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10B76BF3">
                  <w:pPr>
                    <w:pStyle w:val="230"/>
                    <w:keepNext w:val="0"/>
                    <w:keepLines w:val="0"/>
                    <w:pageBreakBefore w:val="0"/>
                    <w:widowControl w:val="0"/>
                    <w:kinsoku/>
                    <w:wordWrap/>
                    <w:overflowPunct/>
                    <w:topLinePunct w:val="0"/>
                    <w:autoSpaceDE/>
                    <w:autoSpaceDN/>
                    <w:bidi w:val="0"/>
                    <w:adjustRightInd/>
                    <w:snapToGrid/>
                    <w:spacing w:line="22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铬</w:t>
                  </w:r>
                </w:p>
              </w:tc>
              <w:tc>
                <w:tcPr>
                  <w:tcW w:w="655" w:type="pct"/>
                  <w:noWrap w:val="0"/>
                  <w:vAlign w:val="center"/>
                </w:tcPr>
                <w:p w14:paraId="34BEF74A">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2"/>
                      <w:sz w:val="21"/>
                      <w:szCs w:val="21"/>
                      <w:highlight w:val="none"/>
                      <w:u w:val="none"/>
                    </w:rPr>
                    <w:t>80.0</w:t>
                  </w:r>
                </w:p>
              </w:tc>
              <w:tc>
                <w:tcPr>
                  <w:tcW w:w="655" w:type="pct"/>
                  <w:noWrap w:val="0"/>
                  <w:vAlign w:val="center"/>
                </w:tcPr>
                <w:p w14:paraId="79C48EB3">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1"/>
                      <w:sz w:val="21"/>
                      <w:szCs w:val="21"/>
                      <w:highlight w:val="none"/>
                      <w:u w:val="none"/>
                    </w:rPr>
                    <w:t>300.0</w:t>
                  </w:r>
                </w:p>
              </w:tc>
              <w:tc>
                <w:tcPr>
                  <w:tcW w:w="1144" w:type="pct"/>
                  <w:noWrap w:val="0"/>
                  <w:vAlign w:val="center"/>
                </w:tcPr>
                <w:p w14:paraId="2F6B70B3">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锌</w:t>
                  </w:r>
                </w:p>
              </w:tc>
              <w:tc>
                <w:tcPr>
                  <w:tcW w:w="655" w:type="pct"/>
                  <w:noWrap w:val="0"/>
                  <w:vAlign w:val="center"/>
                </w:tcPr>
                <w:p w14:paraId="6472A73C">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200.0</w:t>
                  </w:r>
                </w:p>
              </w:tc>
              <w:tc>
                <w:tcPr>
                  <w:tcW w:w="744" w:type="pct"/>
                  <w:noWrap w:val="0"/>
                  <w:vAlign w:val="center"/>
                </w:tcPr>
                <w:p w14:paraId="444D43BB">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1"/>
                      <w:sz w:val="21"/>
                      <w:szCs w:val="21"/>
                      <w:highlight w:val="none"/>
                      <w:u w:val="none"/>
                    </w:rPr>
                    <w:t>600.0</w:t>
                  </w:r>
                </w:p>
              </w:tc>
            </w:tr>
            <w:tr w14:paraId="2B8E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49D06B13">
                  <w:pPr>
                    <w:pStyle w:val="230"/>
                    <w:keepNext w:val="0"/>
                    <w:keepLines w:val="0"/>
                    <w:pageBreakBefore w:val="0"/>
                    <w:widowControl w:val="0"/>
                    <w:kinsoku/>
                    <w:wordWrap/>
                    <w:overflowPunct/>
                    <w:topLinePunct w:val="0"/>
                    <w:autoSpaceDE/>
                    <w:autoSpaceDN/>
                    <w:bidi w:val="0"/>
                    <w:adjustRightInd/>
                    <w:snapToGrid/>
                    <w:spacing w:line="222"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z w:val="21"/>
                      <w:szCs w:val="21"/>
                      <w:highlight w:val="none"/>
                      <w:u w:val="none"/>
                    </w:rPr>
                    <w:t>铜</w:t>
                  </w:r>
                </w:p>
              </w:tc>
              <w:tc>
                <w:tcPr>
                  <w:tcW w:w="655" w:type="pct"/>
                  <w:noWrap w:val="0"/>
                  <w:vAlign w:val="center"/>
                </w:tcPr>
                <w:p w14:paraId="576E1DBD">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2"/>
                      <w:sz w:val="21"/>
                      <w:szCs w:val="21"/>
                      <w:highlight w:val="none"/>
                      <w:u w:val="none"/>
                    </w:rPr>
                    <w:t>50.0</w:t>
                  </w:r>
                </w:p>
              </w:tc>
              <w:tc>
                <w:tcPr>
                  <w:tcW w:w="655" w:type="pct"/>
                  <w:noWrap w:val="0"/>
                  <w:vAlign w:val="center"/>
                </w:tcPr>
                <w:p w14:paraId="23459D50">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1"/>
                      <w:sz w:val="21"/>
                      <w:szCs w:val="21"/>
                      <w:highlight w:val="none"/>
                      <w:u w:val="none"/>
                    </w:rPr>
                    <w:t>300.0</w:t>
                  </w:r>
                </w:p>
              </w:tc>
              <w:tc>
                <w:tcPr>
                  <w:tcW w:w="1144" w:type="pct"/>
                  <w:noWrap w:val="0"/>
                  <w:vAlign w:val="center"/>
                </w:tcPr>
                <w:p w14:paraId="33DB0638">
                  <w:pPr>
                    <w:pStyle w:val="230"/>
                    <w:keepNext w:val="0"/>
                    <w:keepLines w:val="0"/>
                    <w:pageBreakBefore w:val="0"/>
                    <w:widowControl w:val="0"/>
                    <w:kinsoku/>
                    <w:wordWrap/>
                    <w:overflowPunct/>
                    <w:topLinePunct w:val="0"/>
                    <w:autoSpaceDE/>
                    <w:autoSpaceDN/>
                    <w:bidi w:val="0"/>
                    <w:adjustRightInd/>
                    <w:snapToGrid/>
                    <w:spacing w:line="234"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2"/>
                      <w:sz w:val="21"/>
                      <w:szCs w:val="21"/>
                      <w:highlight w:val="none"/>
                      <w:u w:val="none"/>
                    </w:rPr>
                    <w:t>有机碳</w:t>
                  </w:r>
                  <w:r>
                    <w:rPr>
                      <w:rFonts w:ascii="Times New Roman" w:hAnsi="Times New Roman" w:eastAsia="Times New Roman" w:cs="Times New Roman"/>
                      <w:color w:val="auto"/>
                      <w:spacing w:val="-2"/>
                      <w:sz w:val="21"/>
                      <w:szCs w:val="21"/>
                      <w:highlight w:val="none"/>
                      <w:u w:val="none"/>
                    </w:rPr>
                    <w:t>*</w:t>
                  </w:r>
                </w:p>
              </w:tc>
              <w:tc>
                <w:tcPr>
                  <w:tcW w:w="655" w:type="pct"/>
                  <w:noWrap w:val="0"/>
                  <w:vAlign w:val="center"/>
                </w:tcPr>
                <w:p w14:paraId="21B8736C">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2.0</w:t>
                  </w:r>
                </w:p>
              </w:tc>
              <w:tc>
                <w:tcPr>
                  <w:tcW w:w="744" w:type="pct"/>
                  <w:noWrap w:val="0"/>
                  <w:vAlign w:val="center"/>
                </w:tcPr>
                <w:p w14:paraId="36CF2438">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1"/>
                      <w:sz w:val="21"/>
                      <w:szCs w:val="21"/>
                      <w:highlight w:val="none"/>
                      <w:u w:val="none"/>
                    </w:rPr>
                    <w:t>4.0</w:t>
                  </w:r>
                </w:p>
              </w:tc>
            </w:tr>
            <w:tr w14:paraId="419B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692C099F">
                  <w:pPr>
                    <w:pStyle w:val="230"/>
                    <w:keepNext w:val="0"/>
                    <w:keepLines w:val="0"/>
                    <w:pageBreakBefore w:val="0"/>
                    <w:widowControl w:val="0"/>
                    <w:kinsoku/>
                    <w:wordWrap/>
                    <w:overflowPunct/>
                    <w:topLinePunct w:val="0"/>
                    <w:autoSpaceDE/>
                    <w:autoSpaceDN/>
                    <w:bidi w:val="0"/>
                    <w:adjustRightInd/>
                    <w:snapToGrid/>
                    <w:spacing w:line="222"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1"/>
                      <w:sz w:val="21"/>
                      <w:szCs w:val="21"/>
                      <w:highlight w:val="none"/>
                      <w:u w:val="none"/>
                    </w:rPr>
                    <w:t>硫化物</w:t>
                  </w:r>
                </w:p>
              </w:tc>
              <w:tc>
                <w:tcPr>
                  <w:tcW w:w="655" w:type="pct"/>
                  <w:noWrap w:val="0"/>
                  <w:vAlign w:val="center"/>
                </w:tcPr>
                <w:p w14:paraId="13DC60CA">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1"/>
                      <w:sz w:val="21"/>
                      <w:szCs w:val="21"/>
                      <w:highlight w:val="none"/>
                      <w:u w:val="none"/>
                    </w:rPr>
                    <w:t>300.0</w:t>
                  </w:r>
                </w:p>
              </w:tc>
              <w:tc>
                <w:tcPr>
                  <w:tcW w:w="655" w:type="pct"/>
                  <w:noWrap w:val="0"/>
                  <w:vAlign w:val="center"/>
                </w:tcPr>
                <w:p w14:paraId="5C6CA642">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2"/>
                      <w:sz w:val="21"/>
                      <w:szCs w:val="21"/>
                      <w:highlight w:val="none"/>
                      <w:u w:val="none"/>
                    </w:rPr>
                    <w:t>800.0</w:t>
                  </w:r>
                </w:p>
              </w:tc>
              <w:tc>
                <w:tcPr>
                  <w:tcW w:w="1144" w:type="pct"/>
                  <w:noWrap w:val="0"/>
                  <w:vAlign w:val="center"/>
                </w:tcPr>
                <w:p w14:paraId="1DE4CB5B">
                  <w:pPr>
                    <w:pStyle w:val="230"/>
                    <w:keepNext w:val="0"/>
                    <w:keepLines w:val="0"/>
                    <w:pageBreakBefore w:val="0"/>
                    <w:widowControl w:val="0"/>
                    <w:kinsoku/>
                    <w:wordWrap/>
                    <w:overflowPunct/>
                    <w:topLinePunct w:val="0"/>
                    <w:autoSpaceDE/>
                    <w:autoSpaceDN/>
                    <w:bidi w:val="0"/>
                    <w:adjustRightInd/>
                    <w:snapToGrid/>
                    <w:spacing w:line="221"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color w:val="auto"/>
                      <w:spacing w:val="-3"/>
                      <w:sz w:val="21"/>
                      <w:szCs w:val="21"/>
                      <w:highlight w:val="none"/>
                      <w:u w:val="none"/>
                    </w:rPr>
                    <w:t>油类</w:t>
                  </w:r>
                </w:p>
              </w:tc>
              <w:tc>
                <w:tcPr>
                  <w:tcW w:w="655" w:type="pct"/>
                  <w:noWrap w:val="0"/>
                  <w:vAlign w:val="center"/>
                </w:tcPr>
                <w:p w14:paraId="0BD4309A">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2"/>
                      <w:sz w:val="21"/>
                      <w:szCs w:val="21"/>
                      <w:highlight w:val="none"/>
                      <w:u w:val="none"/>
                    </w:rPr>
                    <w:t>500.0</w:t>
                  </w:r>
                </w:p>
              </w:tc>
              <w:tc>
                <w:tcPr>
                  <w:tcW w:w="744" w:type="pct"/>
                  <w:noWrap w:val="0"/>
                  <w:vAlign w:val="center"/>
                </w:tcPr>
                <w:p w14:paraId="2FA4B688">
                  <w:pPr>
                    <w:keepNext w:val="0"/>
                    <w:keepLines w:val="0"/>
                    <w:pageBreakBefore w:val="0"/>
                    <w:widowControl w:val="0"/>
                    <w:kinsoku/>
                    <w:wordWrap/>
                    <w:overflowPunct/>
                    <w:topLinePunct w:val="0"/>
                    <w:autoSpaceDE/>
                    <w:autoSpaceDN/>
                    <w:bidi w:val="0"/>
                    <w:adjustRightInd/>
                    <w:snapToGrid/>
                    <w:spacing w:line="233" w:lineRule="auto"/>
                    <w:ind w:left="0" w:leftChars="0" w:right="0" w:rightChars="0" w:firstLine="0" w:firstLineChars="0"/>
                    <w:jc w:val="center"/>
                    <w:textAlignment w:val="auto"/>
                    <w:rPr>
                      <w:color w:val="auto"/>
                      <w:highlight w:val="none"/>
                      <w:u w:val="none"/>
                    </w:rPr>
                  </w:pPr>
                  <w:r>
                    <w:rPr>
                      <w:rFonts w:ascii="Times New Roman" w:hAnsi="Times New Roman" w:eastAsia="Times New Roman" w:cs="Times New Roman"/>
                      <w:color w:val="auto"/>
                      <w:spacing w:val="-3"/>
                      <w:sz w:val="21"/>
                      <w:szCs w:val="21"/>
                      <w:highlight w:val="none"/>
                      <w:u w:val="none"/>
                    </w:rPr>
                    <w:t>1500.0</w:t>
                  </w:r>
                </w:p>
              </w:tc>
            </w:tr>
            <w:tr w14:paraId="2C59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52DEE7CA">
                  <w:pPr>
                    <w:pStyle w:val="230"/>
                    <w:keepNext w:val="0"/>
                    <w:keepLines w:val="0"/>
                    <w:pageBreakBefore w:val="0"/>
                    <w:widowControl w:val="0"/>
                    <w:kinsoku/>
                    <w:wordWrap/>
                    <w:overflowPunct/>
                    <w:topLinePunct w:val="0"/>
                    <w:autoSpaceDE/>
                    <w:autoSpaceDN/>
                    <w:bidi w:val="0"/>
                    <w:adjustRightInd/>
                    <w:snapToGrid/>
                    <w:spacing w:line="281"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ascii="Times New Roman" w:hAnsi="Times New Roman" w:eastAsia="Times New Roman" w:cs="Times New Roman"/>
                      <w:color w:val="auto"/>
                      <w:spacing w:val="-3"/>
                      <w:position w:val="1"/>
                      <w:sz w:val="21"/>
                      <w:szCs w:val="21"/>
                      <w:highlight w:val="none"/>
                      <w:u w:val="none"/>
                    </w:rPr>
                    <w:t>*</w:t>
                  </w:r>
                  <w:r>
                    <w:rPr>
                      <w:color w:val="auto"/>
                      <w:spacing w:val="-3"/>
                      <w:position w:val="1"/>
                      <w:sz w:val="21"/>
                      <w:szCs w:val="21"/>
                      <w:highlight w:val="none"/>
                      <w:u w:val="none"/>
                    </w:rPr>
                    <w:t>有机碳的单位为</w:t>
                  </w:r>
                  <w:r>
                    <w:rPr>
                      <w:color w:val="auto"/>
                      <w:spacing w:val="-22"/>
                      <w:position w:val="1"/>
                      <w:sz w:val="21"/>
                      <w:szCs w:val="21"/>
                      <w:highlight w:val="none"/>
                      <w:u w:val="none"/>
                    </w:rPr>
                    <w:t xml:space="preserve"> </w:t>
                  </w:r>
                  <w:r>
                    <w:rPr>
                      <w:rFonts w:ascii="Times New Roman" w:hAnsi="Times New Roman" w:eastAsia="Times New Roman" w:cs="Times New Roman"/>
                      <w:color w:val="auto"/>
                      <w:spacing w:val="-3"/>
                      <w:position w:val="1"/>
                      <w:sz w:val="21"/>
                      <w:szCs w:val="21"/>
                      <w:highlight w:val="none"/>
                      <w:u w:val="none"/>
                    </w:rPr>
                    <w:t>10</w:t>
                  </w:r>
                  <w:r>
                    <w:rPr>
                      <w:rFonts w:ascii="Times New Roman" w:hAnsi="Times New Roman" w:eastAsia="Times New Roman" w:cs="Times New Roman"/>
                      <w:color w:val="auto"/>
                      <w:spacing w:val="-3"/>
                      <w:position w:val="10"/>
                      <w:sz w:val="13"/>
                      <w:szCs w:val="13"/>
                      <w:highlight w:val="none"/>
                      <w:u w:val="none"/>
                    </w:rPr>
                    <w:t>-2</w:t>
                  </w:r>
                </w:p>
              </w:tc>
            </w:tr>
          </w:tbl>
          <w:p w14:paraId="1B8477D3">
            <w:pPr>
              <w:spacing w:line="360" w:lineRule="auto"/>
              <w:rPr>
                <w:color w:val="auto"/>
                <w:sz w:val="24"/>
                <w:highlight w:val="none"/>
              </w:rPr>
            </w:pPr>
            <w:r>
              <w:rPr>
                <w:rFonts w:hint="eastAsia"/>
                <w:b/>
                <w:color w:val="auto"/>
                <w:sz w:val="28"/>
                <w:szCs w:val="28"/>
                <w:highlight w:val="none"/>
                <w:lang w:val="en-US" w:eastAsia="zh-CN"/>
              </w:rPr>
              <w:t>3.4.2</w:t>
            </w:r>
            <w:r>
              <w:rPr>
                <w:b/>
                <w:color w:val="auto"/>
                <w:sz w:val="28"/>
                <w:szCs w:val="28"/>
                <w:highlight w:val="none"/>
              </w:rPr>
              <w:t>污染物排放标准</w:t>
            </w:r>
          </w:p>
          <w:p w14:paraId="023B7601">
            <w:pPr>
              <w:spacing w:line="360" w:lineRule="auto"/>
              <w:ind w:firstLine="482" w:firstLineChars="200"/>
              <w:rPr>
                <w:rFonts w:hint="eastAsia"/>
                <w:b/>
                <w:color w:val="auto"/>
                <w:sz w:val="24"/>
                <w:highlight w:val="none"/>
                <w:lang w:eastAsia="zh-CN"/>
              </w:rPr>
            </w:pPr>
            <w:r>
              <w:rPr>
                <w:rFonts w:hint="eastAsia"/>
                <w:b/>
                <w:color w:val="auto"/>
                <w:sz w:val="24"/>
                <w:highlight w:val="none"/>
              </w:rPr>
              <w:t>1、</w:t>
            </w:r>
            <w:r>
              <w:rPr>
                <w:rFonts w:hint="eastAsia"/>
                <w:b/>
                <w:color w:val="auto"/>
                <w:sz w:val="24"/>
                <w:highlight w:val="none"/>
                <w:lang w:eastAsia="zh-CN"/>
              </w:rPr>
              <w:t>大气污染物排放标准</w:t>
            </w:r>
          </w:p>
          <w:p w14:paraId="20489B71">
            <w:p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施工过程中的大气污染物主要是施工船舶产生的废气，其污染物主要为 </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CO</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X</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 xml:space="preserve">等，均为无组织排放。本项目为维护性疏浚工程，无运营期。 </w:t>
            </w:r>
          </w:p>
          <w:p w14:paraId="0CE8A119">
            <w:pPr>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船舶应符合《船舶大气污染物排放控制区实施方案》（交海发〔</w:t>
            </w:r>
            <w:r>
              <w:rPr>
                <w:rFonts w:hint="default" w:ascii="Times New Roman" w:hAnsi="Times New Roman" w:eastAsia="宋体" w:cs="Times New Roman"/>
                <w:color w:val="auto"/>
                <w:sz w:val="24"/>
                <w:highlight w:val="none"/>
                <w:lang w:val="en-US" w:eastAsia="zh-CN"/>
              </w:rPr>
              <w:t>2018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168 </w:t>
            </w:r>
            <w:r>
              <w:rPr>
                <w:rFonts w:hint="eastAsia" w:ascii="Times New Roman" w:hAnsi="Times New Roman" w:eastAsia="宋体" w:cs="Times New Roman"/>
                <w:color w:val="auto"/>
                <w:sz w:val="24"/>
                <w:highlight w:val="none"/>
                <w:lang w:val="en-US" w:eastAsia="zh-CN"/>
              </w:rPr>
              <w:t>号）中的控制要求，使用符合规定的船舶及燃油。船舶废气排放应满足《船舶发动机排气污染物排放限值及测量方法（中国第一、二阶段）》（</w:t>
            </w:r>
            <w:r>
              <w:rPr>
                <w:rFonts w:hint="default" w:ascii="Times New Roman" w:hAnsi="Times New Roman" w:eastAsia="宋体" w:cs="Times New Roman"/>
                <w:color w:val="auto"/>
                <w:sz w:val="24"/>
                <w:highlight w:val="none"/>
                <w:lang w:val="en-US" w:eastAsia="zh-CN"/>
              </w:rPr>
              <w:t>GB15097-2016</w:t>
            </w:r>
            <w:r>
              <w:rPr>
                <w:rFonts w:hint="eastAsia" w:ascii="Times New Roman" w:hAnsi="Times New Roman" w:eastAsia="宋体" w:cs="Times New Roman"/>
                <w:color w:val="auto"/>
                <w:sz w:val="24"/>
                <w:highlight w:val="none"/>
                <w:lang w:val="en-US" w:eastAsia="zh-CN"/>
              </w:rPr>
              <w:t>）第二阶段排放限值。</w:t>
            </w:r>
          </w:p>
          <w:p w14:paraId="2DEB9CA3">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表3.4-</w:t>
            </w:r>
            <w:r>
              <w:rPr>
                <w:rFonts w:hint="eastAsia" w:cs="Times New Roman"/>
                <w:b/>
                <w:bCs/>
                <w:color w:val="auto"/>
                <w:sz w:val="24"/>
                <w:highlight w:val="none"/>
                <w:lang w:val="en-US" w:eastAsia="zh-CN"/>
              </w:rPr>
              <w:t>8</w:t>
            </w:r>
            <w:r>
              <w:rPr>
                <w:rFonts w:hint="eastAsia" w:ascii="Times New Roman" w:hAnsi="Times New Roman" w:eastAsia="宋体" w:cs="Times New Roman"/>
                <w:b/>
                <w:bCs/>
                <w:color w:val="auto"/>
                <w:sz w:val="24"/>
                <w:highlight w:val="none"/>
                <w:lang w:val="en-US" w:eastAsia="zh-CN"/>
              </w:rPr>
              <w:t>船舶废气排放标准第二阶段（2021年7月1日开始）排放限值</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707"/>
              <w:gridCol w:w="2420"/>
              <w:gridCol w:w="1338"/>
              <w:gridCol w:w="1578"/>
            </w:tblGrid>
            <w:tr w14:paraId="521C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9E84DD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船机类型</w:t>
                  </w:r>
                </w:p>
              </w:tc>
              <w:tc>
                <w:tcPr>
                  <w:tcW w:w="1027" w:type="pct"/>
                  <w:noWrap w:val="0"/>
                  <w:vAlign w:val="top"/>
                </w:tcPr>
                <w:p w14:paraId="4053724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单杠排量（SV）</w:t>
                  </w:r>
                </w:p>
                <w:p w14:paraId="5DC178A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（L/缸）</w:t>
                  </w:r>
                </w:p>
              </w:tc>
              <w:tc>
                <w:tcPr>
                  <w:tcW w:w="1455" w:type="pct"/>
                  <w:noWrap w:val="0"/>
                  <w:vAlign w:val="top"/>
                </w:tcPr>
                <w:p w14:paraId="732E69D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额定净功率（P） </w:t>
                  </w:r>
                </w:p>
                <w:p w14:paraId="6F54324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（kW）</w:t>
                  </w:r>
                </w:p>
              </w:tc>
              <w:tc>
                <w:tcPr>
                  <w:tcW w:w="805" w:type="pct"/>
                  <w:noWrap w:val="0"/>
                  <w:vAlign w:val="top"/>
                </w:tcPr>
                <w:p w14:paraId="31CC7219">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HC+NOx</w:t>
                  </w:r>
                </w:p>
                <w:p w14:paraId="0A156818">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（g/kWh）</w:t>
                  </w:r>
                </w:p>
              </w:tc>
              <w:tc>
                <w:tcPr>
                  <w:tcW w:w="949" w:type="pct"/>
                  <w:noWrap w:val="0"/>
                  <w:vAlign w:val="top"/>
                </w:tcPr>
                <w:p w14:paraId="0D33CC74">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PM</w:t>
                  </w:r>
                </w:p>
                <w:p w14:paraId="4A6E6E42">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（g/kWh）</w:t>
                  </w:r>
                </w:p>
              </w:tc>
            </w:tr>
            <w:tr w14:paraId="3F5F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restart"/>
                  <w:noWrap w:val="0"/>
                  <w:vAlign w:val="center"/>
                </w:tcPr>
                <w:p w14:paraId="6453880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第一类</w:t>
                  </w:r>
                </w:p>
              </w:tc>
              <w:tc>
                <w:tcPr>
                  <w:tcW w:w="1027" w:type="pct"/>
                  <w:noWrap w:val="0"/>
                  <w:vAlign w:val="center"/>
                </w:tcPr>
                <w:p w14:paraId="78AB34B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SV＜0.9</w:t>
                  </w:r>
                </w:p>
              </w:tc>
              <w:tc>
                <w:tcPr>
                  <w:tcW w:w="1455" w:type="pct"/>
                  <w:noWrap w:val="0"/>
                  <w:vAlign w:val="center"/>
                </w:tcPr>
                <w:p w14:paraId="73ECBAE7">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P≥37</w:t>
                  </w:r>
                </w:p>
              </w:tc>
              <w:tc>
                <w:tcPr>
                  <w:tcW w:w="805" w:type="pct"/>
                  <w:noWrap w:val="0"/>
                  <w:vAlign w:val="center"/>
                </w:tcPr>
                <w:p w14:paraId="41E87226">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681DB8D7">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0.3</w:t>
                  </w:r>
                </w:p>
              </w:tc>
            </w:tr>
            <w:tr w14:paraId="262A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37C8B4A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483" w:type="pct"/>
                  <w:gridSpan w:val="2"/>
                  <w:noWrap w:val="0"/>
                  <w:vAlign w:val="center"/>
                </w:tcPr>
                <w:p w14:paraId="3C703A5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0.9≤SV＜1.2</w:t>
                  </w:r>
                </w:p>
              </w:tc>
              <w:tc>
                <w:tcPr>
                  <w:tcW w:w="805" w:type="pct"/>
                  <w:noWrap w:val="0"/>
                  <w:vAlign w:val="center"/>
                </w:tcPr>
                <w:p w14:paraId="2522FF8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4065C43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6CB6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pct"/>
                  <w:vMerge w:val="continue"/>
                  <w:noWrap w:val="0"/>
                  <w:vAlign w:val="center"/>
                </w:tcPr>
                <w:p w14:paraId="7D403F6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483" w:type="pct"/>
                  <w:gridSpan w:val="2"/>
                  <w:noWrap w:val="0"/>
                  <w:vAlign w:val="center"/>
                </w:tcPr>
                <w:p w14:paraId="70BC29B5">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1.2≤SV＜5</w:t>
                  </w:r>
                </w:p>
              </w:tc>
              <w:tc>
                <w:tcPr>
                  <w:tcW w:w="805" w:type="pct"/>
                  <w:noWrap w:val="0"/>
                  <w:vAlign w:val="center"/>
                </w:tcPr>
                <w:p w14:paraId="094ECE01">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5.8</w:t>
                  </w:r>
                </w:p>
              </w:tc>
              <w:tc>
                <w:tcPr>
                  <w:tcW w:w="949" w:type="pct"/>
                  <w:noWrap w:val="0"/>
                  <w:vAlign w:val="center"/>
                </w:tcPr>
                <w:p w14:paraId="3F7B419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0.12</w:t>
                  </w:r>
                </w:p>
              </w:tc>
            </w:tr>
            <w:tr w14:paraId="745C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restart"/>
                  <w:noWrap w:val="0"/>
                  <w:vAlign w:val="center"/>
                </w:tcPr>
                <w:p w14:paraId="38264A0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第二类</w:t>
                  </w:r>
                </w:p>
              </w:tc>
              <w:tc>
                <w:tcPr>
                  <w:tcW w:w="1027" w:type="pct"/>
                  <w:vMerge w:val="restart"/>
                  <w:noWrap w:val="0"/>
                  <w:vAlign w:val="center"/>
                </w:tcPr>
                <w:p w14:paraId="1C4AB8B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5≤SV＜15</w:t>
                  </w:r>
                </w:p>
              </w:tc>
              <w:tc>
                <w:tcPr>
                  <w:tcW w:w="1455" w:type="pct"/>
                  <w:noWrap w:val="0"/>
                  <w:vAlign w:val="center"/>
                </w:tcPr>
                <w:p w14:paraId="6C11DF2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7DD69B1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6.2</w:t>
                  </w:r>
                </w:p>
              </w:tc>
              <w:tc>
                <w:tcPr>
                  <w:tcW w:w="949" w:type="pct"/>
                  <w:noWrap w:val="0"/>
                  <w:vAlign w:val="center"/>
                </w:tcPr>
                <w:p w14:paraId="2E02B11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6735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1F6D5235">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4CBFE7BB">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47AA4AEA">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2000≤P＜3700</w:t>
                  </w:r>
                </w:p>
              </w:tc>
              <w:tc>
                <w:tcPr>
                  <w:tcW w:w="805" w:type="pct"/>
                  <w:noWrap w:val="0"/>
                  <w:vAlign w:val="center"/>
                </w:tcPr>
                <w:p w14:paraId="2133ADF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7.8</w:t>
                  </w:r>
                </w:p>
              </w:tc>
              <w:tc>
                <w:tcPr>
                  <w:tcW w:w="949" w:type="pct"/>
                  <w:noWrap w:val="0"/>
                  <w:vAlign w:val="center"/>
                </w:tcPr>
                <w:p w14:paraId="775DFFD2">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0.14</w:t>
                  </w:r>
                </w:p>
              </w:tc>
            </w:tr>
            <w:tr w14:paraId="43BE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3FC80B68">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5C44C5D1">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5895995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P≥3700</w:t>
                  </w:r>
                </w:p>
              </w:tc>
              <w:tc>
                <w:tcPr>
                  <w:tcW w:w="805" w:type="pct"/>
                  <w:noWrap w:val="0"/>
                  <w:vAlign w:val="center"/>
                </w:tcPr>
                <w:p w14:paraId="10021F5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7.8</w:t>
                  </w:r>
                </w:p>
              </w:tc>
              <w:tc>
                <w:tcPr>
                  <w:tcW w:w="949" w:type="pct"/>
                  <w:noWrap w:val="0"/>
                  <w:vAlign w:val="center"/>
                </w:tcPr>
                <w:p w14:paraId="2317372F">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r w14:paraId="780B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67A49A15">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restart"/>
                  <w:noWrap w:val="0"/>
                  <w:vAlign w:val="center"/>
                </w:tcPr>
                <w:p w14:paraId="070E8747">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15≤SV＜20</w:t>
                  </w:r>
                </w:p>
              </w:tc>
              <w:tc>
                <w:tcPr>
                  <w:tcW w:w="1455" w:type="pct"/>
                  <w:noWrap w:val="0"/>
                  <w:vAlign w:val="center"/>
                </w:tcPr>
                <w:p w14:paraId="1B64AF6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3C1443B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7.0</w:t>
                  </w:r>
                </w:p>
              </w:tc>
              <w:tc>
                <w:tcPr>
                  <w:tcW w:w="949" w:type="pct"/>
                  <w:noWrap w:val="0"/>
                  <w:vAlign w:val="center"/>
                </w:tcPr>
                <w:p w14:paraId="5537B7AC">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0.34</w:t>
                  </w:r>
                </w:p>
              </w:tc>
            </w:tr>
            <w:tr w14:paraId="5BC8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1D8F9B08">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1E31004C">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7C79CF02">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2000≤P＜3300</w:t>
                  </w:r>
                </w:p>
              </w:tc>
              <w:tc>
                <w:tcPr>
                  <w:tcW w:w="805" w:type="pct"/>
                  <w:noWrap w:val="0"/>
                  <w:vAlign w:val="center"/>
                </w:tcPr>
                <w:p w14:paraId="5A0525C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8.7</w:t>
                  </w:r>
                </w:p>
              </w:tc>
              <w:tc>
                <w:tcPr>
                  <w:tcW w:w="949" w:type="pct"/>
                  <w:noWrap w:val="0"/>
                  <w:vAlign w:val="center"/>
                </w:tcPr>
                <w:p w14:paraId="1499BDA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0F4D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452A1E07">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447A9A7B">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2ED9FDB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P≥3300</w:t>
                  </w:r>
                </w:p>
              </w:tc>
              <w:tc>
                <w:tcPr>
                  <w:tcW w:w="805" w:type="pct"/>
                  <w:noWrap w:val="0"/>
                  <w:vAlign w:val="center"/>
                </w:tcPr>
                <w:p w14:paraId="6E17A84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42CD767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05A7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57F94A15">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restart"/>
                  <w:noWrap w:val="0"/>
                  <w:vAlign w:val="center"/>
                </w:tcPr>
                <w:p w14:paraId="0C538694">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20≤SV＜25</w:t>
                  </w:r>
                </w:p>
              </w:tc>
              <w:tc>
                <w:tcPr>
                  <w:tcW w:w="1455" w:type="pct"/>
                  <w:noWrap w:val="0"/>
                  <w:vAlign w:val="center"/>
                </w:tcPr>
                <w:p w14:paraId="427E861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1A87D38A">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75060BD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r w14:paraId="4555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3044730E">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vMerge w:val="continue"/>
                  <w:noWrap w:val="0"/>
                  <w:vAlign w:val="center"/>
                </w:tcPr>
                <w:p w14:paraId="10FD1EEE">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455" w:type="pct"/>
                  <w:noWrap w:val="0"/>
                  <w:vAlign w:val="center"/>
                </w:tcPr>
                <w:p w14:paraId="44DB667B">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366084B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9.8</w:t>
                  </w:r>
                </w:p>
              </w:tc>
              <w:tc>
                <w:tcPr>
                  <w:tcW w:w="949" w:type="pct"/>
                  <w:noWrap w:val="0"/>
                  <w:vAlign w:val="center"/>
                </w:tcPr>
                <w:p w14:paraId="7451B07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0.50</w:t>
                  </w:r>
                </w:p>
              </w:tc>
            </w:tr>
            <w:tr w14:paraId="1B2A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vMerge w:val="continue"/>
                  <w:noWrap w:val="0"/>
                  <w:vAlign w:val="center"/>
                </w:tcPr>
                <w:p w14:paraId="5B616587">
                  <w:pPr>
                    <w:spacing w:line="360" w:lineRule="auto"/>
                    <w:jc w:val="center"/>
                    <w:rPr>
                      <w:rFonts w:hint="default" w:ascii="Times New Roman" w:hAnsi="Times New Roman" w:eastAsia="宋体" w:cs="Times New Roman"/>
                      <w:color w:val="auto"/>
                      <w:sz w:val="24"/>
                      <w:highlight w:val="none"/>
                      <w:vertAlign w:val="baseline"/>
                      <w:lang w:val="en-US" w:eastAsia="zh-CN"/>
                    </w:rPr>
                  </w:pPr>
                </w:p>
              </w:tc>
              <w:tc>
                <w:tcPr>
                  <w:tcW w:w="1027" w:type="pct"/>
                  <w:noWrap w:val="0"/>
                  <w:vAlign w:val="center"/>
                </w:tcPr>
                <w:p w14:paraId="017E44D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20≤SV＜30</w:t>
                  </w:r>
                </w:p>
              </w:tc>
              <w:tc>
                <w:tcPr>
                  <w:tcW w:w="1455" w:type="pct"/>
                  <w:noWrap w:val="0"/>
                  <w:vAlign w:val="center"/>
                </w:tcPr>
                <w:p w14:paraId="776D655C">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P＜2000</w:t>
                  </w:r>
                </w:p>
              </w:tc>
              <w:tc>
                <w:tcPr>
                  <w:tcW w:w="805" w:type="pct"/>
                  <w:noWrap w:val="0"/>
                  <w:vAlign w:val="center"/>
                </w:tcPr>
                <w:p w14:paraId="3C1F0BC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11.0</w:t>
                  </w:r>
                </w:p>
              </w:tc>
              <w:tc>
                <w:tcPr>
                  <w:tcW w:w="949" w:type="pct"/>
                  <w:noWrap w:val="0"/>
                  <w:vAlign w:val="center"/>
                </w:tcPr>
                <w:p w14:paraId="1E5163AB">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0.27</w:t>
                  </w:r>
                </w:p>
              </w:tc>
            </w:tr>
          </w:tbl>
          <w:p w14:paraId="4F0D93F0">
            <w:pPr>
              <w:spacing w:line="360" w:lineRule="auto"/>
              <w:ind w:firstLine="482" w:firstLineChars="200"/>
              <w:rPr>
                <w:b/>
                <w:color w:val="auto"/>
                <w:sz w:val="24"/>
                <w:highlight w:val="none"/>
              </w:rPr>
            </w:pPr>
            <w:r>
              <w:rPr>
                <w:rFonts w:hint="eastAsia"/>
                <w:b/>
                <w:color w:val="auto"/>
                <w:sz w:val="24"/>
                <w:highlight w:val="none"/>
              </w:rPr>
              <w:t>2</w:t>
            </w:r>
            <w:r>
              <w:rPr>
                <w:b/>
                <w:color w:val="auto"/>
                <w:sz w:val="24"/>
                <w:highlight w:val="none"/>
              </w:rPr>
              <w:t>、水污染物排放标准</w:t>
            </w:r>
          </w:p>
          <w:p w14:paraId="7D8664A9">
            <w:pPr>
              <w:spacing w:line="360" w:lineRule="auto"/>
              <w:ind w:firstLine="480"/>
              <w:rPr>
                <w:rFonts w:hint="eastAsia"/>
                <w:color w:val="auto"/>
                <w:sz w:val="24"/>
                <w:highlight w:val="none"/>
                <w:lang w:eastAsia="zh-CN"/>
              </w:rPr>
            </w:pPr>
            <w:r>
              <w:rPr>
                <w:rFonts w:hint="eastAsia"/>
                <w:color w:val="auto"/>
                <w:sz w:val="24"/>
                <w:highlight w:val="none"/>
                <w:lang w:eastAsia="zh-CN"/>
              </w:rPr>
              <w:t>施工期产生的废水为船舶含油污水和施工人员生活污水，本项目为维护性疏浚工程，无营运期。</w:t>
            </w:r>
          </w:p>
          <w:p w14:paraId="5ADD30FA">
            <w:pPr>
              <w:numPr>
                <w:ilvl w:val="0"/>
                <w:numId w:val="15"/>
              </w:numPr>
              <w:spacing w:line="360" w:lineRule="auto"/>
              <w:ind w:firstLine="480"/>
              <w:rPr>
                <w:rFonts w:hint="eastAsia"/>
                <w:color w:val="auto"/>
                <w:sz w:val="24"/>
                <w:highlight w:val="none"/>
                <w:lang w:val="en-US" w:eastAsia="zh-CN"/>
              </w:rPr>
            </w:pPr>
            <w:r>
              <w:rPr>
                <w:rFonts w:hint="eastAsia"/>
                <w:color w:val="auto"/>
                <w:sz w:val="24"/>
                <w:highlight w:val="none"/>
                <w:lang w:val="en-US" w:eastAsia="zh-CN"/>
              </w:rPr>
              <w:t>施工船舶含油污水</w:t>
            </w:r>
          </w:p>
          <w:p w14:paraId="01EBB972">
            <w:pPr>
              <w:spacing w:line="360" w:lineRule="auto"/>
              <w:ind w:firstLine="480"/>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船舶含油废水执行《船舶水污染物排放控制标准》（</w:t>
            </w:r>
            <w:r>
              <w:rPr>
                <w:rFonts w:hint="default"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val="en-US" w:eastAsia="zh-CN"/>
              </w:rPr>
              <w:t xml:space="preserve">），根据 </w:t>
            </w:r>
            <w:r>
              <w:rPr>
                <w:rFonts w:hint="default" w:ascii="Times New Roman" w:hAnsi="Times New Roman" w:eastAsia="宋体" w:cs="Times New Roman"/>
                <w:color w:val="auto"/>
                <w:sz w:val="24"/>
                <w:highlight w:val="none"/>
                <w:lang w:val="en-US" w:eastAsia="zh-CN"/>
              </w:rPr>
              <w:t xml:space="preserve">GB3552 </w:t>
            </w:r>
            <w:r>
              <w:rPr>
                <w:rFonts w:hint="eastAsia" w:ascii="Times New Roman" w:hAnsi="Times New Roman" w:eastAsia="宋体" w:cs="Times New Roman"/>
                <w:color w:val="auto"/>
                <w:sz w:val="24"/>
                <w:highlight w:val="none"/>
                <w:lang w:val="en-US" w:eastAsia="zh-CN"/>
              </w:rPr>
              <w:t xml:space="preserve">中表 </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 xml:space="preserve">，沿海 </w:t>
            </w:r>
            <w:r>
              <w:rPr>
                <w:rFonts w:hint="default" w:ascii="Times New Roman" w:hAnsi="Times New Roman" w:eastAsia="宋体" w:cs="Times New Roman"/>
                <w:color w:val="auto"/>
                <w:sz w:val="24"/>
                <w:highlight w:val="none"/>
                <w:lang w:val="en-US" w:eastAsia="zh-CN"/>
              </w:rPr>
              <w:t xml:space="preserve">400 </w:t>
            </w:r>
            <w:r>
              <w:rPr>
                <w:rFonts w:hint="eastAsia" w:ascii="Times New Roman" w:hAnsi="Times New Roman" w:eastAsia="宋体" w:cs="Times New Roman"/>
                <w:color w:val="auto"/>
                <w:sz w:val="24"/>
                <w:highlight w:val="none"/>
                <w:lang w:val="en-US" w:eastAsia="zh-CN"/>
              </w:rPr>
              <w:t xml:space="preserve">总吨以下渔业船舶含油污水可自 </w:t>
            </w:r>
            <w:r>
              <w:rPr>
                <w:rFonts w:hint="default" w:ascii="Times New Roman" w:hAnsi="Times New Roman" w:eastAsia="宋体" w:cs="Times New Roman"/>
                <w:color w:val="auto"/>
                <w:sz w:val="24"/>
                <w:highlight w:val="none"/>
                <w:lang w:val="en-US" w:eastAsia="zh-CN"/>
              </w:rPr>
              <w:t xml:space="preserve">2021 </w:t>
            </w:r>
            <w:r>
              <w:rPr>
                <w:rFonts w:hint="eastAsia" w:ascii="Times New Roman" w:hAnsi="Times New Roman" w:eastAsia="宋体" w:cs="Times New Roman"/>
                <w:color w:val="auto"/>
                <w:sz w:val="24"/>
                <w:highlight w:val="none"/>
                <w:lang w:val="en-US" w:eastAsia="zh-CN"/>
              </w:rPr>
              <w:t xml:space="preserve">年 </w:t>
            </w:r>
            <w:r>
              <w:rPr>
                <w:rFonts w:hint="default" w:ascii="Times New Roman" w:hAnsi="Times New Roman" w:eastAsia="宋体" w:cs="Times New Roman"/>
                <w:color w:val="auto"/>
                <w:sz w:val="24"/>
                <w:highlight w:val="none"/>
                <w:lang w:val="en-US" w:eastAsia="zh-CN"/>
              </w:rPr>
              <w:t xml:space="preserve">1 </w:t>
            </w:r>
            <w:r>
              <w:rPr>
                <w:rFonts w:hint="eastAsia" w:ascii="Times New Roman" w:hAnsi="Times New Roman" w:eastAsia="宋体" w:cs="Times New Roman"/>
                <w:color w:val="auto"/>
                <w:sz w:val="24"/>
                <w:highlight w:val="none"/>
                <w:lang w:val="en-US" w:eastAsia="zh-CN"/>
              </w:rPr>
              <w:t xml:space="preserve">月 </w:t>
            </w:r>
            <w:r>
              <w:rPr>
                <w:rFonts w:hint="default" w:ascii="Times New Roman" w:hAnsi="Times New Roman" w:eastAsia="宋体" w:cs="Times New Roman"/>
                <w:color w:val="auto"/>
                <w:sz w:val="24"/>
                <w:highlight w:val="none"/>
                <w:lang w:val="en-US" w:eastAsia="zh-CN"/>
              </w:rPr>
              <w:t xml:space="preserve">1 </w:t>
            </w:r>
            <w:r>
              <w:rPr>
                <w:rFonts w:hint="eastAsia" w:ascii="Times New Roman" w:hAnsi="Times New Roman" w:eastAsia="宋体" w:cs="Times New Roman"/>
                <w:color w:val="auto"/>
                <w:sz w:val="24"/>
                <w:highlight w:val="none"/>
                <w:lang w:val="en-US" w:eastAsia="zh-CN"/>
              </w:rPr>
              <w:t xml:space="preserve">日起，按该标准表 </w:t>
            </w:r>
            <w:r>
              <w:rPr>
                <w:rFonts w:hint="default" w:ascii="Times New Roman" w:hAnsi="Times New Roman" w:eastAsia="宋体" w:cs="Times New Roman"/>
                <w:color w:val="auto"/>
                <w:sz w:val="24"/>
                <w:highlight w:val="none"/>
                <w:lang w:val="en-US" w:eastAsia="zh-CN"/>
              </w:rPr>
              <w:t xml:space="preserve">2 </w:t>
            </w:r>
            <w:r>
              <w:rPr>
                <w:rFonts w:hint="eastAsia" w:ascii="Times New Roman" w:hAnsi="Times New Roman" w:eastAsia="宋体" w:cs="Times New Roman"/>
                <w:color w:val="auto"/>
                <w:sz w:val="24"/>
                <w:highlight w:val="none"/>
                <w:lang w:val="en-US" w:eastAsia="zh-CN"/>
              </w:rPr>
              <w:t>执行或收集并排入接收设施。本项目船舶含油污水收集后密封储存，委托有接收能力的单位处置。</w:t>
            </w:r>
          </w:p>
          <w:p w14:paraId="139900A8">
            <w:pPr>
              <w:numPr>
                <w:ilvl w:val="0"/>
                <w:numId w:val="15"/>
              </w:numPr>
              <w:spacing w:line="360" w:lineRule="auto"/>
              <w:ind w:firstLine="480"/>
              <w:rPr>
                <w:rFonts w:hint="default"/>
                <w:color w:val="auto"/>
                <w:sz w:val="24"/>
                <w:highlight w:val="none"/>
                <w:lang w:val="en-US" w:eastAsia="zh-CN"/>
              </w:rPr>
            </w:pPr>
            <w:r>
              <w:rPr>
                <w:rFonts w:hint="eastAsia"/>
                <w:color w:val="auto"/>
                <w:sz w:val="24"/>
                <w:highlight w:val="none"/>
                <w:lang w:val="en-US" w:eastAsia="zh-CN"/>
              </w:rPr>
              <w:t>施工人员生活污水</w:t>
            </w:r>
          </w:p>
          <w:p w14:paraId="4E93D771">
            <w:pPr>
              <w:spacing w:line="360" w:lineRule="auto"/>
              <w:ind w:firstLine="480"/>
              <w:rPr>
                <w:rFonts w:hint="eastAsia"/>
                <w:color w:val="auto"/>
                <w:sz w:val="24"/>
                <w:highlight w:val="none"/>
              </w:rPr>
            </w:pPr>
            <w:r>
              <w:rPr>
                <w:rFonts w:hint="eastAsia" w:ascii="Times New Roman" w:hAnsi="Times New Roman" w:eastAsia="宋体" w:cs="Times New Roman"/>
                <w:color w:val="auto"/>
                <w:sz w:val="24"/>
                <w:highlight w:val="none"/>
                <w:lang w:val="en-US" w:eastAsia="zh-CN"/>
              </w:rPr>
              <w:t>项目施工期船舶工作人员生活污水执行《船舶水污染物排放控制标准》（</w:t>
            </w:r>
            <w:r>
              <w:rPr>
                <w:rFonts w:hint="default"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5.1.1 </w:t>
            </w:r>
            <w:r>
              <w:rPr>
                <w:rFonts w:hint="eastAsia" w:ascii="Times New Roman" w:hAnsi="Times New Roman" w:eastAsia="宋体" w:cs="Times New Roman"/>
                <w:color w:val="auto"/>
                <w:sz w:val="24"/>
                <w:highlight w:val="none"/>
                <w:lang w:val="en-US" w:eastAsia="zh-CN"/>
              </w:rPr>
              <w:t>节“利用船载收集装置收集，排入接收设施”规定，船舶生活污水收集后委托有接收能力的单位处理。</w:t>
            </w:r>
          </w:p>
          <w:p w14:paraId="072E9250">
            <w:pPr>
              <w:spacing w:line="360" w:lineRule="auto"/>
              <w:ind w:firstLine="482" w:firstLineChars="200"/>
              <w:textAlignment w:val="baseline"/>
              <w:rPr>
                <w:b/>
                <w:color w:val="auto"/>
                <w:sz w:val="24"/>
                <w:highlight w:val="none"/>
                <w:u w:val="none"/>
              </w:rPr>
            </w:pPr>
            <w:r>
              <w:rPr>
                <w:rFonts w:hint="eastAsia"/>
                <w:b/>
                <w:color w:val="auto"/>
                <w:sz w:val="24"/>
                <w:highlight w:val="none"/>
                <w:u w:val="none"/>
              </w:rPr>
              <w:t>3</w:t>
            </w:r>
            <w:r>
              <w:rPr>
                <w:b/>
                <w:color w:val="auto"/>
                <w:sz w:val="24"/>
                <w:highlight w:val="none"/>
                <w:u w:val="none"/>
              </w:rPr>
              <w:t>、噪声排放标准</w:t>
            </w:r>
          </w:p>
          <w:p w14:paraId="54F151E8">
            <w:pPr>
              <w:spacing w:line="360" w:lineRule="auto"/>
              <w:ind w:firstLine="480" w:firstLineChars="200"/>
              <w:textAlignment w:val="baseline"/>
              <w:rPr>
                <w:rFonts w:hint="eastAsia"/>
                <w:color w:val="auto"/>
                <w:sz w:val="24"/>
                <w:highlight w:val="none"/>
                <w:u w:val="none"/>
                <w:lang w:val="en-US" w:eastAsia="zh-CN"/>
              </w:rPr>
            </w:pPr>
            <w:r>
              <w:rPr>
                <w:rFonts w:hint="eastAsia"/>
                <w:color w:val="auto"/>
                <w:sz w:val="24"/>
                <w:highlight w:val="none"/>
                <w:u w:val="none"/>
                <w:lang w:eastAsia="zh-CN"/>
              </w:rPr>
              <w:t>项目</w:t>
            </w:r>
            <w:r>
              <w:rPr>
                <w:color w:val="auto"/>
                <w:sz w:val="24"/>
                <w:highlight w:val="none"/>
                <w:u w:val="none"/>
              </w:rPr>
              <w:t>施工期噪声执行</w:t>
            </w:r>
            <w:r>
              <w:rPr>
                <w:rFonts w:hint="eastAsia"/>
                <w:color w:val="auto"/>
                <w:sz w:val="24"/>
                <w:highlight w:val="none"/>
                <w:u w:val="none"/>
                <w:lang w:eastAsia="zh-CN"/>
              </w:rPr>
              <w:t>《建筑施工噪声排放标准》</w:t>
            </w:r>
            <w:r>
              <w:rPr>
                <w:color w:val="auto"/>
                <w:sz w:val="24"/>
                <w:highlight w:val="none"/>
                <w:u w:val="none"/>
              </w:rPr>
              <w:t>（GB12523</w:t>
            </w:r>
            <w:r>
              <w:rPr>
                <w:rFonts w:hint="eastAsia"/>
                <w:color w:val="auto"/>
                <w:sz w:val="24"/>
                <w:highlight w:val="none"/>
                <w:u w:val="none"/>
                <w:lang w:val="en-US" w:eastAsia="zh-CN"/>
              </w:rPr>
              <w:t>-2025</w:t>
            </w:r>
            <w:r>
              <w:rPr>
                <w:color w:val="auto"/>
                <w:sz w:val="24"/>
                <w:highlight w:val="none"/>
                <w:u w:val="none"/>
              </w:rPr>
              <w:t>）</w:t>
            </w:r>
            <w:r>
              <w:rPr>
                <w:rFonts w:hint="eastAsia"/>
                <w:color w:val="auto"/>
                <w:sz w:val="24"/>
                <w:highlight w:val="none"/>
                <w:u w:val="none"/>
                <w:lang w:eastAsia="zh-CN"/>
              </w:rPr>
              <w:t>表</w:t>
            </w:r>
            <w:r>
              <w:rPr>
                <w:rFonts w:hint="eastAsia"/>
                <w:color w:val="auto"/>
                <w:sz w:val="24"/>
                <w:highlight w:val="none"/>
                <w:u w:val="none"/>
                <w:lang w:val="en-US" w:eastAsia="zh-CN"/>
              </w:rPr>
              <w:t>1 建筑施工场界噪声排放标准。此外，夜间场界最大噪声级超过表1限值的幅度不得高于15dB（A）；当场界无法测量到声源的实际排放时，应该在噪声敏感建筑外测量，并以4.1和4.2规定的排放限值作为评价依据。</w:t>
            </w:r>
          </w:p>
          <w:p w14:paraId="4E56411F">
            <w:pPr>
              <w:pStyle w:val="9"/>
              <w:ind w:left="0" w:leftChars="0" w:firstLine="0" w:firstLineChars="0"/>
              <w:jc w:val="center"/>
              <w:rPr>
                <w:rFonts w:hint="default"/>
                <w:b/>
                <w:bCs/>
                <w:color w:val="auto"/>
                <w:highlight w:val="none"/>
                <w:u w:val="none"/>
                <w:lang w:val="en-US" w:eastAsia="zh-CN"/>
              </w:rPr>
            </w:pPr>
            <w:r>
              <w:rPr>
                <w:rFonts w:hint="eastAsia"/>
                <w:b/>
                <w:bCs/>
                <w:color w:val="auto"/>
                <w:sz w:val="24"/>
                <w:highlight w:val="none"/>
                <w:u w:val="none"/>
                <w:lang w:eastAsia="zh-CN"/>
              </w:rPr>
              <w:t>表</w:t>
            </w:r>
            <w:r>
              <w:rPr>
                <w:rFonts w:hint="eastAsia"/>
                <w:b/>
                <w:bCs/>
                <w:color w:val="auto"/>
                <w:sz w:val="24"/>
                <w:highlight w:val="none"/>
                <w:u w:val="none"/>
                <w:lang w:val="en-US" w:eastAsia="zh-CN"/>
              </w:rPr>
              <w:t>3.4-9建筑施工噪声排放标准  单位：dB（A）</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6"/>
              <w:gridCol w:w="4157"/>
            </w:tblGrid>
            <w:tr w14:paraId="670B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noWrap w:val="0"/>
                  <w:vAlign w:val="center"/>
                </w:tcPr>
                <w:p w14:paraId="71EFB893">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highlight w:val="none"/>
                      <w:u w:val="none"/>
                      <w:vertAlign w:val="baseline"/>
                      <w:lang w:eastAsia="zh-CN"/>
                    </w:rPr>
                  </w:pPr>
                  <w:r>
                    <w:rPr>
                      <w:rFonts w:hint="eastAsia"/>
                      <w:b/>
                      <w:bCs/>
                      <w:color w:val="auto"/>
                      <w:highlight w:val="none"/>
                      <w:u w:val="none"/>
                      <w:vertAlign w:val="baseline"/>
                      <w:lang w:eastAsia="zh-CN"/>
                    </w:rPr>
                    <w:t>昼间</w:t>
                  </w:r>
                </w:p>
              </w:tc>
              <w:tc>
                <w:tcPr>
                  <w:tcW w:w="2500" w:type="pct"/>
                  <w:noWrap w:val="0"/>
                  <w:vAlign w:val="center"/>
                </w:tcPr>
                <w:p w14:paraId="24E85962">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highlight w:val="none"/>
                      <w:u w:val="none"/>
                      <w:vertAlign w:val="baseline"/>
                      <w:lang w:eastAsia="zh-CN"/>
                    </w:rPr>
                  </w:pPr>
                  <w:r>
                    <w:rPr>
                      <w:rFonts w:hint="eastAsia"/>
                      <w:b/>
                      <w:bCs/>
                      <w:color w:val="auto"/>
                      <w:highlight w:val="none"/>
                      <w:u w:val="none"/>
                      <w:vertAlign w:val="baseline"/>
                      <w:lang w:eastAsia="zh-CN"/>
                    </w:rPr>
                    <w:t>夜间</w:t>
                  </w:r>
                </w:p>
              </w:tc>
            </w:tr>
            <w:tr w14:paraId="0F4C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noWrap w:val="0"/>
                  <w:vAlign w:val="center"/>
                </w:tcPr>
                <w:p w14:paraId="6B09E2F3">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70</w:t>
                  </w:r>
                </w:p>
              </w:tc>
              <w:tc>
                <w:tcPr>
                  <w:tcW w:w="2500" w:type="pct"/>
                  <w:noWrap w:val="0"/>
                  <w:vAlign w:val="center"/>
                </w:tcPr>
                <w:p w14:paraId="084D4EDC">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55</w:t>
                  </w:r>
                </w:p>
              </w:tc>
            </w:tr>
          </w:tbl>
          <w:p w14:paraId="7CA20D98">
            <w:pPr>
              <w:adjustRightInd w:val="0"/>
              <w:spacing w:line="360" w:lineRule="auto"/>
              <w:ind w:firstLine="482" w:firstLineChars="200"/>
              <w:textAlignment w:val="baseline"/>
              <w:rPr>
                <w:rFonts w:hint="eastAsia"/>
                <w:b/>
                <w:color w:val="auto"/>
                <w:sz w:val="24"/>
                <w:highlight w:val="none"/>
              </w:rPr>
            </w:pPr>
            <w:r>
              <w:rPr>
                <w:rFonts w:hint="eastAsia"/>
                <w:b/>
                <w:color w:val="auto"/>
                <w:sz w:val="24"/>
                <w:highlight w:val="none"/>
              </w:rPr>
              <w:t>4</w:t>
            </w:r>
            <w:r>
              <w:rPr>
                <w:b/>
                <w:color w:val="auto"/>
                <w:sz w:val="24"/>
                <w:highlight w:val="none"/>
              </w:rPr>
              <w:t>、固体废物控制标准</w:t>
            </w:r>
          </w:p>
          <w:p w14:paraId="520EBB41">
            <w:pPr>
              <w:spacing w:line="360" w:lineRule="auto"/>
              <w:ind w:firstLine="480" w:firstLineChars="200"/>
              <w:textAlignment w:val="baseline"/>
              <w:rPr>
                <w:rFonts w:hint="eastAsia" w:ascii="Times New Roman" w:hAnsi="Times New Roman" w:eastAsia="宋体" w:cs="Times New Roman"/>
                <w:color w:val="auto"/>
                <w:sz w:val="24"/>
                <w:highlight w:val="none"/>
                <w:u w:val="single"/>
                <w:lang w:val="en-US" w:eastAsia="zh-CN"/>
              </w:rPr>
            </w:pPr>
            <w:r>
              <w:rPr>
                <w:rFonts w:hint="eastAsia" w:cs="Times New Roman"/>
                <w:color w:val="auto"/>
                <w:sz w:val="24"/>
                <w:highlight w:val="none"/>
                <w:lang w:val="en-US" w:eastAsia="zh-CN"/>
              </w:rPr>
              <w:t>船舶生活垃圾按照</w:t>
            </w:r>
            <w:r>
              <w:rPr>
                <w:rFonts w:hint="eastAsia" w:ascii="Times New Roman" w:hAnsi="Times New Roman" w:eastAsia="宋体" w:cs="Times New Roman"/>
                <w:color w:val="auto"/>
                <w:sz w:val="24"/>
                <w:highlight w:val="none"/>
                <w:lang w:eastAsia="zh-CN"/>
              </w:rPr>
              <w:t>《船舶水污染排放控制标准》（</w:t>
            </w:r>
            <w:r>
              <w:rPr>
                <w:rFonts w:hint="eastAsia" w:ascii="Times New Roman" w:hAnsi="Times New Roman" w:eastAsia="宋体" w:cs="Times New Roman"/>
                <w:color w:val="auto"/>
                <w:sz w:val="24"/>
                <w:highlight w:val="none"/>
                <w:lang w:val="en-US" w:eastAsia="zh-CN"/>
              </w:rPr>
              <w:t>GB3552-2018</w:t>
            </w:r>
            <w:r>
              <w:rPr>
                <w:rFonts w:hint="eastAsia" w:ascii="Times New Roman" w:hAnsi="Times New Roman" w:eastAsia="宋体" w:cs="Times New Roman"/>
                <w:color w:val="auto"/>
                <w:sz w:val="24"/>
                <w:highlight w:val="none"/>
                <w:lang w:eastAsia="zh-CN"/>
              </w:rPr>
              <w:t>）的要求，</w:t>
            </w:r>
            <w:r>
              <w:rPr>
                <w:rFonts w:hint="eastAsia" w:cs="Times New Roman"/>
                <w:color w:val="auto"/>
                <w:sz w:val="24"/>
                <w:highlight w:val="none"/>
                <w:lang w:val="en-US" w:eastAsia="zh-CN"/>
              </w:rPr>
              <w:t>将</w:t>
            </w:r>
            <w:r>
              <w:rPr>
                <w:rFonts w:hint="eastAsia" w:ascii="Times New Roman" w:hAnsi="Times New Roman" w:eastAsia="宋体" w:cs="Times New Roman"/>
                <w:color w:val="auto"/>
                <w:sz w:val="24"/>
                <w:highlight w:val="none"/>
                <w:u w:val="single"/>
                <w:lang w:val="en-US" w:eastAsia="zh-CN"/>
              </w:rPr>
              <w:t>船舶生活垃圾定点集中堆放，实行袋装化，</w:t>
            </w:r>
            <w:r>
              <w:rPr>
                <w:rFonts w:hint="eastAsia" w:cs="Times New Roman"/>
                <w:color w:val="auto"/>
                <w:sz w:val="24"/>
                <w:highlight w:val="none"/>
                <w:u w:val="single"/>
                <w:lang w:val="en-US" w:eastAsia="zh-CN"/>
              </w:rPr>
              <w:t>交由有资质单位处置</w:t>
            </w:r>
            <w:r>
              <w:rPr>
                <w:rFonts w:hint="eastAsia" w:ascii="Times New Roman" w:hAnsi="Times New Roman" w:eastAsia="宋体" w:cs="Times New Roman"/>
                <w:color w:val="auto"/>
                <w:sz w:val="24"/>
                <w:highlight w:val="none"/>
                <w:u w:val="single"/>
                <w:lang w:val="en-US" w:eastAsia="zh-CN"/>
              </w:rPr>
              <w:t>。</w:t>
            </w:r>
          </w:p>
          <w:p w14:paraId="1DAFFD85">
            <w:pPr>
              <w:pStyle w:val="9"/>
              <w:ind w:left="0" w:leftChars="0" w:firstLine="0" w:firstLineChars="0"/>
              <w:jc w:val="center"/>
              <w:rPr>
                <w:rFonts w:hint="default"/>
                <w:b/>
                <w:bCs/>
                <w:color w:val="auto"/>
                <w:highlight w:val="none"/>
                <w:u w:val="single"/>
                <w:lang w:val="en-US" w:eastAsia="zh-CN"/>
              </w:rPr>
            </w:pPr>
            <w:r>
              <w:rPr>
                <w:rFonts w:hint="eastAsia"/>
                <w:b/>
                <w:bCs/>
                <w:color w:val="auto"/>
                <w:sz w:val="24"/>
                <w:highlight w:val="none"/>
                <w:u w:val="single"/>
                <w:lang w:eastAsia="zh-CN"/>
              </w:rPr>
              <w:t>表</w:t>
            </w:r>
            <w:r>
              <w:rPr>
                <w:rFonts w:hint="eastAsia"/>
                <w:b/>
                <w:bCs/>
                <w:color w:val="auto"/>
                <w:sz w:val="24"/>
                <w:highlight w:val="none"/>
                <w:u w:val="single"/>
                <w:lang w:val="en-US" w:eastAsia="zh-CN"/>
              </w:rPr>
              <w:t>3.4-10 船舶垃圾排放控制标准</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992"/>
              <w:gridCol w:w="3129"/>
              <w:gridCol w:w="2569"/>
            </w:tblGrid>
            <w:tr w14:paraId="303A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noWrap w:val="0"/>
                  <w:vAlign w:val="center"/>
                </w:tcPr>
                <w:p w14:paraId="3FB147D2">
                  <w:pPr>
                    <w:keepNext w:val="0"/>
                    <w:keepLines w:val="0"/>
                    <w:widowControl/>
                    <w:suppressLineNumbers w:val="0"/>
                    <w:jc w:val="center"/>
                    <w:rPr>
                      <w:rFonts w:hint="eastAsia" w:eastAsia="宋体"/>
                      <w:b/>
                      <w:bCs/>
                      <w:color w:val="auto"/>
                      <w:highlight w:val="none"/>
                      <w:u w:val="single"/>
                      <w:vertAlign w:val="baseline"/>
                      <w:lang w:eastAsia="zh-CN"/>
                    </w:rPr>
                  </w:pPr>
                  <w:r>
                    <w:rPr>
                      <w:rFonts w:hint="eastAsia" w:ascii="宋体" w:hAnsi="宋体" w:eastAsia="宋体" w:cs="宋体"/>
                      <w:b/>
                      <w:bCs/>
                      <w:color w:val="auto"/>
                      <w:kern w:val="0"/>
                      <w:sz w:val="20"/>
                      <w:szCs w:val="20"/>
                      <w:highlight w:val="none"/>
                      <w:u w:val="single"/>
                      <w:lang w:val="en-US" w:eastAsia="zh-CN" w:bidi="ar"/>
                    </w:rPr>
                    <w:t>序号</w:t>
                  </w:r>
                </w:p>
              </w:tc>
              <w:tc>
                <w:tcPr>
                  <w:tcW w:w="1198" w:type="pct"/>
                  <w:noWrap w:val="0"/>
                  <w:vAlign w:val="center"/>
                </w:tcPr>
                <w:p w14:paraId="0ED93F43">
                  <w:pPr>
                    <w:keepNext w:val="0"/>
                    <w:keepLines w:val="0"/>
                    <w:widowControl/>
                    <w:suppressLineNumbers w:val="0"/>
                    <w:jc w:val="center"/>
                    <w:rPr>
                      <w:rFonts w:hint="eastAsia" w:eastAsia="宋体"/>
                      <w:b/>
                      <w:bCs/>
                      <w:color w:val="auto"/>
                      <w:highlight w:val="none"/>
                      <w:u w:val="single"/>
                      <w:vertAlign w:val="baseline"/>
                      <w:lang w:eastAsia="zh-CN"/>
                    </w:rPr>
                  </w:pPr>
                  <w:r>
                    <w:rPr>
                      <w:rFonts w:hint="eastAsia" w:ascii="宋体" w:hAnsi="宋体" w:eastAsia="宋体" w:cs="宋体"/>
                      <w:b/>
                      <w:bCs/>
                      <w:color w:val="auto"/>
                      <w:kern w:val="0"/>
                      <w:sz w:val="20"/>
                      <w:szCs w:val="20"/>
                      <w:highlight w:val="none"/>
                      <w:u w:val="single"/>
                      <w:lang w:val="en-US" w:eastAsia="zh-CN" w:bidi="ar"/>
                    </w:rPr>
                    <w:t>固废类型</w:t>
                  </w:r>
                </w:p>
              </w:tc>
              <w:tc>
                <w:tcPr>
                  <w:tcW w:w="1882" w:type="pct"/>
                  <w:noWrap w:val="0"/>
                  <w:vAlign w:val="center"/>
                </w:tcPr>
                <w:p w14:paraId="0328E6B3">
                  <w:pPr>
                    <w:keepNext w:val="0"/>
                    <w:keepLines w:val="0"/>
                    <w:widowControl/>
                    <w:suppressLineNumbers w:val="0"/>
                    <w:jc w:val="center"/>
                    <w:rPr>
                      <w:rFonts w:hint="eastAsia"/>
                      <w:b/>
                      <w:bCs/>
                      <w:color w:val="auto"/>
                      <w:highlight w:val="none"/>
                      <w:u w:val="single"/>
                      <w:vertAlign w:val="baseline"/>
                      <w:lang w:eastAsia="zh-CN"/>
                    </w:rPr>
                  </w:pPr>
                  <w:r>
                    <w:rPr>
                      <w:rFonts w:hint="eastAsia" w:ascii="宋体" w:hAnsi="宋体" w:eastAsia="宋体" w:cs="宋体"/>
                      <w:b/>
                      <w:bCs/>
                      <w:color w:val="auto"/>
                      <w:kern w:val="0"/>
                      <w:sz w:val="20"/>
                      <w:szCs w:val="20"/>
                      <w:highlight w:val="none"/>
                      <w:u w:val="single"/>
                      <w:lang w:val="en-US" w:eastAsia="zh-CN" w:bidi="ar"/>
                    </w:rPr>
                    <w:t>海域范畴</w:t>
                  </w:r>
                </w:p>
              </w:tc>
              <w:tc>
                <w:tcPr>
                  <w:tcW w:w="1545" w:type="pct"/>
                  <w:noWrap w:val="0"/>
                  <w:vAlign w:val="center"/>
                </w:tcPr>
                <w:p w14:paraId="513490EF">
                  <w:pPr>
                    <w:keepNext w:val="0"/>
                    <w:keepLines w:val="0"/>
                    <w:widowControl/>
                    <w:suppressLineNumbers w:val="0"/>
                    <w:jc w:val="center"/>
                    <w:rPr>
                      <w:rFonts w:hint="eastAsia"/>
                      <w:b/>
                      <w:bCs/>
                      <w:color w:val="auto"/>
                      <w:highlight w:val="none"/>
                      <w:u w:val="single"/>
                      <w:vertAlign w:val="baseline"/>
                      <w:lang w:eastAsia="zh-CN"/>
                    </w:rPr>
                  </w:pPr>
                  <w:r>
                    <w:rPr>
                      <w:rFonts w:hint="eastAsia" w:ascii="宋体" w:hAnsi="宋体" w:eastAsia="宋体" w:cs="宋体"/>
                      <w:b/>
                      <w:bCs/>
                      <w:color w:val="auto"/>
                      <w:kern w:val="0"/>
                      <w:sz w:val="20"/>
                      <w:szCs w:val="20"/>
                      <w:highlight w:val="none"/>
                      <w:u w:val="single"/>
                      <w:lang w:val="en-US" w:eastAsia="zh-CN" w:bidi="ar"/>
                    </w:rPr>
                    <w:t>控制要求</w:t>
                  </w:r>
                </w:p>
              </w:tc>
            </w:tr>
            <w:tr w14:paraId="08BC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noWrap w:val="0"/>
                  <w:vAlign w:val="center"/>
                </w:tcPr>
                <w:p w14:paraId="25D78E8E">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highlight w:val="none"/>
                      <w:u w:val="single"/>
                      <w:vertAlign w:val="baseline"/>
                      <w:lang w:val="en-US" w:eastAsia="zh-CN"/>
                    </w:rPr>
                  </w:pPr>
                  <w:r>
                    <w:rPr>
                      <w:rFonts w:hint="eastAsia"/>
                      <w:color w:val="auto"/>
                      <w:highlight w:val="none"/>
                      <w:u w:val="single"/>
                      <w:vertAlign w:val="baseline"/>
                      <w:lang w:val="en-US" w:eastAsia="zh-CN"/>
                    </w:rPr>
                    <w:t>1</w:t>
                  </w:r>
                </w:p>
              </w:tc>
              <w:tc>
                <w:tcPr>
                  <w:tcW w:w="1198" w:type="pct"/>
                  <w:noWrap w:val="0"/>
                  <w:vAlign w:val="center"/>
                </w:tcPr>
                <w:p w14:paraId="7C5369F7">
                  <w:pPr>
                    <w:keepNext w:val="0"/>
                    <w:keepLines w:val="0"/>
                    <w:widowControl/>
                    <w:suppressLineNumbers w:val="0"/>
                    <w:jc w:val="center"/>
                    <w:rPr>
                      <w:rFonts w:hint="default" w:eastAsia="宋体"/>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塑料废弃物、废弃食用油、生活废弃物、焚烧炉灰渣、废弃渔具和电子垃圾</w:t>
                  </w:r>
                </w:p>
              </w:tc>
              <w:tc>
                <w:tcPr>
                  <w:tcW w:w="1882" w:type="pct"/>
                  <w:noWrap w:val="0"/>
                  <w:vAlign w:val="center"/>
                </w:tcPr>
                <w:p w14:paraId="1744F74A">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任何海域</w:t>
                  </w:r>
                </w:p>
              </w:tc>
              <w:tc>
                <w:tcPr>
                  <w:tcW w:w="1545" w:type="pct"/>
                  <w:noWrap w:val="0"/>
                  <w:vAlign w:val="center"/>
                </w:tcPr>
                <w:p w14:paraId="6A5665C7">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收集并排入接收设施</w:t>
                  </w:r>
                </w:p>
              </w:tc>
            </w:tr>
            <w:tr w14:paraId="3027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restart"/>
                  <w:noWrap w:val="0"/>
                  <w:vAlign w:val="center"/>
                </w:tcPr>
                <w:p w14:paraId="0E1192E7">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u w:val="single"/>
                      <w:vertAlign w:val="baseline"/>
                      <w:lang w:val="en-US" w:eastAsia="zh-CN"/>
                    </w:rPr>
                  </w:pPr>
                  <w:r>
                    <w:rPr>
                      <w:rFonts w:hint="eastAsia"/>
                      <w:color w:val="auto"/>
                      <w:highlight w:val="none"/>
                      <w:u w:val="single"/>
                      <w:vertAlign w:val="baseline"/>
                      <w:lang w:val="en-US" w:eastAsia="zh-CN"/>
                    </w:rPr>
                    <w:t>2</w:t>
                  </w:r>
                </w:p>
              </w:tc>
              <w:tc>
                <w:tcPr>
                  <w:tcW w:w="1198" w:type="pct"/>
                  <w:vMerge w:val="restart"/>
                  <w:noWrap w:val="0"/>
                  <w:vAlign w:val="center"/>
                </w:tcPr>
                <w:p w14:paraId="54E36B1A">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食品废弃物</w:t>
                  </w:r>
                </w:p>
              </w:tc>
              <w:tc>
                <w:tcPr>
                  <w:tcW w:w="1882" w:type="pct"/>
                  <w:noWrap w:val="0"/>
                  <w:vAlign w:val="center"/>
                </w:tcPr>
                <w:p w14:paraId="0F3D166F">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3</w:t>
                  </w:r>
                  <w:r>
                    <w:rPr>
                      <w:rFonts w:hint="eastAsia" w:ascii="宋体" w:hAnsi="宋体" w:eastAsia="宋体" w:cs="宋体"/>
                      <w:color w:val="auto"/>
                      <w:kern w:val="0"/>
                      <w:sz w:val="20"/>
                      <w:szCs w:val="20"/>
                      <w:highlight w:val="none"/>
                      <w:u w:val="single"/>
                      <w:lang w:val="en-US" w:eastAsia="zh-CN" w:bidi="ar"/>
                    </w:rPr>
                    <w:t>海里至</w:t>
                  </w:r>
                  <w:r>
                    <w:rPr>
                      <w:rFonts w:hint="default" w:ascii="Times New Roman" w:hAnsi="Times New Roman" w:eastAsia="宋体" w:cs="Times New Roman"/>
                      <w:color w:val="auto"/>
                      <w:kern w:val="0"/>
                      <w:sz w:val="20"/>
                      <w:szCs w:val="20"/>
                      <w:highlight w:val="none"/>
                      <w:u w:val="single"/>
                      <w:lang w:val="en-US" w:eastAsia="zh-CN" w:bidi="ar"/>
                    </w:rPr>
                    <w:t>12</w:t>
                  </w:r>
                  <w:r>
                    <w:rPr>
                      <w:rFonts w:hint="eastAsia" w:ascii="宋体" w:hAnsi="宋体" w:eastAsia="宋体" w:cs="宋体"/>
                      <w:color w:val="auto"/>
                      <w:kern w:val="0"/>
                      <w:sz w:val="20"/>
                      <w:szCs w:val="20"/>
                      <w:highlight w:val="none"/>
                      <w:u w:val="single"/>
                      <w:lang w:val="en-US" w:eastAsia="zh-CN" w:bidi="ar"/>
                    </w:rPr>
                    <w:t xml:space="preserve">海里 </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含</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的海域</w:t>
                  </w:r>
                </w:p>
              </w:tc>
              <w:tc>
                <w:tcPr>
                  <w:tcW w:w="1545" w:type="pct"/>
                  <w:noWrap w:val="0"/>
                  <w:vAlign w:val="center"/>
                </w:tcPr>
                <w:p w14:paraId="3E9950A1">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应收集并排入接收设施</w:t>
                  </w:r>
                </w:p>
              </w:tc>
            </w:tr>
            <w:tr w14:paraId="36F6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continue"/>
                  <w:noWrap w:val="0"/>
                  <w:vAlign w:val="center"/>
                </w:tcPr>
                <w:p w14:paraId="180E9154">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198" w:type="pct"/>
                  <w:vMerge w:val="continue"/>
                  <w:noWrap w:val="0"/>
                  <w:vAlign w:val="center"/>
                </w:tcPr>
                <w:p w14:paraId="7A076FA2">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882" w:type="pct"/>
                  <w:noWrap w:val="0"/>
                  <w:vAlign w:val="center"/>
                </w:tcPr>
                <w:p w14:paraId="3B1D51C3">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3</w:t>
                  </w:r>
                  <w:r>
                    <w:rPr>
                      <w:rFonts w:hint="eastAsia" w:ascii="宋体" w:hAnsi="宋体" w:eastAsia="宋体" w:cs="宋体"/>
                      <w:color w:val="auto"/>
                      <w:kern w:val="0"/>
                      <w:sz w:val="20"/>
                      <w:szCs w:val="20"/>
                      <w:highlight w:val="none"/>
                      <w:u w:val="single"/>
                      <w:lang w:val="en-US" w:eastAsia="zh-CN" w:bidi="ar"/>
                    </w:rPr>
                    <w:t>海里至</w:t>
                  </w:r>
                  <w:r>
                    <w:rPr>
                      <w:rFonts w:hint="default" w:ascii="Times New Roman" w:hAnsi="Times New Roman" w:eastAsia="宋体" w:cs="Times New Roman"/>
                      <w:color w:val="auto"/>
                      <w:kern w:val="0"/>
                      <w:sz w:val="20"/>
                      <w:szCs w:val="20"/>
                      <w:highlight w:val="none"/>
                      <w:u w:val="single"/>
                      <w:lang w:val="en-US" w:eastAsia="zh-CN" w:bidi="ar"/>
                    </w:rPr>
                    <w:t>12</w:t>
                  </w:r>
                  <w:r>
                    <w:rPr>
                      <w:rFonts w:hint="eastAsia" w:ascii="宋体" w:hAnsi="宋体" w:eastAsia="宋体" w:cs="宋体"/>
                      <w:color w:val="auto"/>
                      <w:kern w:val="0"/>
                      <w:sz w:val="20"/>
                      <w:szCs w:val="20"/>
                      <w:highlight w:val="none"/>
                      <w:u w:val="single"/>
                      <w:lang w:val="en-US" w:eastAsia="zh-CN" w:bidi="ar"/>
                    </w:rPr>
                    <w:t>海里</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含</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的海域</w:t>
                  </w:r>
                </w:p>
              </w:tc>
              <w:tc>
                <w:tcPr>
                  <w:tcW w:w="1545" w:type="pct"/>
                  <w:noWrap w:val="0"/>
                  <w:vAlign w:val="center"/>
                </w:tcPr>
                <w:p w14:paraId="2FF26CF0">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粉碎或磨碎至直径不大于</w:t>
                  </w:r>
                  <w:r>
                    <w:rPr>
                      <w:rFonts w:hint="default" w:ascii="Times New Roman" w:hAnsi="Times New Roman" w:eastAsia="宋体" w:cs="Times New Roman"/>
                      <w:color w:val="auto"/>
                      <w:kern w:val="0"/>
                      <w:sz w:val="20"/>
                      <w:szCs w:val="20"/>
                      <w:highlight w:val="none"/>
                      <w:u w:val="single"/>
                      <w:lang w:val="en-US" w:eastAsia="zh-CN" w:bidi="ar"/>
                    </w:rPr>
                    <w:t>25</w:t>
                  </w:r>
                  <w:r>
                    <w:rPr>
                      <w:rFonts w:hint="eastAsia" w:ascii="宋体" w:hAnsi="宋体" w:eastAsia="宋体" w:cs="宋体"/>
                      <w:color w:val="auto"/>
                      <w:kern w:val="0"/>
                      <w:sz w:val="20"/>
                      <w:szCs w:val="20"/>
                      <w:highlight w:val="none"/>
                      <w:u w:val="single"/>
                      <w:lang w:val="en-US" w:eastAsia="zh-CN" w:bidi="ar"/>
                    </w:rPr>
                    <w:t>毫米后方可排放</w:t>
                  </w:r>
                </w:p>
              </w:tc>
            </w:tr>
            <w:tr w14:paraId="44DA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continue"/>
                  <w:noWrap w:val="0"/>
                  <w:vAlign w:val="center"/>
                </w:tcPr>
                <w:p w14:paraId="4B1513A5">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198" w:type="pct"/>
                  <w:vMerge w:val="continue"/>
                  <w:noWrap w:val="0"/>
                  <w:vAlign w:val="center"/>
                </w:tcPr>
                <w:p w14:paraId="0D035E63">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882" w:type="pct"/>
                  <w:noWrap w:val="0"/>
                  <w:vAlign w:val="center"/>
                </w:tcPr>
                <w:p w14:paraId="40D65E5C">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12</w:t>
                  </w:r>
                  <w:r>
                    <w:rPr>
                      <w:rFonts w:hint="default" w:ascii="Times New Roman" w:hAnsi="Times New Roman" w:eastAsia="宋体" w:cs="Times New Roman"/>
                      <w:color w:val="auto"/>
                      <w:kern w:val="0"/>
                      <w:sz w:val="8"/>
                      <w:szCs w:val="8"/>
                      <w:highlight w:val="none"/>
                      <w:u w:val="single"/>
                      <w:lang w:val="en-US" w:eastAsia="zh-CN" w:bidi="ar"/>
                    </w:rPr>
                    <w:t xml:space="preserve"> </w:t>
                  </w:r>
                  <w:r>
                    <w:rPr>
                      <w:rFonts w:hint="eastAsia" w:ascii="宋体" w:hAnsi="宋体" w:eastAsia="宋体" w:cs="宋体"/>
                      <w:color w:val="auto"/>
                      <w:kern w:val="0"/>
                      <w:sz w:val="20"/>
                      <w:szCs w:val="20"/>
                      <w:highlight w:val="none"/>
                      <w:u w:val="single"/>
                      <w:lang w:val="en-US" w:eastAsia="zh-CN" w:bidi="ar"/>
                    </w:rPr>
                    <w:t>海里以外的海域</w:t>
                  </w:r>
                </w:p>
              </w:tc>
              <w:tc>
                <w:tcPr>
                  <w:tcW w:w="1545" w:type="pct"/>
                  <w:noWrap w:val="0"/>
                  <w:vAlign w:val="center"/>
                </w:tcPr>
                <w:p w14:paraId="540EB0BD">
                  <w:pPr>
                    <w:keepNext w:val="0"/>
                    <w:keepLines w:val="0"/>
                    <w:widowControl/>
                    <w:suppressLineNumbers w:val="0"/>
                    <w:jc w:val="center"/>
                    <w:rPr>
                      <w:color w:val="auto"/>
                      <w:highlight w:val="none"/>
                      <w:u w:val="single"/>
                    </w:rPr>
                  </w:pPr>
                  <w:r>
                    <w:rPr>
                      <w:rFonts w:hint="eastAsia" w:ascii="宋体" w:hAnsi="宋体" w:eastAsia="宋体" w:cs="宋体"/>
                      <w:color w:val="auto"/>
                      <w:kern w:val="0"/>
                      <w:sz w:val="20"/>
                      <w:szCs w:val="20"/>
                      <w:highlight w:val="none"/>
                      <w:u w:val="single"/>
                      <w:lang w:val="en-US" w:eastAsia="zh-CN" w:bidi="ar"/>
                    </w:rPr>
                    <w:t>可以排放</w:t>
                  </w:r>
                </w:p>
                <w:p w14:paraId="4AC516CE">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r>
            <w:tr w14:paraId="5E4D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restart"/>
                  <w:noWrap w:val="0"/>
                  <w:vAlign w:val="center"/>
                </w:tcPr>
                <w:p w14:paraId="37F14D65">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u w:val="single"/>
                      <w:vertAlign w:val="baseline"/>
                      <w:lang w:val="en-US" w:eastAsia="zh-CN"/>
                    </w:rPr>
                  </w:pPr>
                  <w:r>
                    <w:rPr>
                      <w:rFonts w:hint="eastAsia"/>
                      <w:color w:val="auto"/>
                      <w:highlight w:val="none"/>
                      <w:u w:val="single"/>
                      <w:vertAlign w:val="baseline"/>
                      <w:lang w:val="en-US" w:eastAsia="zh-CN"/>
                    </w:rPr>
                    <w:t>3</w:t>
                  </w:r>
                </w:p>
              </w:tc>
              <w:tc>
                <w:tcPr>
                  <w:tcW w:w="1198" w:type="pct"/>
                  <w:vMerge w:val="restart"/>
                  <w:noWrap w:val="0"/>
                  <w:vAlign w:val="center"/>
                </w:tcPr>
                <w:p w14:paraId="64D9A75E">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货物残留物</w:t>
                  </w:r>
                </w:p>
              </w:tc>
              <w:tc>
                <w:tcPr>
                  <w:tcW w:w="1882" w:type="pct"/>
                  <w:noWrap w:val="0"/>
                  <w:vAlign w:val="center"/>
                </w:tcPr>
                <w:p w14:paraId="298CFF85">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3</w:t>
                  </w:r>
                  <w:r>
                    <w:rPr>
                      <w:rFonts w:hint="eastAsia" w:ascii="宋体" w:hAnsi="宋体" w:eastAsia="宋体" w:cs="宋体"/>
                      <w:color w:val="auto"/>
                      <w:kern w:val="0"/>
                      <w:sz w:val="20"/>
                      <w:szCs w:val="20"/>
                      <w:highlight w:val="none"/>
                      <w:u w:val="single"/>
                      <w:lang w:val="en-US" w:eastAsia="zh-CN" w:bidi="ar"/>
                    </w:rPr>
                    <w:t>海里至</w:t>
                  </w:r>
                  <w:r>
                    <w:rPr>
                      <w:rFonts w:hint="default" w:ascii="Times New Roman" w:hAnsi="Times New Roman" w:eastAsia="宋体" w:cs="Times New Roman"/>
                      <w:color w:val="auto"/>
                      <w:kern w:val="0"/>
                      <w:sz w:val="20"/>
                      <w:szCs w:val="20"/>
                      <w:highlight w:val="none"/>
                      <w:u w:val="single"/>
                      <w:lang w:val="en-US" w:eastAsia="zh-CN" w:bidi="ar"/>
                    </w:rPr>
                    <w:t>12</w:t>
                  </w:r>
                  <w:r>
                    <w:rPr>
                      <w:rFonts w:hint="eastAsia" w:ascii="宋体" w:hAnsi="宋体" w:eastAsia="宋体" w:cs="宋体"/>
                      <w:color w:val="auto"/>
                      <w:kern w:val="0"/>
                      <w:sz w:val="20"/>
                      <w:szCs w:val="20"/>
                      <w:highlight w:val="none"/>
                      <w:u w:val="single"/>
                      <w:lang w:val="en-US" w:eastAsia="zh-CN" w:bidi="ar"/>
                    </w:rPr>
                    <w:t>海里</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含</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的海域</w:t>
                  </w:r>
                </w:p>
              </w:tc>
              <w:tc>
                <w:tcPr>
                  <w:tcW w:w="1545" w:type="pct"/>
                  <w:noWrap w:val="0"/>
                  <w:vAlign w:val="center"/>
                </w:tcPr>
                <w:p w14:paraId="6B45B001">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应收集并排入接收设施</w:t>
                  </w:r>
                </w:p>
              </w:tc>
            </w:tr>
            <w:tr w14:paraId="2FFA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continue"/>
                  <w:noWrap w:val="0"/>
                  <w:vAlign w:val="center"/>
                </w:tcPr>
                <w:p w14:paraId="142FD90E">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198" w:type="pct"/>
                  <w:vMerge w:val="continue"/>
                  <w:noWrap w:val="0"/>
                  <w:vAlign w:val="center"/>
                </w:tcPr>
                <w:p w14:paraId="1D91DC38">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882" w:type="pct"/>
                  <w:noWrap w:val="0"/>
                  <w:vAlign w:val="center"/>
                </w:tcPr>
                <w:p w14:paraId="665DDACD">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12</w:t>
                  </w:r>
                  <w:r>
                    <w:rPr>
                      <w:rFonts w:hint="default" w:ascii="Times New Roman" w:hAnsi="Times New Roman" w:eastAsia="宋体" w:cs="Times New Roman"/>
                      <w:color w:val="auto"/>
                      <w:kern w:val="0"/>
                      <w:sz w:val="8"/>
                      <w:szCs w:val="8"/>
                      <w:highlight w:val="none"/>
                      <w:u w:val="single"/>
                      <w:lang w:val="en-US" w:eastAsia="zh-CN" w:bidi="ar"/>
                    </w:rPr>
                    <w:t xml:space="preserve"> </w:t>
                  </w:r>
                  <w:r>
                    <w:rPr>
                      <w:rFonts w:hint="eastAsia" w:ascii="宋体" w:hAnsi="宋体" w:eastAsia="宋体" w:cs="宋体"/>
                      <w:color w:val="auto"/>
                      <w:kern w:val="0"/>
                      <w:sz w:val="20"/>
                      <w:szCs w:val="20"/>
                      <w:highlight w:val="none"/>
                      <w:u w:val="single"/>
                      <w:lang w:val="en-US" w:eastAsia="zh-CN" w:bidi="ar"/>
                    </w:rPr>
                    <w:t>海里以外的海域</w:t>
                  </w:r>
                </w:p>
              </w:tc>
              <w:tc>
                <w:tcPr>
                  <w:tcW w:w="1545" w:type="pct"/>
                  <w:noWrap w:val="0"/>
                  <w:vAlign w:val="center"/>
                </w:tcPr>
                <w:p w14:paraId="4E9673F9">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不含危害海洋环境物质的货物残留物方可排放</w:t>
                  </w:r>
                </w:p>
              </w:tc>
            </w:tr>
            <w:tr w14:paraId="4F18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restart"/>
                  <w:noWrap w:val="0"/>
                  <w:vAlign w:val="center"/>
                </w:tcPr>
                <w:p w14:paraId="23C8AF85">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u w:val="single"/>
                      <w:vertAlign w:val="baseline"/>
                      <w:lang w:val="en-US" w:eastAsia="zh-CN"/>
                    </w:rPr>
                  </w:pPr>
                  <w:r>
                    <w:rPr>
                      <w:rFonts w:hint="eastAsia"/>
                      <w:color w:val="auto"/>
                      <w:highlight w:val="none"/>
                      <w:u w:val="single"/>
                      <w:vertAlign w:val="baseline"/>
                      <w:lang w:val="en-US" w:eastAsia="zh-CN"/>
                    </w:rPr>
                    <w:t>4</w:t>
                  </w:r>
                </w:p>
              </w:tc>
              <w:tc>
                <w:tcPr>
                  <w:tcW w:w="1198" w:type="pct"/>
                  <w:vMerge w:val="restart"/>
                  <w:noWrap w:val="0"/>
                  <w:vAlign w:val="center"/>
                </w:tcPr>
                <w:p w14:paraId="66D2CC80">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动物尸体</w:t>
                  </w:r>
                </w:p>
              </w:tc>
              <w:tc>
                <w:tcPr>
                  <w:tcW w:w="1882" w:type="pct"/>
                  <w:noWrap w:val="0"/>
                  <w:vAlign w:val="center"/>
                </w:tcPr>
                <w:p w14:paraId="6272A7E6">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3</w:t>
                  </w:r>
                  <w:r>
                    <w:rPr>
                      <w:rFonts w:hint="eastAsia" w:ascii="宋体" w:hAnsi="宋体" w:eastAsia="宋体" w:cs="宋体"/>
                      <w:color w:val="auto"/>
                      <w:kern w:val="0"/>
                      <w:sz w:val="20"/>
                      <w:szCs w:val="20"/>
                      <w:highlight w:val="none"/>
                      <w:u w:val="single"/>
                      <w:lang w:val="en-US" w:eastAsia="zh-CN" w:bidi="ar"/>
                    </w:rPr>
                    <w:t>海里至</w:t>
                  </w:r>
                  <w:r>
                    <w:rPr>
                      <w:rFonts w:hint="default" w:ascii="Times New Roman" w:hAnsi="Times New Roman" w:eastAsia="宋体" w:cs="Times New Roman"/>
                      <w:color w:val="auto"/>
                      <w:kern w:val="0"/>
                      <w:sz w:val="20"/>
                      <w:szCs w:val="20"/>
                      <w:highlight w:val="none"/>
                      <w:u w:val="single"/>
                      <w:lang w:val="en-US" w:eastAsia="zh-CN" w:bidi="ar"/>
                    </w:rPr>
                    <w:t>12</w:t>
                  </w:r>
                  <w:r>
                    <w:rPr>
                      <w:rFonts w:hint="eastAsia" w:ascii="宋体" w:hAnsi="宋体" w:eastAsia="宋体" w:cs="宋体"/>
                      <w:color w:val="auto"/>
                      <w:kern w:val="0"/>
                      <w:sz w:val="20"/>
                      <w:szCs w:val="20"/>
                      <w:highlight w:val="none"/>
                      <w:u w:val="single"/>
                      <w:lang w:val="en-US" w:eastAsia="zh-CN" w:bidi="ar"/>
                    </w:rPr>
                    <w:t>海里</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含</w:t>
                  </w:r>
                  <w:r>
                    <w:rPr>
                      <w:rFonts w:hint="default" w:ascii="Times New Roman" w:hAnsi="Times New Roman" w:eastAsia="宋体" w:cs="Times New Roman"/>
                      <w:color w:val="auto"/>
                      <w:kern w:val="0"/>
                      <w:sz w:val="20"/>
                      <w:szCs w:val="20"/>
                      <w:highlight w:val="none"/>
                      <w:u w:val="single"/>
                      <w:lang w:val="en-US" w:eastAsia="zh-CN" w:bidi="ar"/>
                    </w:rPr>
                    <w:t>)</w:t>
                  </w:r>
                  <w:r>
                    <w:rPr>
                      <w:rFonts w:hint="eastAsia" w:ascii="宋体" w:hAnsi="宋体" w:eastAsia="宋体" w:cs="宋体"/>
                      <w:color w:val="auto"/>
                      <w:kern w:val="0"/>
                      <w:sz w:val="20"/>
                      <w:szCs w:val="20"/>
                      <w:highlight w:val="none"/>
                      <w:u w:val="single"/>
                      <w:lang w:val="en-US" w:eastAsia="zh-CN" w:bidi="ar"/>
                    </w:rPr>
                    <w:t>的海域</w:t>
                  </w:r>
                </w:p>
              </w:tc>
              <w:tc>
                <w:tcPr>
                  <w:tcW w:w="1545" w:type="pct"/>
                  <w:noWrap w:val="0"/>
                  <w:vAlign w:val="center"/>
                </w:tcPr>
                <w:p w14:paraId="354C685D">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应收集并排入接收设施</w:t>
                  </w:r>
                </w:p>
              </w:tc>
            </w:tr>
            <w:tr w14:paraId="583B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vMerge w:val="continue"/>
                  <w:noWrap w:val="0"/>
                  <w:vAlign w:val="center"/>
                </w:tcPr>
                <w:p w14:paraId="3378FF61">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198" w:type="pct"/>
                  <w:vMerge w:val="continue"/>
                  <w:noWrap w:val="0"/>
                  <w:vAlign w:val="center"/>
                </w:tcPr>
                <w:p w14:paraId="77BD95EE">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u w:val="single"/>
                      <w:vertAlign w:val="baseline"/>
                      <w:lang w:val="en-US" w:eastAsia="zh-CN"/>
                    </w:rPr>
                  </w:pPr>
                </w:p>
              </w:tc>
              <w:tc>
                <w:tcPr>
                  <w:tcW w:w="1882" w:type="pct"/>
                  <w:noWrap w:val="0"/>
                  <w:vAlign w:val="center"/>
                </w:tcPr>
                <w:p w14:paraId="61C3B995">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在距最近陆地</w:t>
                  </w:r>
                  <w:r>
                    <w:rPr>
                      <w:rFonts w:hint="default" w:ascii="Times New Roman" w:hAnsi="Times New Roman" w:eastAsia="宋体" w:cs="Times New Roman"/>
                      <w:color w:val="auto"/>
                      <w:kern w:val="0"/>
                      <w:sz w:val="20"/>
                      <w:szCs w:val="20"/>
                      <w:highlight w:val="none"/>
                      <w:u w:val="single"/>
                      <w:lang w:val="en-US" w:eastAsia="zh-CN" w:bidi="ar"/>
                    </w:rPr>
                    <w:t>12</w:t>
                  </w:r>
                  <w:r>
                    <w:rPr>
                      <w:rFonts w:hint="default" w:ascii="Times New Roman" w:hAnsi="Times New Roman" w:eastAsia="宋体" w:cs="Times New Roman"/>
                      <w:color w:val="auto"/>
                      <w:kern w:val="0"/>
                      <w:sz w:val="8"/>
                      <w:szCs w:val="8"/>
                      <w:highlight w:val="none"/>
                      <w:u w:val="single"/>
                      <w:lang w:val="en-US" w:eastAsia="zh-CN" w:bidi="ar"/>
                    </w:rPr>
                    <w:t xml:space="preserve"> </w:t>
                  </w:r>
                  <w:r>
                    <w:rPr>
                      <w:rFonts w:hint="eastAsia" w:ascii="宋体" w:hAnsi="宋体" w:eastAsia="宋体" w:cs="宋体"/>
                      <w:color w:val="auto"/>
                      <w:kern w:val="0"/>
                      <w:sz w:val="20"/>
                      <w:szCs w:val="20"/>
                      <w:highlight w:val="none"/>
                      <w:u w:val="single"/>
                      <w:lang w:val="en-US" w:eastAsia="zh-CN" w:bidi="ar"/>
                    </w:rPr>
                    <w:t>海里以外的海域</w:t>
                  </w:r>
                </w:p>
              </w:tc>
              <w:tc>
                <w:tcPr>
                  <w:tcW w:w="1545" w:type="pct"/>
                  <w:noWrap w:val="0"/>
                  <w:vAlign w:val="center"/>
                </w:tcPr>
                <w:p w14:paraId="0B1E938B">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可以排放</w:t>
                  </w:r>
                </w:p>
              </w:tc>
            </w:tr>
            <w:tr w14:paraId="2859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noWrap w:val="0"/>
                  <w:vAlign w:val="center"/>
                </w:tcPr>
                <w:p w14:paraId="01941F9D">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u w:val="single"/>
                      <w:vertAlign w:val="baseline"/>
                      <w:lang w:val="en-US" w:eastAsia="zh-CN"/>
                    </w:rPr>
                  </w:pPr>
                  <w:r>
                    <w:rPr>
                      <w:rFonts w:hint="eastAsia"/>
                      <w:color w:val="auto"/>
                      <w:highlight w:val="none"/>
                      <w:u w:val="single"/>
                      <w:vertAlign w:val="baseline"/>
                      <w:lang w:val="en-US" w:eastAsia="zh-CN"/>
                    </w:rPr>
                    <w:t>5</w:t>
                  </w:r>
                </w:p>
              </w:tc>
              <w:tc>
                <w:tcPr>
                  <w:tcW w:w="1198" w:type="pct"/>
                  <w:noWrap w:val="0"/>
                  <w:vAlign w:val="center"/>
                </w:tcPr>
                <w:p w14:paraId="730A0740">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货舱、甲板和外表面清洗水</w:t>
                  </w:r>
                </w:p>
              </w:tc>
              <w:tc>
                <w:tcPr>
                  <w:tcW w:w="1882" w:type="pct"/>
                  <w:noWrap w:val="0"/>
                  <w:vAlign w:val="center"/>
                </w:tcPr>
                <w:p w14:paraId="373F21CA">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任何海域</w:t>
                  </w:r>
                </w:p>
              </w:tc>
              <w:tc>
                <w:tcPr>
                  <w:tcW w:w="1545" w:type="pct"/>
                  <w:noWrap w:val="0"/>
                  <w:vAlign w:val="center"/>
                </w:tcPr>
                <w:p w14:paraId="14754062">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其含有的清洁剂或添加剂不属于危害海洋环境物质的方可排放：其他操作废弃物应收集并排入接收设施。</w:t>
                  </w:r>
                </w:p>
              </w:tc>
            </w:tr>
            <w:tr w14:paraId="4147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3" w:type="pct"/>
                  <w:noWrap w:val="0"/>
                  <w:vAlign w:val="center"/>
                </w:tcPr>
                <w:p w14:paraId="11541051">
                  <w:pPr>
                    <w:pStyle w:val="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u w:val="single"/>
                      <w:vertAlign w:val="baseline"/>
                      <w:lang w:val="en-US" w:eastAsia="zh-CN"/>
                    </w:rPr>
                  </w:pPr>
                  <w:r>
                    <w:rPr>
                      <w:rFonts w:hint="eastAsia"/>
                      <w:color w:val="auto"/>
                      <w:highlight w:val="none"/>
                      <w:u w:val="single"/>
                      <w:vertAlign w:val="baseline"/>
                      <w:lang w:val="en-US" w:eastAsia="zh-CN"/>
                    </w:rPr>
                    <w:t>6</w:t>
                  </w:r>
                </w:p>
              </w:tc>
              <w:tc>
                <w:tcPr>
                  <w:tcW w:w="1198" w:type="pct"/>
                  <w:noWrap w:val="0"/>
                  <w:vAlign w:val="center"/>
                </w:tcPr>
                <w:p w14:paraId="3FDFEEE9">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不同类别船舶垃圾的混合垃圾</w:t>
                  </w:r>
                </w:p>
              </w:tc>
              <w:tc>
                <w:tcPr>
                  <w:tcW w:w="1882" w:type="pct"/>
                  <w:noWrap w:val="0"/>
                  <w:vAlign w:val="center"/>
                </w:tcPr>
                <w:p w14:paraId="5A8A794A">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任何海域</w:t>
                  </w:r>
                </w:p>
              </w:tc>
              <w:tc>
                <w:tcPr>
                  <w:tcW w:w="1545" w:type="pct"/>
                  <w:noWrap w:val="0"/>
                  <w:vAlign w:val="center"/>
                </w:tcPr>
                <w:p w14:paraId="3E980652">
                  <w:pPr>
                    <w:keepNext w:val="0"/>
                    <w:keepLines w:val="0"/>
                    <w:widowControl/>
                    <w:suppressLineNumbers w:val="0"/>
                    <w:jc w:val="center"/>
                    <w:rPr>
                      <w:rFonts w:hint="eastAsia"/>
                      <w:color w:val="auto"/>
                      <w:highlight w:val="none"/>
                      <w:u w:val="single"/>
                      <w:vertAlign w:val="baseline"/>
                      <w:lang w:val="en-US" w:eastAsia="zh-CN"/>
                    </w:rPr>
                  </w:pPr>
                  <w:r>
                    <w:rPr>
                      <w:rFonts w:hint="eastAsia" w:ascii="宋体" w:hAnsi="宋体" w:eastAsia="宋体" w:cs="宋体"/>
                      <w:color w:val="auto"/>
                      <w:kern w:val="0"/>
                      <w:sz w:val="20"/>
                      <w:szCs w:val="20"/>
                      <w:highlight w:val="none"/>
                      <w:u w:val="single"/>
                      <w:lang w:val="en-US" w:eastAsia="zh-CN" w:bidi="ar"/>
                    </w:rPr>
                    <w:t>应同时满足所含每一类船舶垃圾的排放控制要求</w:t>
                  </w:r>
                </w:p>
              </w:tc>
            </w:tr>
          </w:tbl>
          <w:p w14:paraId="4BE89F6D">
            <w:pPr>
              <w:spacing w:line="360" w:lineRule="auto"/>
              <w:ind w:firstLine="480" w:firstLineChars="200"/>
              <w:textAlignment w:val="baseline"/>
              <w:rPr>
                <w:rFonts w:hint="eastAsia" w:ascii="Times New Roman" w:hAnsi="Times New Roman" w:eastAsia="宋体" w:cs="Times New Roman"/>
                <w:color w:val="auto"/>
                <w:sz w:val="24"/>
                <w:highlight w:val="none"/>
                <w:u w:val="single"/>
                <w:lang w:val="en-US" w:eastAsia="zh-CN"/>
              </w:rPr>
            </w:pPr>
          </w:p>
        </w:tc>
      </w:tr>
      <w:tr w14:paraId="6E941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288" w:type="pct"/>
            <w:noWrap w:val="0"/>
            <w:vAlign w:val="center"/>
          </w:tcPr>
          <w:p w14:paraId="6B8D6EB3">
            <w:pPr>
              <w:adjustRightInd w:val="0"/>
              <w:snapToGrid w:val="0"/>
              <w:jc w:val="center"/>
              <w:rPr>
                <w:rFonts w:hint="eastAsia"/>
                <w:color w:val="auto"/>
                <w:kern w:val="0"/>
                <w:szCs w:val="21"/>
                <w:highlight w:val="none"/>
              </w:rPr>
            </w:pPr>
            <w:r>
              <w:rPr>
                <w:rFonts w:hint="eastAsia" w:ascii="宋体" w:hAnsi="宋体" w:cs="宋体"/>
                <w:color w:val="auto"/>
                <w:kern w:val="0"/>
                <w:sz w:val="24"/>
                <w:szCs w:val="21"/>
                <w:highlight w:val="none"/>
              </w:rPr>
              <w:t>其他</w:t>
            </w:r>
          </w:p>
        </w:tc>
        <w:tc>
          <w:tcPr>
            <w:tcW w:w="4711" w:type="pct"/>
            <w:noWrap w:val="0"/>
            <w:vAlign w:val="center"/>
          </w:tcPr>
          <w:p w14:paraId="38C3CDAE">
            <w:pPr>
              <w:spacing w:line="360" w:lineRule="auto"/>
              <w:jc w:val="center"/>
              <w:rPr>
                <w:color w:val="auto"/>
                <w:kern w:val="0"/>
                <w:highlight w:val="none"/>
              </w:rPr>
            </w:pPr>
            <w:r>
              <w:rPr>
                <w:rFonts w:hint="eastAsia" w:ascii="Times New Roman" w:hAnsi="宋体" w:eastAsia="宋体" w:cs="Times New Roman"/>
                <w:color w:val="auto"/>
                <w:kern w:val="24"/>
                <w:sz w:val="24"/>
                <w:highlight w:val="none"/>
                <w:lang w:eastAsia="zh-CN"/>
              </w:rPr>
              <w:t>本项目不涉及营运期，不设总量控制指标</w:t>
            </w:r>
            <w:r>
              <w:rPr>
                <w:rFonts w:hint="eastAsia" w:ascii="Times New Roman" w:hAnsi="宋体" w:eastAsia="宋体" w:cs="Times New Roman"/>
                <w:color w:val="auto"/>
                <w:kern w:val="24"/>
                <w:sz w:val="24"/>
                <w:highlight w:val="none"/>
              </w:rPr>
              <w:t>。</w:t>
            </w:r>
          </w:p>
        </w:tc>
      </w:tr>
    </w:tbl>
    <w:p w14:paraId="721160AE">
      <w:pPr>
        <w:pStyle w:val="40"/>
        <w:tabs>
          <w:tab w:val="left" w:pos="967"/>
        </w:tabs>
        <w:spacing w:before="0" w:beforeAutospacing="0" w:after="0" w:afterAutospacing="0" w:line="360" w:lineRule="auto"/>
        <w:jc w:val="center"/>
        <w:outlineLvl w:val="0"/>
        <w:rPr>
          <w:rFonts w:ascii="Times New Roman" w:hAnsi="Times New Roman" w:eastAsia="黑体"/>
          <w:snapToGrid w:val="0"/>
          <w:color w:val="auto"/>
          <w:sz w:val="36"/>
          <w:szCs w:val="36"/>
          <w:highlight w:val="none"/>
        </w:rPr>
      </w:pPr>
      <w:r>
        <w:rPr>
          <w:rFonts w:ascii="Times New Roman" w:hAnsi="Times New Roman" w:eastAsia="黑体"/>
          <w:snapToGrid w:val="0"/>
          <w:color w:val="auto"/>
          <w:sz w:val="36"/>
          <w:szCs w:val="36"/>
          <w:highlight w:val="none"/>
        </w:rPr>
        <w:br w:type="page"/>
      </w:r>
      <w:bookmarkStart w:id="37" w:name="_Toc31957"/>
      <w:bookmarkStart w:id="38" w:name="_Toc8377"/>
      <w:bookmarkStart w:id="39" w:name="_Toc3511"/>
      <w:bookmarkStart w:id="40" w:name="_Toc23570"/>
      <w:r>
        <w:rPr>
          <w:rStyle w:val="56"/>
          <w:color w:val="auto"/>
          <w:highlight w:val="none"/>
        </w:rPr>
        <w:t>四、</w:t>
      </w:r>
      <w:r>
        <w:rPr>
          <w:rStyle w:val="56"/>
          <w:rFonts w:hint="eastAsia"/>
          <w:color w:val="auto"/>
          <w:highlight w:val="none"/>
        </w:rPr>
        <w:t>生态环境影响分析</w:t>
      </w:r>
      <w:bookmarkEnd w:id="37"/>
    </w:p>
    <w:tbl>
      <w:tblPr>
        <w:tblStyle w:val="45"/>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402"/>
      </w:tblGrid>
      <w:tr w14:paraId="33013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1" w:type="pct"/>
            <w:noWrap w:val="0"/>
            <w:tcMar>
              <w:left w:w="28" w:type="dxa"/>
              <w:right w:w="28" w:type="dxa"/>
            </w:tcMar>
            <w:vAlign w:val="center"/>
          </w:tcPr>
          <w:p w14:paraId="3E213B2C">
            <w:pPr>
              <w:adjustRightInd w:val="0"/>
              <w:snapToGrid w:val="0"/>
              <w:jc w:val="center"/>
              <w:rPr>
                <w:rFonts w:hint="default" w:eastAsia="宋体"/>
                <w:bCs/>
                <w:color w:val="auto"/>
                <w:szCs w:val="21"/>
                <w:highlight w:val="none"/>
                <w:lang w:val="en-US" w:eastAsia="zh-CN"/>
              </w:rPr>
            </w:pPr>
            <w:r>
              <w:rPr>
                <w:rFonts w:hint="eastAsia" w:ascii="宋体" w:hAnsi="宋体" w:cs="宋体"/>
                <w:color w:val="auto"/>
                <w:kern w:val="0"/>
                <w:sz w:val="24"/>
                <w:szCs w:val="21"/>
                <w:highlight w:val="none"/>
              </w:rPr>
              <w:t>施工期生态环境影响分析</w:t>
            </w:r>
            <w:r>
              <w:rPr>
                <w:rFonts w:hint="eastAsia" w:ascii="宋体" w:hAnsi="宋体" w:cs="宋体"/>
                <w:color w:val="auto"/>
                <w:kern w:val="0"/>
                <w:sz w:val="24"/>
                <w:szCs w:val="21"/>
                <w:highlight w:val="none"/>
                <w:lang w:val="en-US" w:eastAsia="zh-CN"/>
              </w:rPr>
              <w:t xml:space="preserve">                          </w:t>
            </w:r>
          </w:p>
        </w:tc>
        <w:tc>
          <w:tcPr>
            <w:tcW w:w="4668" w:type="pct"/>
            <w:noWrap w:val="0"/>
            <w:vAlign w:val="center"/>
          </w:tcPr>
          <w:p w14:paraId="6124524B">
            <w:pPr>
              <w:tabs>
                <w:tab w:val="left" w:pos="2272"/>
              </w:tabs>
              <w:spacing w:line="360" w:lineRule="auto"/>
              <w:rPr>
                <w:rFonts w:hint="eastAsia"/>
                <w:color w:val="auto"/>
                <w:kern w:val="0"/>
                <w:sz w:val="24"/>
                <w:highlight w:val="none"/>
              </w:rPr>
            </w:pPr>
            <w:r>
              <w:rPr>
                <w:rFonts w:hint="eastAsia"/>
                <w:b/>
                <w:bCs/>
                <w:color w:val="auto"/>
                <w:sz w:val="28"/>
                <w:szCs w:val="28"/>
                <w:highlight w:val="none"/>
                <w:lang w:val="en-US" w:eastAsia="zh-CN"/>
              </w:rPr>
              <w:t>4.1.1</w:t>
            </w:r>
            <w:r>
              <w:rPr>
                <w:rFonts w:hint="eastAsia"/>
                <w:b/>
                <w:bCs/>
                <w:color w:val="auto"/>
                <w:sz w:val="28"/>
                <w:szCs w:val="28"/>
                <w:highlight w:val="none"/>
              </w:rPr>
              <w:t>大气环境影响分析</w:t>
            </w:r>
            <w:r>
              <w:rPr>
                <w:rFonts w:hint="eastAsia"/>
                <w:b/>
                <w:bCs/>
                <w:color w:val="auto"/>
                <w:sz w:val="24"/>
                <w:highlight w:val="none"/>
                <w:shd w:val="clear" w:color="auto" w:fill="FFFFFF"/>
              </w:rPr>
              <w:tab/>
            </w:r>
          </w:p>
          <w:p w14:paraId="07924F9A">
            <w:pPr>
              <w:spacing w:line="360" w:lineRule="auto"/>
              <w:ind w:firstLine="480" w:firstLineChars="200"/>
              <w:rPr>
                <w:rFonts w:hint="eastAsia"/>
                <w:color w:val="auto"/>
                <w:kern w:val="0"/>
                <w:sz w:val="24"/>
                <w:highlight w:val="none"/>
                <w:lang w:eastAsia="zh-CN"/>
              </w:rPr>
            </w:pPr>
            <w:r>
              <w:rPr>
                <w:rFonts w:hint="eastAsia"/>
                <w:color w:val="auto"/>
                <w:kern w:val="0"/>
                <w:sz w:val="24"/>
                <w:highlight w:val="none"/>
                <w:lang w:eastAsia="zh-CN"/>
              </w:rPr>
              <w:t>本项目施工期废气影响</w:t>
            </w:r>
            <w:r>
              <w:rPr>
                <w:rFonts w:hint="eastAsia"/>
                <w:color w:val="auto"/>
                <w:kern w:val="0"/>
                <w:sz w:val="24"/>
                <w:highlight w:val="none"/>
                <w:lang w:val="en-US" w:eastAsia="zh-CN"/>
              </w:rPr>
              <w:t>主要为</w:t>
            </w:r>
            <w:r>
              <w:rPr>
                <w:rFonts w:hint="eastAsia"/>
                <w:color w:val="auto"/>
                <w:kern w:val="0"/>
                <w:sz w:val="24"/>
                <w:highlight w:val="none"/>
                <w:lang w:eastAsia="zh-CN"/>
              </w:rPr>
              <w:t>清淤疏浚作业时</w:t>
            </w:r>
            <w:r>
              <w:rPr>
                <w:rFonts w:hint="eastAsia" w:ascii="Times New Roman" w:hAnsi="Times New Roman" w:eastAsia="宋体" w:cs="Times New Roman"/>
                <w:color w:val="auto"/>
                <w:kern w:val="0"/>
                <w:sz w:val="24"/>
                <w:highlight w:val="none"/>
                <w:lang w:val="en-US" w:eastAsia="zh-CN"/>
              </w:rPr>
              <w:t>产生</w:t>
            </w:r>
            <w:r>
              <w:rPr>
                <w:rFonts w:hint="eastAsia"/>
                <w:color w:val="auto"/>
                <w:kern w:val="0"/>
                <w:sz w:val="24"/>
                <w:highlight w:val="none"/>
                <w:lang w:eastAsia="zh-CN"/>
              </w:rPr>
              <w:t>施工机械、船舶排放的尾气和清淤</w:t>
            </w:r>
            <w:r>
              <w:rPr>
                <w:rFonts w:hint="eastAsia"/>
                <w:color w:val="auto"/>
                <w:kern w:val="0"/>
                <w:sz w:val="24"/>
                <w:highlight w:val="none"/>
                <w:lang w:val="en-US" w:eastAsia="zh-CN"/>
              </w:rPr>
              <w:t>疏浚</w:t>
            </w:r>
            <w:r>
              <w:rPr>
                <w:rFonts w:hint="eastAsia"/>
                <w:color w:val="auto"/>
                <w:kern w:val="0"/>
                <w:sz w:val="24"/>
                <w:highlight w:val="none"/>
                <w:lang w:eastAsia="zh-CN"/>
              </w:rPr>
              <w:t>产生的恶臭，尾气污染物主要为:一氧化碳、二氧化碳、氧化气体、氮氧化合物及颗粒尘埃，该类污染源是流动性的，污染物排放量不大</w:t>
            </w:r>
            <w:r>
              <w:rPr>
                <w:rFonts w:hint="eastAsia" w:ascii="Times New Roman" w:hAnsi="Times New Roman" w:eastAsia="宋体" w:cs="Times New Roman"/>
                <w:color w:val="auto"/>
                <w:kern w:val="0"/>
                <w:sz w:val="24"/>
                <w:highlight w:val="none"/>
                <w:lang w:eastAsia="zh-CN"/>
              </w:rPr>
              <w:t>，表现为间歇性特征，因此影响是短期和局部的，该项污染源随着项目完工而不复存在。</w:t>
            </w:r>
          </w:p>
          <w:p w14:paraId="17F052F4">
            <w:pPr>
              <w:spacing w:line="360" w:lineRule="auto"/>
              <w:ind w:firstLine="480" w:firstLineChars="200"/>
              <w:rPr>
                <w:rFonts w:hint="eastAsia"/>
                <w:color w:val="auto"/>
                <w:sz w:val="24"/>
                <w:highlight w:val="none"/>
              </w:rPr>
            </w:pPr>
            <w:r>
              <w:rPr>
                <w:rFonts w:hint="eastAsia"/>
                <w:color w:val="auto"/>
                <w:kern w:val="0"/>
                <w:sz w:val="24"/>
                <w:highlight w:val="none"/>
                <w:lang w:eastAsia="zh-CN"/>
              </w:rPr>
              <w:t>项目施工拟投入的主要施工船机设备有：1</w:t>
            </w:r>
            <w:r>
              <w:rPr>
                <w:rFonts w:hint="eastAsia"/>
                <w:color w:val="auto"/>
                <w:kern w:val="0"/>
                <w:sz w:val="24"/>
                <w:highlight w:val="none"/>
                <w:lang w:val="en-US" w:eastAsia="zh-CN"/>
              </w:rPr>
              <w:t>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eastAsia="zh-CN"/>
              </w:rPr>
              <w:t>抓斗船、</w:t>
            </w:r>
            <w:r>
              <w:rPr>
                <w:rFonts w:hint="eastAsia"/>
                <w:color w:val="auto"/>
                <w:kern w:val="0"/>
                <w:sz w:val="24"/>
                <w:highlight w:val="none"/>
                <w:lang w:val="en-US" w:eastAsia="zh-CN"/>
              </w:rPr>
              <w:t>2500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eastAsia="zh-CN"/>
              </w:rPr>
              <w:t>泥驳船、</w:t>
            </w:r>
            <w:r>
              <w:rPr>
                <w:rFonts w:hint="eastAsia"/>
                <w:color w:val="auto"/>
                <w:kern w:val="0"/>
                <w:sz w:val="24"/>
                <w:highlight w:val="none"/>
                <w:lang w:val="en-US" w:eastAsia="zh-CN"/>
              </w:rPr>
              <w:t>3500</w:t>
            </w:r>
            <w:r>
              <w:rPr>
                <w:rFonts w:hint="eastAsia"/>
                <w:color w:val="auto"/>
                <w:kern w:val="0"/>
                <w:sz w:val="24"/>
                <w:highlight w:val="none"/>
                <w:lang w:eastAsia="zh-CN"/>
              </w:rPr>
              <w:t>m</w:t>
            </w:r>
            <w:r>
              <w:rPr>
                <w:rFonts w:hint="eastAsia"/>
                <w:color w:val="auto"/>
                <w:kern w:val="0"/>
                <w:sz w:val="24"/>
                <w:highlight w:val="none"/>
                <w:vertAlign w:val="superscript"/>
                <w:lang w:val="en-US" w:eastAsia="zh-CN"/>
              </w:rPr>
              <w:t>3</w:t>
            </w:r>
            <w:r>
              <w:rPr>
                <w:rFonts w:hint="eastAsia"/>
                <w:color w:val="auto"/>
                <w:kern w:val="0"/>
                <w:sz w:val="24"/>
                <w:highlight w:val="none"/>
                <w:lang w:val="en-US" w:eastAsia="zh-CN"/>
              </w:rPr>
              <w:t>耙吸船</w:t>
            </w:r>
            <w:r>
              <w:rPr>
                <w:rFonts w:hint="eastAsia"/>
                <w:color w:val="auto"/>
                <w:kern w:val="0"/>
                <w:sz w:val="24"/>
                <w:highlight w:val="none"/>
                <w:lang w:eastAsia="zh-CN"/>
              </w:rPr>
              <w:t>，施工船舶定期进行维修和保养，保障船上发动机及有关设备经船舶检验机构检验合格，施工船舶必须使用含硫量不超过0.5%m/m燃油，控制废气SO</w:t>
            </w:r>
            <w:r>
              <w:rPr>
                <w:rFonts w:hint="eastAsia"/>
                <w:color w:val="auto"/>
                <w:kern w:val="0"/>
                <w:sz w:val="24"/>
                <w:highlight w:val="none"/>
                <w:vertAlign w:val="subscript"/>
                <w:lang w:val="en-US" w:eastAsia="zh-CN"/>
              </w:rPr>
              <w:t>2</w:t>
            </w:r>
            <w:r>
              <w:rPr>
                <w:rFonts w:hint="eastAsia"/>
                <w:color w:val="auto"/>
                <w:kern w:val="0"/>
                <w:sz w:val="24"/>
                <w:highlight w:val="none"/>
                <w:lang w:eastAsia="zh-CN"/>
              </w:rPr>
              <w:t>达标排放，此外，项目施工区域位于</w:t>
            </w:r>
            <w:r>
              <w:rPr>
                <w:rFonts w:hint="eastAsia"/>
                <w:color w:val="auto"/>
                <w:kern w:val="0"/>
                <w:sz w:val="24"/>
                <w:highlight w:val="none"/>
                <w:lang w:val="en-US" w:eastAsia="zh-CN"/>
              </w:rPr>
              <w:t>码头</w:t>
            </w:r>
            <w:r>
              <w:rPr>
                <w:rFonts w:hint="eastAsia"/>
                <w:color w:val="auto"/>
                <w:kern w:val="0"/>
                <w:sz w:val="24"/>
                <w:highlight w:val="none"/>
                <w:lang w:eastAsia="zh-CN"/>
              </w:rPr>
              <w:t>回旋水域</w:t>
            </w:r>
            <w:r>
              <w:rPr>
                <w:rFonts w:hint="eastAsia"/>
                <w:color w:val="auto"/>
                <w:kern w:val="0"/>
                <w:sz w:val="24"/>
                <w:highlight w:val="none"/>
                <w:lang w:val="en-US" w:eastAsia="zh-CN"/>
              </w:rPr>
              <w:t>与金鼓江航道重叠部分</w:t>
            </w:r>
            <w:r>
              <w:rPr>
                <w:rFonts w:hint="eastAsia"/>
                <w:color w:val="auto"/>
                <w:kern w:val="0"/>
                <w:sz w:val="24"/>
                <w:highlight w:val="none"/>
                <w:lang w:eastAsia="zh-CN"/>
              </w:rPr>
              <w:t>，区域空旷，施工产生的废气经大气扩散后对周边大气环境影响不大。</w:t>
            </w:r>
          </w:p>
          <w:p w14:paraId="711EB0CF">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4.1.2</w:t>
            </w:r>
            <w:r>
              <w:rPr>
                <w:rFonts w:hint="eastAsia"/>
                <w:b/>
                <w:bCs/>
                <w:color w:val="auto"/>
                <w:sz w:val="28"/>
                <w:szCs w:val="28"/>
                <w:highlight w:val="none"/>
                <w:lang w:eastAsia="zh-CN"/>
              </w:rPr>
              <w:t>水环境影响分析</w:t>
            </w:r>
          </w:p>
          <w:p w14:paraId="195648D2">
            <w:pPr>
              <w:spacing w:line="360" w:lineRule="auto"/>
              <w:ind w:firstLine="480" w:firstLineChars="200"/>
              <w:jc w:val="left"/>
              <w:rPr>
                <w:rFonts w:hint="eastAsia"/>
                <w:color w:val="auto"/>
                <w:kern w:val="0"/>
                <w:sz w:val="24"/>
                <w:highlight w:val="none"/>
              </w:rPr>
            </w:pPr>
            <w:r>
              <w:rPr>
                <w:rFonts w:hint="eastAsia"/>
                <w:b w:val="0"/>
                <w:bCs w:val="0"/>
                <w:color w:val="auto"/>
                <w:sz w:val="24"/>
                <w:highlight w:val="none"/>
                <w:shd w:val="clear" w:color="auto" w:fill="FFFFFF"/>
                <w:lang w:eastAsia="zh-CN"/>
              </w:rPr>
              <w:t>项目施工产生的废水主要为施工人员生活污水、施工船舶含油废水、回旋水域疏浚过程中产生的悬浮泥沙。</w:t>
            </w:r>
          </w:p>
          <w:p w14:paraId="1C19D924">
            <w:pPr>
              <w:spacing w:line="360" w:lineRule="auto"/>
              <w:ind w:firstLine="482" w:firstLineChars="200"/>
              <w:rPr>
                <w:rFonts w:hint="eastAsia" w:eastAsia="宋体"/>
                <w:color w:val="auto"/>
                <w:kern w:val="0"/>
                <w:sz w:val="24"/>
                <w:highlight w:val="none"/>
                <w:u w:val="none"/>
                <w:lang w:eastAsia="zh-CN"/>
              </w:rPr>
            </w:pPr>
            <w:r>
              <w:rPr>
                <w:rFonts w:hint="eastAsia"/>
                <w:b/>
                <w:bCs/>
                <w:color w:val="auto"/>
                <w:sz w:val="24"/>
                <w:highlight w:val="none"/>
                <w:u w:val="none"/>
                <w:shd w:val="clear" w:color="auto" w:fill="FFFFFF"/>
                <w:lang w:val="en-US" w:eastAsia="zh-CN"/>
              </w:rPr>
              <w:t>1</w:t>
            </w:r>
            <w:r>
              <w:rPr>
                <w:b/>
                <w:bCs/>
                <w:color w:val="auto"/>
                <w:sz w:val="24"/>
                <w:highlight w:val="none"/>
                <w:u w:val="none"/>
                <w:shd w:val="clear" w:color="auto" w:fill="FFFFFF"/>
              </w:rPr>
              <w:t>、</w:t>
            </w:r>
            <w:r>
              <w:rPr>
                <w:rFonts w:hint="eastAsia"/>
                <w:b/>
                <w:bCs/>
                <w:color w:val="auto"/>
                <w:sz w:val="24"/>
                <w:highlight w:val="none"/>
                <w:u w:val="none"/>
                <w:shd w:val="clear" w:color="auto" w:fill="FFFFFF"/>
                <w:lang w:eastAsia="zh-CN"/>
              </w:rPr>
              <w:t>施工人员生活污水</w:t>
            </w:r>
          </w:p>
          <w:p w14:paraId="6731A581">
            <w:p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color w:val="auto"/>
                <w:kern w:val="0"/>
                <w:sz w:val="24"/>
                <w:highlight w:val="none"/>
                <w:u w:val="none"/>
                <w:lang w:eastAsia="zh-CN"/>
              </w:rPr>
              <w:t>本项目高峰期总施工人员约</w:t>
            </w:r>
            <w:r>
              <w:rPr>
                <w:rFonts w:hint="eastAsia"/>
                <w:color w:val="auto"/>
                <w:kern w:val="0"/>
                <w:sz w:val="24"/>
                <w:highlight w:val="none"/>
                <w:u w:val="none"/>
                <w:lang w:val="en-US" w:eastAsia="zh-CN"/>
              </w:rPr>
              <w:t>30人</w:t>
            </w:r>
            <w:r>
              <w:rPr>
                <w:rFonts w:hint="eastAsia"/>
                <w:color w:val="auto"/>
                <w:kern w:val="0"/>
                <w:sz w:val="24"/>
                <w:highlight w:val="none"/>
                <w:u w:val="none"/>
              </w:rPr>
              <w:t>，</w:t>
            </w:r>
            <w:r>
              <w:rPr>
                <w:rFonts w:hint="eastAsia"/>
                <w:color w:val="auto"/>
                <w:kern w:val="0"/>
                <w:sz w:val="24"/>
                <w:highlight w:val="none"/>
                <w:u w:val="none"/>
                <w:lang w:eastAsia="zh-CN"/>
              </w:rPr>
              <w:t>本工程船舶施工人员食宿均在船上，用水标准参考广西地方标准《城镇生活用水定额》（DB45T 679-</w:t>
            </w:r>
            <w:r>
              <w:rPr>
                <w:rFonts w:hint="eastAsia"/>
                <w:color w:val="auto"/>
                <w:kern w:val="0"/>
                <w:sz w:val="24"/>
                <w:highlight w:val="none"/>
                <w:u w:val="none"/>
                <w:lang w:val="en-US" w:eastAsia="zh-CN"/>
              </w:rPr>
              <w:t>2023</w:t>
            </w:r>
            <w:r>
              <w:rPr>
                <w:rFonts w:hint="eastAsia"/>
                <w:color w:val="auto"/>
                <w:kern w:val="0"/>
                <w:sz w:val="24"/>
                <w:highlight w:val="none"/>
                <w:u w:val="none"/>
                <w:lang w:eastAsia="zh-CN"/>
              </w:rPr>
              <w:t>），结合施工经验，生活用水量取150L/人·d，估算出船舶生活用水量为</w:t>
            </w:r>
            <w:r>
              <w:rPr>
                <w:rFonts w:hint="eastAsia"/>
                <w:color w:val="auto"/>
                <w:kern w:val="0"/>
                <w:sz w:val="24"/>
                <w:highlight w:val="none"/>
                <w:u w:val="none"/>
                <w:lang w:val="en-US" w:eastAsia="zh-CN"/>
              </w:rPr>
              <w:t>4.5m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/d，施工期总生活用水量为405</w:t>
            </w:r>
            <w:r>
              <w:rPr>
                <w:rFonts w:hint="eastAsia"/>
                <w:color w:val="auto"/>
                <w:kern w:val="0"/>
                <w:sz w:val="24"/>
                <w:highlight w:val="none"/>
                <w:u w:val="none"/>
                <w:lang w:val="en-US" w:eastAsia="zh-CN"/>
              </w:rPr>
              <w:t>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（施工期3个月，每月按30计）</w:t>
            </w:r>
            <w:r>
              <w:rPr>
                <w:rFonts w:hint="eastAsia"/>
                <w:color w:val="auto"/>
                <w:kern w:val="0"/>
                <w:sz w:val="24"/>
                <w:highlight w:val="none"/>
                <w:u w:val="none"/>
                <w:lang w:eastAsia="zh-CN"/>
              </w:rPr>
              <w:t>，</w:t>
            </w:r>
            <w:r>
              <w:rPr>
                <w:rFonts w:hint="eastAsia"/>
                <w:color w:val="auto"/>
                <w:kern w:val="0"/>
                <w:sz w:val="24"/>
                <w:highlight w:val="none"/>
                <w:u w:val="none"/>
                <w:lang w:val="en-US" w:eastAsia="zh-CN"/>
              </w:rPr>
              <w:t>总用水量</w:t>
            </w:r>
            <w:r>
              <w:rPr>
                <w:rFonts w:hint="eastAsia"/>
                <w:color w:val="auto"/>
                <w:kern w:val="0"/>
                <w:sz w:val="24"/>
                <w:highlight w:val="none"/>
                <w:u w:val="none"/>
                <w:lang w:eastAsia="zh-CN"/>
              </w:rPr>
              <w:t>污水产生系数按80%计，生活污水日产生量为</w:t>
            </w:r>
            <w:r>
              <w:rPr>
                <w:rFonts w:hint="eastAsia"/>
                <w:color w:val="auto"/>
                <w:kern w:val="0"/>
                <w:sz w:val="24"/>
                <w:highlight w:val="none"/>
                <w:u w:val="none"/>
                <w:lang w:val="en-US" w:eastAsia="zh-CN"/>
              </w:rPr>
              <w:t>3.6m</w:t>
            </w:r>
            <w:r>
              <w:rPr>
                <w:rFonts w:hint="eastAsia"/>
                <w:color w:val="auto"/>
                <w:kern w:val="0"/>
                <w:sz w:val="24"/>
                <w:highlight w:val="none"/>
                <w:u w:val="none"/>
                <w:vertAlign w:val="superscript"/>
                <w:lang w:val="en-US" w:eastAsia="zh-CN"/>
              </w:rPr>
              <w:t>3</w:t>
            </w:r>
            <w:r>
              <w:rPr>
                <w:rFonts w:hint="eastAsia"/>
                <w:color w:val="auto"/>
                <w:kern w:val="0"/>
                <w:sz w:val="24"/>
                <w:highlight w:val="none"/>
                <w:u w:val="none"/>
                <w:vertAlign w:val="baseline"/>
                <w:lang w:val="en-US" w:eastAsia="zh-CN"/>
              </w:rPr>
              <w:t>/d，施工期总生活污水量324</w:t>
            </w:r>
            <w:r>
              <w:rPr>
                <w:rFonts w:hint="eastAsia"/>
                <w:color w:val="auto"/>
                <w:kern w:val="0"/>
                <w:sz w:val="24"/>
                <w:highlight w:val="none"/>
                <w:u w:val="none"/>
                <w:lang w:val="en-US" w:eastAsia="zh-CN"/>
              </w:rPr>
              <w:t>m</w:t>
            </w:r>
            <w:r>
              <w:rPr>
                <w:rFonts w:hint="eastAsia"/>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w:t>
            </w:r>
          </w:p>
          <w:p w14:paraId="377E6835">
            <w:pPr>
              <w:spacing w:line="360" w:lineRule="auto"/>
              <w:ind w:firstLine="480" w:firstLineChars="200"/>
              <w:jc w:val="left"/>
              <w:rPr>
                <w:rFonts w:hint="eastAsia"/>
                <w:color w:val="auto"/>
                <w:kern w:val="0"/>
                <w:sz w:val="24"/>
                <w:highlight w:val="none"/>
                <w:lang w:eastAsia="zh-CN"/>
              </w:rPr>
            </w:pPr>
            <w:r>
              <w:rPr>
                <w:rFonts w:hint="eastAsia"/>
                <w:color w:val="auto"/>
                <w:kern w:val="0"/>
                <w:sz w:val="24"/>
                <w:highlight w:val="none"/>
                <w:lang w:eastAsia="zh-CN"/>
              </w:rPr>
              <w:t>生活污水中的污染物主要为 COD、BOD</w:t>
            </w:r>
            <w:r>
              <w:rPr>
                <w:rFonts w:hint="eastAsia"/>
                <w:color w:val="auto"/>
                <w:kern w:val="0"/>
                <w:sz w:val="24"/>
                <w:highlight w:val="none"/>
                <w:vertAlign w:val="subscript"/>
                <w:lang w:eastAsia="zh-CN"/>
              </w:rPr>
              <w:t>5</w:t>
            </w:r>
            <w:r>
              <w:rPr>
                <w:rFonts w:hint="eastAsia"/>
                <w:color w:val="auto"/>
                <w:kern w:val="0"/>
                <w:sz w:val="24"/>
                <w:highlight w:val="none"/>
                <w:lang w:eastAsia="zh-CN"/>
              </w:rPr>
              <w:t>、SS 以及 NH</w:t>
            </w:r>
            <w:r>
              <w:rPr>
                <w:rFonts w:hint="eastAsia"/>
                <w:color w:val="auto"/>
                <w:kern w:val="0"/>
                <w:sz w:val="24"/>
                <w:highlight w:val="none"/>
                <w:vertAlign w:val="subscript"/>
                <w:lang w:eastAsia="zh-CN"/>
              </w:rPr>
              <w:t>3</w:t>
            </w:r>
            <w:r>
              <w:rPr>
                <w:rFonts w:hint="eastAsia"/>
                <w:color w:val="auto"/>
                <w:kern w:val="0"/>
                <w:sz w:val="24"/>
                <w:highlight w:val="none"/>
                <w:lang w:eastAsia="zh-CN"/>
              </w:rPr>
              <w:t>-N 等，参考 2021 年 6 月 9 日中华人民共和国生态环境部发布的《排放源统计调查产排污核算方法和系数手册》中的《生活源产排污核算方法和系数手册》中的系数，并结合第二次污染普查《生活源系数手册》（试用版）及类比同类项目，生活污水中 COD、BOD</w:t>
            </w:r>
            <w:r>
              <w:rPr>
                <w:rFonts w:hint="eastAsia"/>
                <w:color w:val="auto"/>
                <w:kern w:val="0"/>
                <w:sz w:val="24"/>
                <w:highlight w:val="none"/>
                <w:vertAlign w:val="subscript"/>
                <w:lang w:eastAsia="zh-CN"/>
              </w:rPr>
              <w:t>5</w:t>
            </w:r>
            <w:r>
              <w:rPr>
                <w:rFonts w:hint="eastAsia"/>
                <w:color w:val="auto"/>
                <w:kern w:val="0"/>
                <w:sz w:val="24"/>
                <w:highlight w:val="none"/>
                <w:lang w:eastAsia="zh-CN"/>
              </w:rPr>
              <w:t>、SS、NH</w:t>
            </w:r>
            <w:r>
              <w:rPr>
                <w:rFonts w:hint="eastAsia"/>
                <w:color w:val="auto"/>
                <w:kern w:val="0"/>
                <w:sz w:val="24"/>
                <w:highlight w:val="none"/>
                <w:vertAlign w:val="subscript"/>
                <w:lang w:eastAsia="zh-CN"/>
              </w:rPr>
              <w:t>3</w:t>
            </w:r>
            <w:r>
              <w:rPr>
                <w:rFonts w:hint="eastAsia"/>
                <w:color w:val="auto"/>
                <w:kern w:val="0"/>
                <w:sz w:val="24"/>
                <w:highlight w:val="none"/>
                <w:lang w:eastAsia="zh-CN"/>
              </w:rPr>
              <w:t>-N 的浓度分别为 285mg/L、123 mg/L、150mg/L、28.3mg/L。</w:t>
            </w:r>
          </w:p>
          <w:p w14:paraId="398CDA58">
            <w:pPr>
              <w:spacing w:line="360" w:lineRule="auto"/>
              <w:ind w:firstLine="480" w:firstLineChars="200"/>
              <w:jc w:val="left"/>
              <w:rPr>
                <w:rFonts w:hint="eastAsia"/>
                <w:color w:val="auto"/>
                <w:kern w:val="0"/>
                <w:sz w:val="24"/>
                <w:highlight w:val="none"/>
                <w:lang w:eastAsia="zh-CN"/>
              </w:rPr>
            </w:pPr>
          </w:p>
          <w:p w14:paraId="602EE07F">
            <w:pPr>
              <w:spacing w:line="360" w:lineRule="auto"/>
              <w:ind w:firstLine="480" w:firstLineChars="200"/>
              <w:jc w:val="left"/>
              <w:rPr>
                <w:rFonts w:hint="eastAsia"/>
                <w:color w:val="auto"/>
                <w:kern w:val="0"/>
                <w:sz w:val="24"/>
                <w:highlight w:val="none"/>
                <w:lang w:eastAsia="zh-CN"/>
              </w:rPr>
            </w:pPr>
          </w:p>
          <w:p w14:paraId="78BB6F8E">
            <w:pPr>
              <w:keepNext w:val="0"/>
              <w:keepLines w:val="0"/>
              <w:widowControl/>
              <w:suppressLineNumbers w:val="0"/>
              <w:jc w:val="center"/>
              <w:rPr>
                <w:color w:val="auto"/>
                <w:highlight w:val="none"/>
                <w:u w:val="none"/>
              </w:rPr>
            </w:pPr>
            <w:r>
              <w:rPr>
                <w:rFonts w:hint="eastAsia" w:ascii="宋体" w:hAnsi="宋体" w:eastAsia="宋体" w:cs="宋体"/>
                <w:b/>
                <w:bCs/>
                <w:color w:val="auto"/>
                <w:kern w:val="0"/>
                <w:sz w:val="20"/>
                <w:szCs w:val="20"/>
                <w:highlight w:val="none"/>
                <w:u w:val="none"/>
                <w:lang w:val="en-US" w:eastAsia="zh-CN" w:bidi="ar"/>
              </w:rPr>
              <w:t>表 4.1-1</w:t>
            </w:r>
            <w:r>
              <w:rPr>
                <w:rFonts w:hint="default" w:ascii="Times New Roman" w:hAnsi="Times New Roman" w:eastAsia="宋体" w:cs="Times New Roman"/>
                <w:b/>
                <w:bCs/>
                <w:color w:val="auto"/>
                <w:kern w:val="0"/>
                <w:sz w:val="20"/>
                <w:szCs w:val="20"/>
                <w:highlight w:val="none"/>
                <w:u w:val="none"/>
                <w:lang w:val="en-US" w:eastAsia="zh-CN" w:bidi="ar"/>
              </w:rPr>
              <w:t xml:space="preserve"> </w:t>
            </w:r>
            <w:r>
              <w:rPr>
                <w:rFonts w:hint="eastAsia" w:ascii="宋体" w:hAnsi="宋体" w:eastAsia="宋体" w:cs="宋体"/>
                <w:b/>
                <w:bCs/>
                <w:color w:val="auto"/>
                <w:kern w:val="0"/>
                <w:sz w:val="20"/>
                <w:szCs w:val="20"/>
                <w:highlight w:val="none"/>
                <w:u w:val="none"/>
                <w:lang w:val="en-US" w:eastAsia="zh-CN" w:bidi="ar"/>
              </w:rPr>
              <w:t>施工船舶生活污水污染物产生情况</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227"/>
              <w:gridCol w:w="1500"/>
              <w:gridCol w:w="1311"/>
              <w:gridCol w:w="1529"/>
              <w:gridCol w:w="1529"/>
            </w:tblGrid>
            <w:tr w14:paraId="658B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587" w:type="pct"/>
                  <w:noWrap w:val="0"/>
                  <w:vAlign w:val="top"/>
                </w:tcPr>
                <w:p w14:paraId="160F6B08">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废水量</w:t>
                  </w:r>
                </w:p>
              </w:tc>
              <w:tc>
                <w:tcPr>
                  <w:tcW w:w="1213" w:type="pct"/>
                  <w:noWrap w:val="0"/>
                  <w:vAlign w:val="top"/>
                </w:tcPr>
                <w:p w14:paraId="1A139C0A">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项目</w:t>
                  </w:r>
                </w:p>
              </w:tc>
              <w:tc>
                <w:tcPr>
                  <w:tcW w:w="817" w:type="pct"/>
                  <w:noWrap w:val="0"/>
                  <w:vAlign w:val="top"/>
                </w:tcPr>
                <w:p w14:paraId="63F3A1F7">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COD</w:t>
                  </w:r>
                </w:p>
              </w:tc>
              <w:tc>
                <w:tcPr>
                  <w:tcW w:w="714" w:type="pct"/>
                  <w:noWrap w:val="0"/>
                  <w:vAlign w:val="top"/>
                </w:tcPr>
                <w:p w14:paraId="0F0276F7">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BOD</w:t>
                  </w:r>
                  <w:r>
                    <w:rPr>
                      <w:rFonts w:hint="eastAsia" w:ascii="Times New Roman" w:hAnsi="Times New Roman" w:eastAsia="宋体" w:cs="Times New Roman"/>
                      <w:color w:val="auto"/>
                      <w:kern w:val="0"/>
                      <w:sz w:val="21"/>
                      <w:szCs w:val="21"/>
                      <w:highlight w:val="none"/>
                      <w:u w:val="none"/>
                      <w:vertAlign w:val="subscript"/>
                      <w:lang w:val="en-US" w:eastAsia="zh-CN" w:bidi="ar"/>
                    </w:rPr>
                    <w:t>5</w:t>
                  </w:r>
                </w:p>
              </w:tc>
              <w:tc>
                <w:tcPr>
                  <w:tcW w:w="833" w:type="pct"/>
                  <w:noWrap w:val="0"/>
                  <w:vAlign w:val="top"/>
                </w:tcPr>
                <w:p w14:paraId="53F9E83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SS</w:t>
                  </w:r>
                </w:p>
              </w:tc>
              <w:tc>
                <w:tcPr>
                  <w:tcW w:w="833" w:type="pct"/>
                  <w:noWrap w:val="0"/>
                  <w:vAlign w:val="top"/>
                </w:tcPr>
                <w:p w14:paraId="33DA572D">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NH</w:t>
                  </w:r>
                  <w:r>
                    <w:rPr>
                      <w:rFonts w:hint="eastAsia" w:ascii="Times New Roman" w:hAnsi="Times New Roman" w:eastAsia="宋体" w:cs="Times New Roman"/>
                      <w:color w:val="auto"/>
                      <w:kern w:val="0"/>
                      <w:sz w:val="21"/>
                      <w:szCs w:val="21"/>
                      <w:highlight w:val="none"/>
                      <w:u w:val="none"/>
                      <w:vertAlign w:val="sub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-N</w:t>
                  </w:r>
                </w:p>
              </w:tc>
            </w:tr>
            <w:tr w14:paraId="29F9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restart"/>
                  <w:noWrap w:val="0"/>
                  <w:vAlign w:val="center"/>
                </w:tcPr>
                <w:p w14:paraId="01985ADF">
                  <w:pPr>
                    <w:keepNext w:val="0"/>
                    <w:keepLines w:val="0"/>
                    <w:widowControl/>
                    <w:suppressLineNumbers w:val="0"/>
                    <w:jc w:val="center"/>
                    <w:rPr>
                      <w:rFonts w:hint="eastAsia"/>
                      <w:color w:val="auto"/>
                      <w:kern w:val="0"/>
                      <w:sz w:val="24"/>
                      <w:highlight w:val="none"/>
                      <w:u w:val="none"/>
                      <w:vertAlign w:val="baseline"/>
                      <w:lang w:eastAsia="zh-CN"/>
                    </w:rPr>
                  </w:pPr>
                  <w:r>
                    <w:rPr>
                      <w:rFonts w:hint="eastAsia" w:ascii="Times New Roman" w:hAnsi="Times New Roman" w:eastAsia="宋体" w:cs="Times New Roman"/>
                      <w:color w:val="auto"/>
                      <w:kern w:val="0"/>
                      <w:sz w:val="21"/>
                      <w:szCs w:val="21"/>
                      <w:highlight w:val="none"/>
                      <w:u w:val="none"/>
                      <w:lang w:val="en-US" w:eastAsia="zh-CN" w:bidi="ar"/>
                    </w:rPr>
                    <w:t>324m</w:t>
                  </w:r>
                  <w:r>
                    <w:rPr>
                      <w:rFonts w:hint="eastAsia" w:ascii="Times New Roman" w:hAnsi="Times New Roman" w:eastAsia="宋体" w:cs="Times New Roman"/>
                      <w:color w:val="auto"/>
                      <w:kern w:val="0"/>
                      <w:sz w:val="21"/>
                      <w:szCs w:val="21"/>
                      <w:highlight w:val="none"/>
                      <w:u w:val="none"/>
                      <w:vertAlign w:val="superscript"/>
                      <w:lang w:val="en-US" w:eastAsia="zh-CN" w:bidi="ar"/>
                    </w:rPr>
                    <w:t>3</w:t>
                  </w:r>
                </w:p>
              </w:tc>
              <w:tc>
                <w:tcPr>
                  <w:tcW w:w="1213" w:type="pct"/>
                  <w:noWrap w:val="0"/>
                  <w:vAlign w:val="center"/>
                </w:tcPr>
                <w:p w14:paraId="707D0171">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产生浓度（mg/L）</w:t>
                  </w:r>
                </w:p>
              </w:tc>
              <w:tc>
                <w:tcPr>
                  <w:tcW w:w="817" w:type="pct"/>
                  <w:noWrap w:val="0"/>
                  <w:vAlign w:val="top"/>
                </w:tcPr>
                <w:p w14:paraId="2F7BF45F">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285</w:t>
                  </w:r>
                </w:p>
              </w:tc>
              <w:tc>
                <w:tcPr>
                  <w:tcW w:w="714" w:type="pct"/>
                  <w:noWrap w:val="0"/>
                  <w:vAlign w:val="top"/>
                </w:tcPr>
                <w:p w14:paraId="10412313">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123</w:t>
                  </w:r>
                </w:p>
              </w:tc>
              <w:tc>
                <w:tcPr>
                  <w:tcW w:w="833" w:type="pct"/>
                  <w:noWrap w:val="0"/>
                  <w:vAlign w:val="top"/>
                </w:tcPr>
                <w:p w14:paraId="461D1FD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150</w:t>
                  </w:r>
                </w:p>
              </w:tc>
              <w:tc>
                <w:tcPr>
                  <w:tcW w:w="833" w:type="pct"/>
                  <w:noWrap w:val="0"/>
                  <w:vAlign w:val="top"/>
                </w:tcPr>
                <w:p w14:paraId="597B3298">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28.3</w:t>
                  </w:r>
                </w:p>
              </w:tc>
            </w:tr>
            <w:tr w14:paraId="7838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7" w:type="pct"/>
                  <w:vMerge w:val="continue"/>
                  <w:noWrap w:val="0"/>
                  <w:vAlign w:val="center"/>
                </w:tcPr>
                <w:p w14:paraId="5A8EC651">
                  <w:pPr>
                    <w:spacing w:line="360" w:lineRule="auto"/>
                    <w:jc w:val="center"/>
                    <w:rPr>
                      <w:rFonts w:hint="eastAsia"/>
                      <w:color w:val="auto"/>
                      <w:kern w:val="0"/>
                      <w:sz w:val="24"/>
                      <w:highlight w:val="none"/>
                      <w:u w:val="none"/>
                      <w:vertAlign w:val="baseline"/>
                      <w:lang w:eastAsia="zh-CN"/>
                    </w:rPr>
                  </w:pPr>
                </w:p>
              </w:tc>
              <w:tc>
                <w:tcPr>
                  <w:tcW w:w="1213" w:type="pct"/>
                  <w:noWrap w:val="0"/>
                  <w:vAlign w:val="center"/>
                </w:tcPr>
                <w:p w14:paraId="184453C7">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产生量（t）</w:t>
                  </w:r>
                </w:p>
              </w:tc>
              <w:tc>
                <w:tcPr>
                  <w:tcW w:w="1304" w:type="dxa"/>
                  <w:noWrap w:val="0"/>
                  <w:vAlign w:val="top"/>
                </w:tcPr>
                <w:p w14:paraId="6EFBE84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0.09</w:t>
                  </w:r>
                </w:p>
              </w:tc>
              <w:tc>
                <w:tcPr>
                  <w:tcW w:w="1140" w:type="dxa"/>
                  <w:noWrap w:val="0"/>
                  <w:vAlign w:val="top"/>
                </w:tcPr>
                <w:p w14:paraId="076D64DC">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0.042</w:t>
                  </w:r>
                </w:p>
              </w:tc>
              <w:tc>
                <w:tcPr>
                  <w:tcW w:w="1329" w:type="dxa"/>
                  <w:noWrap w:val="0"/>
                  <w:vAlign w:val="top"/>
                </w:tcPr>
                <w:p w14:paraId="505716F6">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0.048</w:t>
                  </w:r>
                </w:p>
              </w:tc>
              <w:tc>
                <w:tcPr>
                  <w:tcW w:w="1329" w:type="dxa"/>
                  <w:noWrap w:val="0"/>
                  <w:vAlign w:val="top"/>
                </w:tcPr>
                <w:p w14:paraId="5034004C">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0.012</w:t>
                  </w:r>
                </w:p>
              </w:tc>
            </w:tr>
          </w:tbl>
          <w:p w14:paraId="4E37C14B">
            <w:p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项目施工人员生活污水，船舶生活污水采用船舶配备的储污水箱进行收集和贮存，再由有接收能力的单位进行接收处理。</w:t>
            </w:r>
          </w:p>
          <w:p w14:paraId="0890A3BD">
            <w:pPr>
              <w:numPr>
                <w:ilvl w:val="0"/>
                <w:numId w:val="16"/>
              </w:numPr>
              <w:spacing w:line="360" w:lineRule="auto"/>
              <w:ind w:firstLine="482" w:firstLineChars="200"/>
              <w:rPr>
                <w:rFonts w:hint="eastAsia"/>
                <w:b/>
                <w:bCs/>
                <w:color w:val="auto"/>
                <w:sz w:val="24"/>
                <w:highlight w:val="none"/>
                <w:u w:val="none"/>
                <w:shd w:val="clear" w:color="auto" w:fill="FFFFFF"/>
                <w:lang w:eastAsia="zh-CN"/>
              </w:rPr>
            </w:pPr>
            <w:r>
              <w:rPr>
                <w:rFonts w:hint="eastAsia"/>
                <w:b/>
                <w:bCs/>
                <w:color w:val="auto"/>
                <w:sz w:val="24"/>
                <w:highlight w:val="none"/>
                <w:u w:val="none"/>
                <w:shd w:val="clear" w:color="auto" w:fill="FFFFFF"/>
                <w:lang w:eastAsia="zh-CN"/>
              </w:rPr>
              <w:t>船舶含油污水</w:t>
            </w:r>
          </w:p>
          <w:p w14:paraId="5BB1BBBB">
            <w:pPr>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含油污水主要来自施工船舶产生的机舱油污水，本工程拟采用1艘10m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抓斗挖泥船、1艘2500m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泥驳船、1艘3500m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耙吸船等船舶进行施工，根据《水运工程环境保护设计规范》（JTS-149-2018），表4.2.4船舶舱底含油污水水量，各类船舶含油污水产生情况为：10m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抓斗挖泥船参照500t级船舶，舱底含油污水产生量取0.14（t/d·艘）；2500m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泥驳船参照1000~3000t级船舶，舱底含油污水产生量取0.67（t/d·艘）；3500m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耙吸船参照3000~7000t级船舶，舱底含油污水产生量取（t/d·艘）。船舶舱底含油污水含油量无实测资料时，可取值2000mg/L~20000mg/L，本项目参照取值10000mg/L。</w:t>
            </w:r>
          </w:p>
          <w:p w14:paraId="4F658D88">
            <w:pPr>
              <w:keepNext w:val="0"/>
              <w:keepLines w:val="0"/>
              <w:widowControl/>
              <w:suppressLineNumbers w:val="0"/>
              <w:jc w:val="center"/>
              <w:rPr>
                <w:color w:val="auto"/>
                <w:highlight w:val="none"/>
                <w:u w:val="none"/>
              </w:rPr>
            </w:pPr>
            <w:r>
              <w:rPr>
                <w:rFonts w:hint="eastAsia" w:ascii="宋体" w:hAnsi="宋体" w:eastAsia="宋体" w:cs="宋体"/>
                <w:b/>
                <w:bCs/>
                <w:color w:val="auto"/>
                <w:kern w:val="0"/>
                <w:sz w:val="20"/>
                <w:szCs w:val="20"/>
                <w:highlight w:val="none"/>
                <w:u w:val="none"/>
                <w:lang w:val="en-US" w:eastAsia="zh-CN" w:bidi="ar"/>
              </w:rPr>
              <w:t xml:space="preserve">表 </w:t>
            </w:r>
            <w:r>
              <w:rPr>
                <w:rFonts w:hint="eastAsia" w:ascii="Times New Roman" w:hAnsi="Times New Roman" w:eastAsia="宋体" w:cs="Times New Roman"/>
                <w:b/>
                <w:bCs/>
                <w:color w:val="auto"/>
                <w:kern w:val="0"/>
                <w:sz w:val="20"/>
                <w:szCs w:val="20"/>
                <w:highlight w:val="none"/>
                <w:u w:val="none"/>
                <w:lang w:val="en-US" w:eastAsia="zh-CN" w:bidi="ar"/>
              </w:rPr>
              <w:t>4.1-2</w:t>
            </w:r>
            <w:r>
              <w:rPr>
                <w:rFonts w:hint="default" w:ascii="Times New Roman" w:hAnsi="Times New Roman" w:eastAsia="宋体" w:cs="Times New Roman"/>
                <w:b/>
                <w:bCs/>
                <w:color w:val="auto"/>
                <w:kern w:val="0"/>
                <w:sz w:val="20"/>
                <w:szCs w:val="20"/>
                <w:highlight w:val="none"/>
                <w:u w:val="none"/>
                <w:lang w:val="en-US" w:eastAsia="zh-CN" w:bidi="ar"/>
              </w:rPr>
              <w:t xml:space="preserve"> </w:t>
            </w:r>
            <w:r>
              <w:rPr>
                <w:rFonts w:hint="eastAsia" w:ascii="宋体" w:hAnsi="宋体" w:eastAsia="宋体" w:cs="宋体"/>
                <w:b/>
                <w:bCs/>
                <w:color w:val="auto"/>
                <w:kern w:val="0"/>
                <w:sz w:val="20"/>
                <w:szCs w:val="20"/>
                <w:highlight w:val="none"/>
                <w:u w:val="none"/>
                <w:lang w:val="en-US" w:eastAsia="zh-CN" w:bidi="ar"/>
              </w:rPr>
              <w:t>施工船舶舱底油污水产生情况</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961"/>
              <w:gridCol w:w="1345"/>
              <w:gridCol w:w="971"/>
              <w:gridCol w:w="963"/>
              <w:gridCol w:w="1255"/>
              <w:gridCol w:w="1161"/>
              <w:gridCol w:w="1211"/>
            </w:tblGrid>
            <w:tr w14:paraId="4FED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11" w:type="pct"/>
                  <w:vMerge w:val="restart"/>
                  <w:noWrap w:val="0"/>
                  <w:vAlign w:val="center"/>
                </w:tcPr>
                <w:p w14:paraId="163465F7">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船舶类型</w:t>
                  </w:r>
                </w:p>
              </w:tc>
              <w:tc>
                <w:tcPr>
                  <w:tcW w:w="524" w:type="pct"/>
                  <w:vMerge w:val="restart"/>
                  <w:noWrap w:val="0"/>
                  <w:vAlign w:val="center"/>
                </w:tcPr>
                <w:p w14:paraId="4EDF0D0C">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施工船舶（艘）</w:t>
                  </w:r>
                </w:p>
              </w:tc>
              <w:tc>
                <w:tcPr>
                  <w:tcW w:w="733" w:type="pct"/>
                  <w:vMerge w:val="restart"/>
                  <w:noWrap w:val="0"/>
                  <w:vAlign w:val="center"/>
                </w:tcPr>
                <w:p w14:paraId="02C3A884">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舱底油污水产生量（t/d·艘）</w:t>
                  </w:r>
                </w:p>
              </w:tc>
              <w:tc>
                <w:tcPr>
                  <w:tcW w:w="1054" w:type="pct"/>
                  <w:gridSpan w:val="2"/>
                  <w:noWrap w:val="0"/>
                  <w:vAlign w:val="center"/>
                </w:tcPr>
                <w:p w14:paraId="566CA70D">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污水量</w:t>
                  </w:r>
                </w:p>
              </w:tc>
              <w:tc>
                <w:tcPr>
                  <w:tcW w:w="1977" w:type="pct"/>
                  <w:gridSpan w:val="3"/>
                  <w:noWrap w:val="0"/>
                  <w:vAlign w:val="center"/>
                </w:tcPr>
                <w:p w14:paraId="21738DC3">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石油类产生量</w:t>
                  </w:r>
                </w:p>
              </w:tc>
            </w:tr>
            <w:tr w14:paraId="4D5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11" w:type="pct"/>
                  <w:vMerge w:val="continue"/>
                  <w:noWrap w:val="0"/>
                  <w:vAlign w:val="center"/>
                </w:tcPr>
                <w:p w14:paraId="5050E187">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p>
              </w:tc>
              <w:tc>
                <w:tcPr>
                  <w:tcW w:w="524" w:type="pct"/>
                  <w:vMerge w:val="continue"/>
                  <w:noWrap w:val="0"/>
                  <w:vAlign w:val="center"/>
                </w:tcPr>
                <w:p w14:paraId="1C50581B">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p>
              </w:tc>
              <w:tc>
                <w:tcPr>
                  <w:tcW w:w="733" w:type="pct"/>
                  <w:vMerge w:val="continue"/>
                  <w:noWrap w:val="0"/>
                  <w:vAlign w:val="center"/>
                </w:tcPr>
                <w:p w14:paraId="73046385">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p>
              </w:tc>
              <w:tc>
                <w:tcPr>
                  <w:tcW w:w="529" w:type="pct"/>
                  <w:noWrap w:val="0"/>
                  <w:vAlign w:val="center"/>
                </w:tcPr>
                <w:p w14:paraId="329E25AA">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日产生量m</w:t>
                  </w:r>
                  <w:r>
                    <w:rPr>
                      <w:rFonts w:hint="eastAsia" w:ascii="Times New Roman" w:hAnsi="Times New Roman" w:eastAsia="宋体" w:cs="Times New Roman"/>
                      <w:color w:val="auto"/>
                      <w:kern w:val="0"/>
                      <w:sz w:val="21"/>
                      <w:szCs w:val="21"/>
                      <w:highlight w:val="none"/>
                      <w:u w:val="none"/>
                      <w:vertAlign w:val="super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/d</w:t>
                  </w:r>
                </w:p>
              </w:tc>
              <w:tc>
                <w:tcPr>
                  <w:tcW w:w="524" w:type="pct"/>
                  <w:noWrap w:val="0"/>
                  <w:vAlign w:val="center"/>
                </w:tcPr>
                <w:p w14:paraId="5066461B">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总产生量m</w:t>
                  </w:r>
                  <w:r>
                    <w:rPr>
                      <w:rFonts w:hint="eastAsia" w:ascii="Times New Roman" w:hAnsi="Times New Roman" w:eastAsia="宋体" w:cs="Times New Roman"/>
                      <w:color w:val="auto"/>
                      <w:kern w:val="0"/>
                      <w:sz w:val="21"/>
                      <w:szCs w:val="21"/>
                      <w:highlight w:val="none"/>
                      <w:u w:val="none"/>
                      <w:vertAlign w:val="super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/a</w:t>
                  </w:r>
                </w:p>
              </w:tc>
              <w:tc>
                <w:tcPr>
                  <w:tcW w:w="684" w:type="pct"/>
                  <w:noWrap w:val="0"/>
                  <w:vAlign w:val="center"/>
                </w:tcPr>
                <w:p w14:paraId="6E47B1C7">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浓度（mg/L）</w:t>
                  </w:r>
                </w:p>
              </w:tc>
              <w:tc>
                <w:tcPr>
                  <w:tcW w:w="633" w:type="pct"/>
                  <w:noWrap w:val="0"/>
                  <w:vAlign w:val="center"/>
                </w:tcPr>
                <w:p w14:paraId="0FE0DF6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产生量（kg/d）</w:t>
                  </w:r>
                </w:p>
              </w:tc>
              <w:tc>
                <w:tcPr>
                  <w:tcW w:w="660" w:type="pct"/>
                  <w:noWrap w:val="0"/>
                  <w:vAlign w:val="center"/>
                </w:tcPr>
                <w:p w14:paraId="1935ED7A">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总产生量t/a</w:t>
                  </w:r>
                </w:p>
              </w:tc>
            </w:tr>
            <w:tr w14:paraId="7884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23C5CAE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10m</w:t>
                  </w:r>
                  <w:r>
                    <w:rPr>
                      <w:rFonts w:hint="eastAsia" w:ascii="Times New Roman" w:hAnsi="Times New Roman" w:eastAsia="宋体" w:cs="Times New Roman"/>
                      <w:color w:val="auto"/>
                      <w:kern w:val="0"/>
                      <w:sz w:val="21"/>
                      <w:szCs w:val="21"/>
                      <w:highlight w:val="none"/>
                      <w:u w:val="none"/>
                      <w:vertAlign w:val="super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抓斗挖泥船</w:t>
                  </w:r>
                </w:p>
              </w:tc>
              <w:tc>
                <w:tcPr>
                  <w:tcW w:w="524" w:type="pct"/>
                  <w:noWrap w:val="0"/>
                  <w:vAlign w:val="center"/>
                </w:tcPr>
                <w:p w14:paraId="3B68886D">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p>
              </w:tc>
              <w:tc>
                <w:tcPr>
                  <w:tcW w:w="733" w:type="pct"/>
                  <w:noWrap w:val="0"/>
                  <w:vAlign w:val="center"/>
                </w:tcPr>
                <w:p w14:paraId="1D8446A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0.14</w:t>
                  </w:r>
                </w:p>
              </w:tc>
              <w:tc>
                <w:tcPr>
                  <w:tcW w:w="529" w:type="pct"/>
                  <w:noWrap w:val="0"/>
                  <w:vAlign w:val="center"/>
                </w:tcPr>
                <w:p w14:paraId="3004D3C6">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0.14</w:t>
                  </w:r>
                </w:p>
              </w:tc>
              <w:tc>
                <w:tcPr>
                  <w:tcW w:w="524" w:type="pct"/>
                  <w:noWrap w:val="0"/>
                  <w:vAlign w:val="center"/>
                </w:tcPr>
                <w:p w14:paraId="36F5B3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12.6</w:t>
                  </w:r>
                </w:p>
              </w:tc>
              <w:tc>
                <w:tcPr>
                  <w:tcW w:w="684" w:type="pct"/>
                  <w:vMerge w:val="restart"/>
                  <w:noWrap w:val="0"/>
                  <w:vAlign w:val="center"/>
                </w:tcPr>
                <w:p w14:paraId="60CEB42F">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10000</w:t>
                  </w:r>
                </w:p>
              </w:tc>
              <w:tc>
                <w:tcPr>
                  <w:tcW w:w="633" w:type="pct"/>
                  <w:noWrap w:val="0"/>
                  <w:vAlign w:val="center"/>
                </w:tcPr>
                <w:p w14:paraId="080BC21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660" w:type="pct"/>
                  <w:noWrap w:val="0"/>
                  <w:vAlign w:val="center"/>
                </w:tcPr>
                <w:p w14:paraId="72988E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0.126</w:t>
                  </w:r>
                </w:p>
              </w:tc>
            </w:tr>
            <w:tr w14:paraId="3CA8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7B397B14">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2500m</w:t>
                  </w:r>
                  <w:r>
                    <w:rPr>
                      <w:rFonts w:hint="eastAsia" w:ascii="Times New Roman" w:hAnsi="Times New Roman" w:eastAsia="宋体" w:cs="Times New Roman"/>
                      <w:color w:val="auto"/>
                      <w:kern w:val="0"/>
                      <w:sz w:val="21"/>
                      <w:szCs w:val="21"/>
                      <w:highlight w:val="none"/>
                      <w:u w:val="none"/>
                      <w:vertAlign w:val="super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泥驳船</w:t>
                  </w:r>
                </w:p>
              </w:tc>
              <w:tc>
                <w:tcPr>
                  <w:tcW w:w="524" w:type="pct"/>
                  <w:noWrap w:val="0"/>
                  <w:vAlign w:val="center"/>
                </w:tcPr>
                <w:p w14:paraId="23E2AD3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p>
              </w:tc>
              <w:tc>
                <w:tcPr>
                  <w:tcW w:w="733" w:type="pct"/>
                  <w:noWrap w:val="0"/>
                  <w:vAlign w:val="center"/>
                </w:tcPr>
                <w:p w14:paraId="036EF1DA">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0.67</w:t>
                  </w:r>
                </w:p>
              </w:tc>
              <w:tc>
                <w:tcPr>
                  <w:tcW w:w="529" w:type="pct"/>
                  <w:noWrap w:val="0"/>
                  <w:vAlign w:val="center"/>
                </w:tcPr>
                <w:p w14:paraId="485563BC">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0.67</w:t>
                  </w:r>
                </w:p>
              </w:tc>
              <w:tc>
                <w:tcPr>
                  <w:tcW w:w="524" w:type="pct"/>
                  <w:noWrap w:val="0"/>
                  <w:vAlign w:val="center"/>
                </w:tcPr>
                <w:p w14:paraId="258639C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60.3</w:t>
                  </w:r>
                </w:p>
              </w:tc>
              <w:tc>
                <w:tcPr>
                  <w:tcW w:w="684" w:type="pct"/>
                  <w:vMerge w:val="continue"/>
                  <w:noWrap w:val="0"/>
                  <w:vAlign w:val="center"/>
                </w:tcPr>
                <w:p w14:paraId="17146133">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p>
              </w:tc>
              <w:tc>
                <w:tcPr>
                  <w:tcW w:w="633" w:type="pct"/>
                  <w:noWrap w:val="0"/>
                  <w:vAlign w:val="center"/>
                </w:tcPr>
                <w:p w14:paraId="4668FCD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660" w:type="pct"/>
                  <w:noWrap w:val="0"/>
                  <w:vAlign w:val="center"/>
                </w:tcPr>
                <w:p w14:paraId="3E2268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0.606</w:t>
                  </w:r>
                </w:p>
              </w:tc>
            </w:tr>
            <w:tr w14:paraId="691D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center"/>
                </w:tcPr>
                <w:p w14:paraId="25FDE212">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3500m</w:t>
                  </w:r>
                  <w:r>
                    <w:rPr>
                      <w:rFonts w:hint="eastAsia" w:ascii="Times New Roman" w:hAnsi="Times New Roman" w:eastAsia="宋体" w:cs="Times New Roman"/>
                      <w:color w:val="auto"/>
                      <w:kern w:val="0"/>
                      <w:sz w:val="21"/>
                      <w:szCs w:val="21"/>
                      <w:highlight w:val="none"/>
                      <w:u w:val="none"/>
                      <w:vertAlign w:val="superscript"/>
                      <w:lang w:val="en-US" w:eastAsia="zh-CN" w:bidi="ar"/>
                    </w:rPr>
                    <w:t>3</w:t>
                  </w:r>
                  <w:r>
                    <w:rPr>
                      <w:rFonts w:hint="eastAsia" w:ascii="Times New Roman" w:hAnsi="Times New Roman" w:eastAsia="宋体" w:cs="Times New Roman"/>
                      <w:color w:val="auto"/>
                      <w:kern w:val="0"/>
                      <w:sz w:val="21"/>
                      <w:szCs w:val="21"/>
                      <w:highlight w:val="none"/>
                      <w:u w:val="none"/>
                      <w:lang w:val="en-US" w:eastAsia="zh-CN" w:bidi="ar"/>
                    </w:rPr>
                    <w:t>耙吸船</w:t>
                  </w:r>
                </w:p>
              </w:tc>
              <w:tc>
                <w:tcPr>
                  <w:tcW w:w="524" w:type="pct"/>
                  <w:noWrap w:val="0"/>
                  <w:vAlign w:val="center"/>
                </w:tcPr>
                <w:p w14:paraId="03586100">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w:t>
                  </w:r>
                </w:p>
              </w:tc>
              <w:tc>
                <w:tcPr>
                  <w:tcW w:w="733" w:type="pct"/>
                  <w:noWrap w:val="0"/>
                  <w:vAlign w:val="center"/>
                </w:tcPr>
                <w:p w14:paraId="0B1B08B5">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0.95</w:t>
                  </w:r>
                </w:p>
              </w:tc>
              <w:tc>
                <w:tcPr>
                  <w:tcW w:w="529" w:type="pct"/>
                  <w:noWrap w:val="0"/>
                  <w:vAlign w:val="center"/>
                </w:tcPr>
                <w:p w14:paraId="580B5B47">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0.95</w:t>
                  </w:r>
                </w:p>
              </w:tc>
              <w:tc>
                <w:tcPr>
                  <w:tcW w:w="524" w:type="pct"/>
                  <w:noWrap w:val="0"/>
                  <w:vAlign w:val="center"/>
                </w:tcPr>
                <w:p w14:paraId="46602C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85.5</w:t>
                  </w:r>
                </w:p>
              </w:tc>
              <w:tc>
                <w:tcPr>
                  <w:tcW w:w="684" w:type="pct"/>
                  <w:vMerge w:val="continue"/>
                  <w:noWrap w:val="0"/>
                  <w:vAlign w:val="center"/>
                </w:tcPr>
                <w:p w14:paraId="7C78DB41">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p>
              </w:tc>
              <w:tc>
                <w:tcPr>
                  <w:tcW w:w="633" w:type="pct"/>
                  <w:noWrap w:val="0"/>
                  <w:vAlign w:val="center"/>
                </w:tcPr>
                <w:p w14:paraId="1CF52F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660" w:type="pct"/>
                  <w:noWrap w:val="0"/>
                  <w:vAlign w:val="center"/>
                </w:tcPr>
                <w:p w14:paraId="790FDD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0.858</w:t>
                  </w:r>
                </w:p>
              </w:tc>
            </w:tr>
            <w:tr w14:paraId="7B43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pct"/>
                  <w:gridSpan w:val="3"/>
                  <w:noWrap w:val="0"/>
                  <w:vAlign w:val="center"/>
                </w:tcPr>
                <w:p w14:paraId="32531E9F">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合计</w:t>
                  </w:r>
                </w:p>
              </w:tc>
              <w:tc>
                <w:tcPr>
                  <w:tcW w:w="529" w:type="pct"/>
                  <w:noWrap w:val="0"/>
                  <w:vAlign w:val="center"/>
                </w:tcPr>
                <w:p w14:paraId="44E1FAC0">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1.76</w:t>
                  </w:r>
                </w:p>
              </w:tc>
              <w:tc>
                <w:tcPr>
                  <w:tcW w:w="524" w:type="pct"/>
                  <w:noWrap w:val="0"/>
                  <w:vAlign w:val="center"/>
                </w:tcPr>
                <w:p w14:paraId="40A4D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158.4</w:t>
                  </w:r>
                </w:p>
              </w:tc>
              <w:tc>
                <w:tcPr>
                  <w:tcW w:w="684" w:type="pct"/>
                  <w:noWrap w:val="0"/>
                  <w:vAlign w:val="center"/>
                </w:tcPr>
                <w:p w14:paraId="48B6C591">
                  <w:pPr>
                    <w:keepNext w:val="0"/>
                    <w:keepLines w:val="0"/>
                    <w:widowControl/>
                    <w:suppressLineNumbers w:val="0"/>
                    <w:jc w:val="center"/>
                    <w:rPr>
                      <w:rFonts w:hint="default" w:ascii="Times New Roman" w:hAnsi="Times New Roman" w:eastAsia="宋体" w:cs="Times New Roman"/>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u w:val="none"/>
                      <w:lang w:val="en-US" w:eastAsia="zh-CN" w:bidi="ar"/>
                    </w:rPr>
                    <w:t>/</w:t>
                  </w:r>
                </w:p>
              </w:tc>
              <w:tc>
                <w:tcPr>
                  <w:tcW w:w="633" w:type="pct"/>
                  <w:noWrap w:val="0"/>
                  <w:vAlign w:val="center"/>
                </w:tcPr>
                <w:p w14:paraId="73BB7D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17.6</w:t>
                  </w:r>
                </w:p>
              </w:tc>
              <w:tc>
                <w:tcPr>
                  <w:tcW w:w="660" w:type="pct"/>
                  <w:noWrap w:val="0"/>
                  <w:vAlign w:val="center"/>
                </w:tcPr>
                <w:p w14:paraId="5649BA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1.584</w:t>
                  </w:r>
                </w:p>
              </w:tc>
            </w:tr>
          </w:tbl>
          <w:p w14:paraId="1D585983">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根据《船舶水污染物排放控制标准》</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GB 3552-2018</w:t>
            </w:r>
            <w:r>
              <w:rPr>
                <w:rFonts w:hint="eastAsia" w:ascii="Times New Roman" w:hAnsi="Times New Roman" w:eastAsia="宋体" w:cs="Times New Roman"/>
                <w:color w:val="auto"/>
                <w:kern w:val="0"/>
                <w:sz w:val="24"/>
                <w:szCs w:val="24"/>
                <w:highlight w:val="none"/>
                <w:lang w:val="en-US" w:eastAsia="zh-CN" w:bidi="ar-SA"/>
              </w:rPr>
              <w:t>）</w:t>
            </w:r>
            <w:r>
              <w:rPr>
                <w:rFonts w:hint="eastAsia" w:ascii="宋体" w:hAnsi="Courier New" w:eastAsia="宋体" w:cs="Times New Roman"/>
                <w:color w:val="auto"/>
                <w:sz w:val="24"/>
                <w:szCs w:val="24"/>
                <w:highlight w:val="none"/>
                <w:lang w:val="en-US" w:eastAsia="zh-CN"/>
              </w:rPr>
              <w:t>的规定，本工程船舶含油污水全部收集并</w:t>
            </w:r>
            <w:r>
              <w:rPr>
                <w:rFonts w:hint="eastAsia" w:cs="Times New Roman"/>
                <w:color w:val="auto"/>
                <w:sz w:val="24"/>
                <w:szCs w:val="24"/>
                <w:highlight w:val="none"/>
                <w:lang w:val="en-US" w:eastAsia="zh-CN"/>
              </w:rPr>
              <w:t>排入</w:t>
            </w:r>
            <w:r>
              <w:rPr>
                <w:rFonts w:hint="eastAsia" w:ascii="宋体" w:hAnsi="Courier New" w:eastAsia="宋体" w:cs="Times New Roman"/>
                <w:color w:val="auto"/>
                <w:sz w:val="24"/>
                <w:szCs w:val="24"/>
                <w:highlight w:val="none"/>
                <w:lang w:val="en-US" w:eastAsia="zh-CN"/>
              </w:rPr>
              <w:t>接收设施，上岸后由有接收能力的单位接收处置，接收及转运过程接受生态环境管理部门监督，禁止直接排入海水中。</w:t>
            </w:r>
          </w:p>
          <w:p w14:paraId="5DD82E22">
            <w:pPr>
              <w:numPr>
                <w:ilvl w:val="0"/>
                <w:numId w:val="16"/>
              </w:numPr>
              <w:spacing w:line="360" w:lineRule="auto"/>
              <w:ind w:firstLine="482" w:firstLineChars="200"/>
              <w:rPr>
                <w:rFonts w:hint="eastAsia"/>
                <w:b/>
                <w:bCs/>
                <w:color w:val="auto"/>
                <w:sz w:val="24"/>
                <w:highlight w:val="none"/>
                <w:u w:val="none"/>
                <w:shd w:val="clear" w:color="auto" w:fill="FFFFFF"/>
                <w:lang w:eastAsia="zh-CN"/>
              </w:rPr>
            </w:pPr>
            <w:r>
              <w:rPr>
                <w:rFonts w:hint="eastAsia"/>
                <w:b/>
                <w:bCs/>
                <w:color w:val="auto"/>
                <w:sz w:val="24"/>
                <w:highlight w:val="none"/>
                <w:u w:val="none"/>
                <w:shd w:val="clear" w:color="auto" w:fill="FFFFFF"/>
                <w:lang w:eastAsia="zh-CN"/>
              </w:rPr>
              <w:t>悬浮泥沙对水质环境影响</w:t>
            </w:r>
          </w:p>
          <w:p w14:paraId="0FA769A8">
            <w:pPr>
              <w:pStyle w:val="43"/>
              <w:numPr>
                <w:ilvl w:val="0"/>
                <w:numId w:val="17"/>
              </w:numPr>
              <w:tabs>
                <w:tab w:val="left" w:pos="216"/>
              </w:tabs>
              <w:ind w:left="0" w:leftChars="0" w:firstLine="482" w:firstLineChars="200"/>
              <w:rPr>
                <w:rFonts w:hint="default" w:ascii="Times New Roman" w:hAnsi="Times New Roman" w:eastAsia="宋体" w:cs="Times New Roman"/>
                <w:b/>
                <w:bCs/>
                <w:color w:val="auto"/>
                <w:kern w:val="2"/>
                <w:sz w:val="24"/>
                <w:szCs w:val="24"/>
                <w:highlight w:val="none"/>
                <w:u w:val="single"/>
                <w:lang w:val="en-US" w:eastAsia="zh-CN" w:bidi="ar-SA"/>
              </w:rPr>
            </w:pPr>
            <w:r>
              <w:rPr>
                <w:rFonts w:hint="eastAsia" w:ascii="Times New Roman" w:hAnsi="Times New Roman" w:eastAsia="宋体" w:cs="Times New Roman"/>
                <w:b/>
                <w:bCs/>
                <w:color w:val="auto"/>
                <w:kern w:val="2"/>
                <w:sz w:val="24"/>
                <w:szCs w:val="24"/>
                <w:highlight w:val="none"/>
                <w:u w:val="single"/>
                <w:lang w:val="en-US" w:eastAsia="zh-CN" w:bidi="ar-SA"/>
              </w:rPr>
              <w:t>计算公式</w:t>
            </w:r>
          </w:p>
          <w:p w14:paraId="397E3DB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采用二维悬沙输运方程预测施工期产生的悬浮物对水质的影响，平面二维悬沙运动方程如下：</w:t>
            </w:r>
          </w:p>
          <w:p w14:paraId="359BD2C3">
            <w:pPr>
              <w:pStyle w:val="9"/>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805555" cy="600710"/>
                  <wp:effectExtent l="0" t="0" r="4445" b="889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2"/>
                          <a:stretch>
                            <a:fillRect/>
                          </a:stretch>
                        </pic:blipFill>
                        <pic:spPr>
                          <a:xfrm>
                            <a:off x="0" y="0"/>
                            <a:ext cx="3805555" cy="600710"/>
                          </a:xfrm>
                          <a:prstGeom prst="rect">
                            <a:avLst/>
                          </a:prstGeom>
                          <a:noFill/>
                          <a:ln>
                            <a:noFill/>
                          </a:ln>
                        </pic:spPr>
                      </pic:pic>
                    </a:graphicData>
                  </a:graphic>
                </wp:inline>
              </w:drawing>
            </w:r>
          </w:p>
          <w:p w14:paraId="6A03B79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式中C 为垂向平均含沙量，ε 为垂向平均的扩散系数， FC为：</w:t>
            </w:r>
          </w:p>
          <w:p w14:paraId="73FF3FDE">
            <w:pPr>
              <w:pStyle w:val="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933700" cy="676275"/>
                  <wp:effectExtent l="0" t="0" r="0" b="952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3"/>
                          <a:stretch>
                            <a:fillRect/>
                          </a:stretch>
                        </pic:blipFill>
                        <pic:spPr>
                          <a:xfrm>
                            <a:off x="0" y="0"/>
                            <a:ext cx="2933700" cy="676275"/>
                          </a:xfrm>
                          <a:prstGeom prst="rect">
                            <a:avLst/>
                          </a:prstGeom>
                          <a:noFill/>
                          <a:ln>
                            <a:noFill/>
                          </a:ln>
                        </pic:spPr>
                      </pic:pic>
                    </a:graphicData>
                  </a:graphic>
                </wp:inline>
              </w:drawing>
            </w:r>
          </w:p>
          <w:p w14:paraId="5B7B1B5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Sc为输入源强，a 为沉积系数，M 为冲刷系数，τ b 为底部切应力，e τ 为临界冲刷切应力，τ d 为临界淤积切应力。</w:t>
            </w:r>
          </w:p>
          <w:p w14:paraId="61E2ABC2">
            <w:pPr>
              <w:pStyle w:val="43"/>
              <w:numPr>
                <w:ilvl w:val="0"/>
                <w:numId w:val="17"/>
              </w:numPr>
              <w:tabs>
                <w:tab w:val="left" w:pos="216"/>
              </w:tabs>
              <w:ind w:left="0" w:leftChars="0" w:firstLine="482" w:firstLineChars="200"/>
              <w:rPr>
                <w:rFonts w:hint="eastAsia" w:ascii="宋体" w:hAnsi="宋体" w:eastAsia="宋体" w:cs="宋体"/>
                <w:b/>
                <w:bCs/>
                <w:color w:val="auto"/>
                <w:kern w:val="2"/>
                <w:sz w:val="24"/>
                <w:szCs w:val="24"/>
                <w:highlight w:val="none"/>
                <w:u w:val="single"/>
                <w:lang w:val="en-US" w:eastAsia="zh-CN" w:bidi="ar-SA"/>
              </w:rPr>
            </w:pPr>
            <w:r>
              <w:rPr>
                <w:rFonts w:hint="eastAsia" w:ascii="宋体" w:hAnsi="宋体" w:eastAsia="宋体" w:cs="宋体"/>
                <w:b/>
                <w:bCs/>
                <w:color w:val="auto"/>
                <w:kern w:val="2"/>
                <w:sz w:val="24"/>
                <w:szCs w:val="24"/>
                <w:highlight w:val="none"/>
                <w:u w:val="single"/>
                <w:lang w:val="en-US" w:eastAsia="zh-CN" w:bidi="ar-SA"/>
              </w:rPr>
              <w:t>潮流数值模型及验证</w:t>
            </w:r>
          </w:p>
          <w:p w14:paraId="260544A4">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本次数值模型验证实测资料选取福州市华测品标检测有限公司在工程附近实测的3个临时潮位站（H1、H2、H3）、9个潮流站（V1～V9）进行验证，验证点与项目位置关系见图4.1-1。时期选择2023年2月6日11:00～2月7日12:00共26个小时，时期为典型大潮期。报告将结合水文观测资料对潮流模型进行验证计算。</w:t>
            </w:r>
          </w:p>
          <w:p w14:paraId="4F1B8B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color w:val="auto"/>
                <w:sz w:val="24"/>
                <w:szCs w:val="24"/>
                <w:highlight w:val="none"/>
                <w:u w:val="single"/>
              </w:rPr>
            </w:pPr>
            <w:r>
              <w:rPr>
                <w:rFonts w:hint="eastAsia" w:ascii="宋体" w:hAnsi="宋体" w:eastAsia="宋体" w:cs="宋体"/>
                <w:color w:val="auto"/>
                <w:sz w:val="24"/>
                <w:szCs w:val="24"/>
                <w:highlight w:val="none"/>
                <w:u w:val="single"/>
                <w:lang w:val="en-US" w:eastAsia="zh-CN"/>
              </w:rPr>
              <mc:AlternateContent>
                <mc:Choice Requires="wpg">
                  <w:drawing>
                    <wp:anchor distT="0" distB="0" distL="114300" distR="114300" simplePos="0" relativeHeight="251661312" behindDoc="0" locked="0" layoutInCell="1" allowOverlap="1">
                      <wp:simplePos x="0" y="0"/>
                      <wp:positionH relativeFrom="column">
                        <wp:posOffset>2731135</wp:posOffset>
                      </wp:positionH>
                      <wp:positionV relativeFrom="paragraph">
                        <wp:posOffset>509270</wp:posOffset>
                      </wp:positionV>
                      <wp:extent cx="932180" cy="361950"/>
                      <wp:effectExtent l="0" t="4445" r="20320" b="14605"/>
                      <wp:wrapNone/>
                      <wp:docPr id="318" name="组合 318"/>
                      <wp:cNvGraphicFramePr/>
                      <a:graphic xmlns:a="http://schemas.openxmlformats.org/drawingml/2006/main">
                        <a:graphicData uri="http://schemas.microsoft.com/office/word/2010/wordprocessingGroup">
                          <wpg:wgp>
                            <wpg:cNvGrpSpPr/>
                            <wpg:grpSpPr>
                              <a:xfrm>
                                <a:off x="0" y="0"/>
                                <a:ext cx="932180" cy="361950"/>
                                <a:chOff x="6095" y="2411320"/>
                                <a:chExt cx="1468" cy="570"/>
                              </a:xfrm>
                              <a:effectLst/>
                            </wpg:grpSpPr>
                            <wps:wsp>
                              <wps:cNvPr id="319" name="椭圆 77"/>
                              <wps:cNvSpPr/>
                              <wps:spPr>
                                <a:xfrm>
                                  <a:off x="6095" y="2411740"/>
                                  <a:ext cx="148" cy="150"/>
                                </a:xfrm>
                                <a:prstGeom prst="ellipse">
                                  <a:avLst/>
                                </a:prstGeom>
                                <a:solidFill>
                                  <a:srgbClr val="FF0000"/>
                                </a:solidFill>
                                <a:ln>
                                  <a:noFill/>
                                </a:ln>
                                <a:effectLst/>
                              </wps:spPr>
                              <wps:bodyPr vert="horz" wrap="square" anchor="t" anchorCtr="0" upright="1"/>
                            </wps:wsp>
                            <wps:wsp>
                              <wps:cNvPr id="320" name="自选图形 78"/>
                              <wps:cNvSpPr/>
                              <wps:spPr>
                                <a:xfrm>
                                  <a:off x="6559" y="2411320"/>
                                  <a:ext cx="1005" cy="450"/>
                                </a:xfrm>
                                <a:prstGeom prst="wedgeRectCallout">
                                  <a:avLst>
                                    <a:gd name="adj1" fmla="val -84029"/>
                                    <a:gd name="adj2" fmla="val 60000"/>
                                  </a:avLst>
                                </a:prstGeom>
                                <a:solidFill>
                                  <a:srgbClr val="FFFFFF"/>
                                </a:solidFill>
                                <a:ln w="9525" cap="flat" cmpd="sng">
                                  <a:solidFill>
                                    <a:srgbClr val="000000"/>
                                  </a:solidFill>
                                  <a:prstDash val="solid"/>
                                  <a:miter/>
                                  <a:headEnd type="none" w="med" len="med"/>
                                  <a:tailEnd type="none" w="med" len="med"/>
                                </a:ln>
                                <a:effectLst/>
                              </wps:spPr>
                              <wps:txbx>
                                <w:txbxContent>
                                  <w:p w14:paraId="5961F2C6">
                                    <w:pPr>
                                      <w:spacing w:line="240" w:lineRule="auto"/>
                                      <w:ind w:firstLine="0" w:firstLineChars="0"/>
                                      <w:rPr>
                                        <w:b/>
                                        <w:bCs/>
                                      </w:rPr>
                                    </w:pPr>
                                    <w:r>
                                      <w:rPr>
                                        <w:rFonts w:hint="eastAsia"/>
                                        <w:b/>
                                        <w:bCs/>
                                        <w:sz w:val="21"/>
                                        <w:szCs w:val="21"/>
                                      </w:rPr>
                                      <w:t>本项目</w:t>
                                    </w:r>
                                  </w:p>
                                </w:txbxContent>
                              </wps:txbx>
                              <wps:bodyPr vert="horz" wrap="square" anchor="t" anchorCtr="0" upright="1"/>
                            </wps:wsp>
                          </wpg:wgp>
                        </a:graphicData>
                      </a:graphic>
                    </wp:anchor>
                  </w:drawing>
                </mc:Choice>
                <mc:Fallback>
                  <w:pict>
                    <v:group id="_x0000_s1026" o:spid="_x0000_s1026" o:spt="203" style="position:absolute;left:0pt;margin-left:215.05pt;margin-top:40.1pt;height:28.5pt;width:73.4pt;z-index:251661312;mso-width-relative:page;mso-height-relative:page;" coordorigin="6095,2411320" coordsize="1468,570" o:gfxdata="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oIUE59sAAAAKAQAADwAAAAAAAAABACAAAAAiAAAAZHJzL2Rvd25y&#10;ZXYueG1sUEsBAhQAFAAAAAgAh07iQCTN5k4YAwAA4QcAAA4AAAAAAAAAAQAgAAAAKgEAAGRycy9l&#10;Mm9Eb2MueG1sUEsFBgAAAAAGAAYAWQEAALQGAAAAAA==&#10;">
                      <o:lock v:ext="edit" aspectratio="f"/>
                      <v:shape id="椭圆 77" o:spid="_x0000_s1026" o:spt="3" type="#_x0000_t3" style="position:absolute;left:6095;top:2411740;height:150;width:148;" fillcolor="#FF0000" filled="t" stroked="f" coordsize="21600,21600" o:gfxdata="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fSS/&#10;AAAA3AAAAA8AAAAAAAAAAQAgAAAAIgAAAGRycy9kb3ducmV2LnhtbFBLAQIUABQAAAAIAIdO4kAz&#10;LwWeOwAAADkAAAAQAAAAAAAAAAEAIAAAAA4BAABkcnMvc2hhcGV4bWwueG1sUEsFBgAAAAAGAAYA&#10;WwEAALgDAAAAAA==&#10;">
                        <v:fill on="t" focussize="0,0"/>
                        <v:stroke on="f"/>
                        <v:imagedata o:title=""/>
                        <o:lock v:ext="edit" aspectratio="f"/>
                      </v:shape>
                      <v:shape id="自选图形 78" o:spid="_x0000_s1026" o:spt="61" type="#_x0000_t61" style="position:absolute;left:6559;top:2411320;height:450;width:1005;" fillcolor="#FFFFFF" filled="t" stroked="t" coordsize="21600,21600" o:gfxdata="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clVbsAAADc&#10;AAAADwAAAAAAAAABACAAAAAiAAAAZHJzL2Rvd25yZXYueG1sUEsBAhQAFAAAAAgAh07iQDMvBZ47&#10;AAAAOQAAABAAAAAAAAAAAQAgAAAACgEAAGRycy9zaGFwZXhtbC54bWxQSwUGAAAAAAYABgBbAQAA&#10;tAMAAAAA&#10;" adj="-7350,23760">
                        <v:fill on="t" focussize="0,0"/>
                        <v:stroke color="#000000" joinstyle="miter"/>
                        <v:imagedata o:title=""/>
                        <o:lock v:ext="edit" aspectratio="f"/>
                        <v:textbox>
                          <w:txbxContent>
                            <w:p w14:paraId="5961F2C6">
                              <w:pPr>
                                <w:spacing w:line="240" w:lineRule="auto"/>
                                <w:ind w:firstLine="0" w:firstLineChars="0"/>
                                <w:rPr>
                                  <w:b/>
                                  <w:bCs/>
                                </w:rPr>
                              </w:pPr>
                              <w:r>
                                <w:rPr>
                                  <w:rFonts w:hint="eastAsia"/>
                                  <w:b/>
                                  <w:bCs/>
                                  <w:sz w:val="21"/>
                                  <w:szCs w:val="21"/>
                                </w:rPr>
                                <w:t>本项目</w:t>
                              </w:r>
                            </w:p>
                          </w:txbxContent>
                        </v:textbox>
                      </v:shape>
                    </v:group>
                  </w:pict>
                </mc:Fallback>
              </mc:AlternateContent>
            </w:r>
            <w:r>
              <w:rPr>
                <w:rFonts w:hint="eastAsia" w:ascii="宋体" w:hAnsi="宋体" w:eastAsia="宋体" w:cs="宋体"/>
                <w:color w:val="auto"/>
                <w:sz w:val="24"/>
                <w:szCs w:val="24"/>
                <w:highlight w:val="none"/>
                <w:u w:val="single"/>
                <w:lang w:val="en-US" w:eastAsia="zh-CN"/>
              </w:rPr>
              <w:drawing>
                <wp:inline distT="0" distB="0" distL="114300" distR="114300">
                  <wp:extent cx="5400040" cy="3344545"/>
                  <wp:effectExtent l="0" t="0" r="10160" b="8255"/>
                  <wp:docPr id="42" name="图片 7" descr="16835167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1683516737728"/>
                          <pic:cNvPicPr>
                            <a:picLocks noChangeAspect="1"/>
                          </pic:cNvPicPr>
                        </pic:nvPicPr>
                        <pic:blipFill>
                          <a:blip r:embed="rId34"/>
                          <a:stretch>
                            <a:fillRect/>
                          </a:stretch>
                        </pic:blipFill>
                        <pic:spPr>
                          <a:xfrm>
                            <a:off x="0" y="0"/>
                            <a:ext cx="5400040" cy="3344545"/>
                          </a:xfrm>
                          <a:prstGeom prst="rect">
                            <a:avLst/>
                          </a:prstGeom>
                          <a:noFill/>
                          <a:ln>
                            <a:noFill/>
                          </a:ln>
                        </pic:spPr>
                      </pic:pic>
                    </a:graphicData>
                  </a:graphic>
                </wp:inline>
              </w:drawing>
            </w:r>
            <w:r>
              <w:rPr>
                <w:rFonts w:hint="eastAsia" w:ascii="宋体" w:hAnsi="宋体" w:eastAsia="宋体" w:cs="宋体"/>
                <w:b/>
                <w:bCs/>
                <w:color w:val="auto"/>
                <w:sz w:val="24"/>
                <w:szCs w:val="24"/>
                <w:highlight w:val="none"/>
                <w:u w:val="single"/>
                <w:lang w:val="en-US" w:eastAsia="zh-CN"/>
              </w:rPr>
              <w:t>图4.1-1</w:t>
            </w:r>
            <w:r>
              <w:rPr>
                <w:rFonts w:hint="eastAsia" w:ascii="宋体" w:hAnsi="宋体" w:eastAsia="宋体" w:cs="宋体"/>
                <w:b/>
                <w:bCs/>
                <w:color w:val="auto"/>
                <w:sz w:val="24"/>
                <w:szCs w:val="24"/>
                <w:highlight w:val="none"/>
                <w:u w:val="single"/>
              </w:rPr>
              <w:t>项目与模型验证点位位置关系图</w:t>
            </w:r>
          </w:p>
          <w:p w14:paraId="294B584B">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①潮位验证</w:t>
            </w:r>
          </w:p>
          <w:p w14:paraId="23CF6A6B">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选取H1、H2、H3潮位验证点的实测潮位资料作为数值模型计算潮位验证基准，潮位验证结果见图4.1-2～图4.1-4。</w:t>
            </w:r>
          </w:p>
          <w:p w14:paraId="0D169F77">
            <w:pPr>
              <w:keepNext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5754370" cy="2026920"/>
                  <wp:effectExtent l="0" t="0" r="17780" b="1143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5"/>
                          <a:stretch>
                            <a:fillRect/>
                          </a:stretch>
                        </pic:blipFill>
                        <pic:spPr>
                          <a:xfrm>
                            <a:off x="0" y="0"/>
                            <a:ext cx="5754370" cy="2026920"/>
                          </a:xfrm>
                          <a:prstGeom prst="rect">
                            <a:avLst/>
                          </a:prstGeom>
                          <a:noFill/>
                          <a:ln>
                            <a:noFill/>
                          </a:ln>
                        </pic:spPr>
                      </pic:pic>
                    </a:graphicData>
                  </a:graphic>
                </wp:inline>
              </w:drawing>
            </w:r>
          </w:p>
          <w:p w14:paraId="24855755">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图4.1-2 H1站潮位验证曲线</w:t>
            </w:r>
          </w:p>
          <w:p w14:paraId="293A58D9">
            <w:pPr>
              <w:keepNext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5754370" cy="2026920"/>
                  <wp:effectExtent l="0" t="0" r="17780" b="1143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6"/>
                          <a:stretch>
                            <a:fillRect/>
                          </a:stretch>
                        </pic:blipFill>
                        <pic:spPr>
                          <a:xfrm>
                            <a:off x="0" y="0"/>
                            <a:ext cx="5754370" cy="2026920"/>
                          </a:xfrm>
                          <a:prstGeom prst="rect">
                            <a:avLst/>
                          </a:prstGeom>
                          <a:noFill/>
                          <a:ln>
                            <a:noFill/>
                          </a:ln>
                        </pic:spPr>
                      </pic:pic>
                    </a:graphicData>
                  </a:graphic>
                </wp:inline>
              </w:drawing>
            </w:r>
          </w:p>
          <w:p w14:paraId="5F460B6B">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w:t>
            </w:r>
            <w:r>
              <w:rPr>
                <w:rFonts w:hint="eastAsia" w:ascii="宋体" w:hAnsi="宋体" w:eastAsia="宋体" w:cs="宋体"/>
                <w:b/>
                <w:bCs/>
                <w:color w:val="auto"/>
                <w:sz w:val="24"/>
                <w:szCs w:val="24"/>
                <w:highlight w:val="none"/>
                <w:u w:val="single"/>
                <w:lang w:val="en-US" w:eastAsia="zh-CN"/>
              </w:rPr>
              <w:t>.1-3 H2</w:t>
            </w:r>
            <w:r>
              <w:rPr>
                <w:rFonts w:hint="eastAsia" w:ascii="宋体" w:hAnsi="宋体" w:eastAsia="宋体" w:cs="宋体"/>
                <w:color w:val="auto"/>
                <w:sz w:val="24"/>
                <w:szCs w:val="24"/>
                <w:highlight w:val="none"/>
                <w:u w:val="single"/>
                <w:lang w:val="en-US" w:eastAsia="zh-CN"/>
              </w:rPr>
              <w:t>站潮位验证曲线</w:t>
            </w:r>
          </w:p>
          <w:p w14:paraId="3C3BC144">
            <w:pPr>
              <w:keepNext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5754370" cy="2026920"/>
                  <wp:effectExtent l="0" t="0" r="17780" b="1143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37"/>
                          <a:stretch>
                            <a:fillRect/>
                          </a:stretch>
                        </pic:blipFill>
                        <pic:spPr>
                          <a:xfrm>
                            <a:off x="0" y="0"/>
                            <a:ext cx="5754370" cy="2026920"/>
                          </a:xfrm>
                          <a:prstGeom prst="rect">
                            <a:avLst/>
                          </a:prstGeom>
                          <a:noFill/>
                          <a:ln>
                            <a:noFill/>
                          </a:ln>
                        </pic:spPr>
                      </pic:pic>
                    </a:graphicData>
                  </a:graphic>
                </wp:inline>
              </w:drawing>
            </w:r>
          </w:p>
          <w:p w14:paraId="0567FE21">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图4.1-4 H3站潮位验证曲线</w:t>
            </w:r>
          </w:p>
          <w:p w14:paraId="1FB465DE">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从图中可以看出，计算的潮位过程与实测资料吻合较好，高低潮时间的相位差不大于0.5h，验证结果表明采用的二维潮流数学模型能模拟钦州湾海域水位变化过程，也为准确模拟当地的潮流变化过程奠定基础。</w:t>
            </w:r>
          </w:p>
          <w:p w14:paraId="235DAF38">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② 潮流验证</w:t>
            </w:r>
          </w:p>
          <w:p w14:paraId="11A1DBB6">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选取V1～V9九个站位大潮期的实测潮流资料与本次数模拟结果进行对比验证，潮流验证结果见图4.1-5～图4.1-13。</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4A2A2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500E04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38"/>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56B2D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39"/>
                                <a:stretch>
                                  <a:fillRect/>
                                </a:stretch>
                              </pic:blipFill>
                              <pic:spPr>
                                <a:xfrm>
                                  <a:off x="0" y="0"/>
                                  <a:ext cx="2837180" cy="1096645"/>
                                </a:xfrm>
                                <a:prstGeom prst="rect">
                                  <a:avLst/>
                                </a:prstGeom>
                                <a:noFill/>
                                <a:ln>
                                  <a:noFill/>
                                </a:ln>
                              </pic:spPr>
                            </pic:pic>
                          </a:graphicData>
                        </a:graphic>
                      </wp:inline>
                    </w:drawing>
                  </w:r>
                </w:p>
              </w:tc>
            </w:tr>
          </w:tbl>
          <w:p w14:paraId="47AFEFB4">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图4.1-5 V1站潮流验证曲线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77FC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08" w:type="dxa"/>
                  <w:tcBorders>
                    <w:tl2br w:val="nil"/>
                    <w:tr2bl w:val="nil"/>
                  </w:tcBorders>
                  <w:noWrap w:val="0"/>
                  <w:vAlign w:val="center"/>
                </w:tcPr>
                <w:p w14:paraId="2065EF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0"/>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6DDEB2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1"/>
                                <a:stretch>
                                  <a:fillRect/>
                                </a:stretch>
                              </pic:blipFill>
                              <pic:spPr>
                                <a:xfrm>
                                  <a:off x="0" y="0"/>
                                  <a:ext cx="2837180" cy="1096645"/>
                                </a:xfrm>
                                <a:prstGeom prst="rect">
                                  <a:avLst/>
                                </a:prstGeom>
                                <a:noFill/>
                                <a:ln>
                                  <a:noFill/>
                                </a:ln>
                              </pic:spPr>
                            </pic:pic>
                          </a:graphicData>
                        </a:graphic>
                      </wp:inline>
                    </w:drawing>
                  </w:r>
                </w:p>
              </w:tc>
            </w:tr>
          </w:tbl>
          <w:p w14:paraId="590614BB">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图4.1-6 V2站潮流验证曲线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50CD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37E12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2"/>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533FF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3"/>
                                <a:stretch>
                                  <a:fillRect/>
                                </a:stretch>
                              </pic:blipFill>
                              <pic:spPr>
                                <a:xfrm>
                                  <a:off x="0" y="0"/>
                                  <a:ext cx="2837180" cy="1096645"/>
                                </a:xfrm>
                                <a:prstGeom prst="rect">
                                  <a:avLst/>
                                </a:prstGeom>
                                <a:noFill/>
                                <a:ln>
                                  <a:noFill/>
                                </a:ln>
                              </pic:spPr>
                            </pic:pic>
                          </a:graphicData>
                        </a:graphic>
                      </wp:inline>
                    </w:drawing>
                  </w:r>
                </w:p>
              </w:tc>
            </w:tr>
          </w:tbl>
          <w:p w14:paraId="77C682EA">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图4.1-7 V3站潮流验证曲线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696C3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08" w:type="dxa"/>
                  <w:tcBorders>
                    <w:tl2br w:val="nil"/>
                    <w:tr2bl w:val="nil"/>
                  </w:tcBorders>
                  <w:noWrap w:val="0"/>
                  <w:vAlign w:val="center"/>
                </w:tcPr>
                <w:p w14:paraId="118A8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44"/>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5CB42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45"/>
                                <a:stretch>
                                  <a:fillRect/>
                                </a:stretch>
                              </pic:blipFill>
                              <pic:spPr>
                                <a:xfrm>
                                  <a:off x="0" y="0"/>
                                  <a:ext cx="2837180" cy="1096645"/>
                                </a:xfrm>
                                <a:prstGeom prst="rect">
                                  <a:avLst/>
                                </a:prstGeom>
                                <a:noFill/>
                                <a:ln>
                                  <a:noFill/>
                                </a:ln>
                              </pic:spPr>
                            </pic:pic>
                          </a:graphicData>
                        </a:graphic>
                      </wp:inline>
                    </w:drawing>
                  </w:r>
                </w:p>
              </w:tc>
            </w:tr>
          </w:tbl>
          <w:p w14:paraId="2ACB8038">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图4.1-8 V4站潮流验证曲线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2485E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3C454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6"/>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1418C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47"/>
                                <a:stretch>
                                  <a:fillRect/>
                                </a:stretch>
                              </pic:blipFill>
                              <pic:spPr>
                                <a:xfrm>
                                  <a:off x="0" y="0"/>
                                  <a:ext cx="2837180" cy="1096645"/>
                                </a:xfrm>
                                <a:prstGeom prst="rect">
                                  <a:avLst/>
                                </a:prstGeom>
                                <a:noFill/>
                                <a:ln>
                                  <a:noFill/>
                                </a:ln>
                              </pic:spPr>
                            </pic:pic>
                          </a:graphicData>
                        </a:graphic>
                      </wp:inline>
                    </w:drawing>
                  </w:r>
                </w:p>
              </w:tc>
            </w:tr>
          </w:tbl>
          <w:p w14:paraId="20C90194">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图4.1-9 V5站潮流验证曲线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1825D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559CB6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8"/>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48930B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9"/>
                                <a:stretch>
                                  <a:fillRect/>
                                </a:stretch>
                              </pic:blipFill>
                              <pic:spPr>
                                <a:xfrm>
                                  <a:off x="0" y="0"/>
                                  <a:ext cx="2837180" cy="1096645"/>
                                </a:xfrm>
                                <a:prstGeom prst="rect">
                                  <a:avLst/>
                                </a:prstGeom>
                                <a:noFill/>
                                <a:ln>
                                  <a:noFill/>
                                </a:ln>
                              </pic:spPr>
                            </pic:pic>
                          </a:graphicData>
                        </a:graphic>
                      </wp:inline>
                    </w:drawing>
                  </w:r>
                </w:p>
              </w:tc>
            </w:tr>
          </w:tbl>
          <w:p w14:paraId="371847C5">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图4.1-10 V6站潮流验证曲线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32F84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4FEE8A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0"/>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21A01E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1"/>
                                <a:stretch>
                                  <a:fillRect/>
                                </a:stretch>
                              </pic:blipFill>
                              <pic:spPr>
                                <a:xfrm>
                                  <a:off x="0" y="0"/>
                                  <a:ext cx="2837180" cy="1096645"/>
                                </a:xfrm>
                                <a:prstGeom prst="rect">
                                  <a:avLst/>
                                </a:prstGeom>
                                <a:noFill/>
                                <a:ln>
                                  <a:noFill/>
                                </a:ln>
                              </pic:spPr>
                            </pic:pic>
                          </a:graphicData>
                        </a:graphic>
                      </wp:inline>
                    </w:drawing>
                  </w:r>
                </w:p>
              </w:tc>
            </w:tr>
          </w:tbl>
          <w:p w14:paraId="01F656C0">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图4.1-11 V7站潮流验证曲线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4337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c>
                <w:tcPr>
                  <w:tcW w:w="4608" w:type="dxa"/>
                  <w:tcBorders>
                    <w:tl2br w:val="nil"/>
                    <w:tr2bl w:val="nil"/>
                  </w:tcBorders>
                  <w:noWrap w:val="0"/>
                  <w:vAlign w:val="center"/>
                </w:tcPr>
                <w:p w14:paraId="0BB3E6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52"/>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3C2D8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1"/>
                                </pic:cNvPicPr>
                              </pic:nvPicPr>
                              <pic:blipFill>
                                <a:blip r:embed="rId53"/>
                                <a:stretch>
                                  <a:fillRect/>
                                </a:stretch>
                              </pic:blipFill>
                              <pic:spPr>
                                <a:xfrm>
                                  <a:off x="0" y="0"/>
                                  <a:ext cx="2837180" cy="1096645"/>
                                </a:xfrm>
                                <a:prstGeom prst="rect">
                                  <a:avLst/>
                                </a:prstGeom>
                                <a:noFill/>
                                <a:ln>
                                  <a:noFill/>
                                </a:ln>
                              </pic:spPr>
                            </pic:pic>
                          </a:graphicData>
                        </a:graphic>
                      </wp:inline>
                    </w:drawing>
                  </w:r>
                </w:p>
              </w:tc>
            </w:tr>
          </w:tbl>
          <w:p w14:paraId="174F59A5">
            <w:pPr>
              <w:pStyle w:val="6"/>
              <w:keepNext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图4.1-12 V8站潮流验证曲线</w:t>
            </w:r>
          </w:p>
          <w:tbl>
            <w:tblPr>
              <w:tblStyle w:val="46"/>
              <w:tblW w:w="91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4602"/>
              <w:gridCol w:w="4584"/>
            </w:tblGrid>
            <w:tr w14:paraId="4B37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08" w:type="dxa"/>
                  <w:tcBorders>
                    <w:tl2br w:val="nil"/>
                    <w:tr2bl w:val="nil"/>
                  </w:tcBorders>
                  <w:noWrap w:val="0"/>
                  <w:vAlign w:val="center"/>
                </w:tcPr>
                <w:p w14:paraId="16CDA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54"/>
                                <a:stretch>
                                  <a:fillRect/>
                                </a:stretch>
                              </pic:blipFill>
                              <pic:spPr>
                                <a:xfrm>
                                  <a:off x="0" y="0"/>
                                  <a:ext cx="2837180" cy="1096645"/>
                                </a:xfrm>
                                <a:prstGeom prst="rect">
                                  <a:avLst/>
                                </a:prstGeom>
                                <a:noFill/>
                                <a:ln>
                                  <a:noFill/>
                                </a:ln>
                              </pic:spPr>
                            </pic:pic>
                          </a:graphicData>
                        </a:graphic>
                      </wp:inline>
                    </w:drawing>
                  </w:r>
                </w:p>
              </w:tc>
              <w:tc>
                <w:tcPr>
                  <w:tcW w:w="4578" w:type="dxa"/>
                  <w:tcBorders>
                    <w:tl2br w:val="nil"/>
                    <w:tr2bl w:val="nil"/>
                  </w:tcBorders>
                  <w:noWrap w:val="0"/>
                  <w:vAlign w:val="center"/>
                </w:tcPr>
                <w:p w14:paraId="3A8B3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drawing>
                      <wp:inline distT="0" distB="0" distL="114300" distR="114300">
                        <wp:extent cx="2837180" cy="1096645"/>
                        <wp:effectExtent l="0" t="0" r="1270" b="8255"/>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55"/>
                                <a:stretch>
                                  <a:fillRect/>
                                </a:stretch>
                              </pic:blipFill>
                              <pic:spPr>
                                <a:xfrm>
                                  <a:off x="0" y="0"/>
                                  <a:ext cx="2837180" cy="1096645"/>
                                </a:xfrm>
                                <a:prstGeom prst="rect">
                                  <a:avLst/>
                                </a:prstGeom>
                                <a:noFill/>
                                <a:ln>
                                  <a:noFill/>
                                </a:ln>
                              </pic:spPr>
                            </pic:pic>
                          </a:graphicData>
                        </a:graphic>
                      </wp:inline>
                    </w:drawing>
                  </w:r>
                </w:p>
              </w:tc>
            </w:tr>
          </w:tbl>
          <w:p w14:paraId="41D94CAC">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图4.1-13 V9站潮流验证曲线</w:t>
            </w:r>
          </w:p>
          <w:p w14:paraId="7A05B5F4">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由图可见，各验证点计算流速和实测资料基本吻合，流向验证较好；由于水动力模型是二维正压模型，而观测流速取各层平均，这可能导致了个别站点计算结果与实测资料稍有偏差，但总体来看，流速过程线的形态基本一致，这表明建立的二维潮流数学模型能较好地模拟钦州港海区水流传播过程和水流运动规律。</w:t>
            </w:r>
          </w:p>
          <w:p w14:paraId="1EA26D32">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整体来看，模型计算出来的潮位、流速、流向过程与大部分测站的实测过程基本吻合，由模型计算所得的潮位结果，与实测潮位变化特征一致；潮流结果基本上反映了实测流速的涨急落急状态，在流向上模拟值与实测值吻合较好。无论是潮位、流速还是流向，计算与实测基本吻合，说明模型采用的参数基本合理，计算方法可靠，能够模拟项目海域的潮流运动特性，可满足进一步预测和研究需要。</w:t>
            </w:r>
          </w:p>
          <w:p w14:paraId="444ACF7B">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（4）潮流场模拟结果分析</w:t>
            </w:r>
          </w:p>
          <w:p w14:paraId="109387B2">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① 计算海域潮流场分析</w:t>
            </w:r>
          </w:p>
          <w:p w14:paraId="3AB3F27D">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大海域计算域潮流场模拟结果见图5.6-17～图5.6-18。从图中可以看出，涨潮时，潮流从钦州湾外进入钦州湾，工程区域潮流整体由南向北流，落急时，流向与涨潮时相反，该海域潮流运动形式以往复流为主，外侧海域逐渐向旋转流过渡。</w:t>
            </w:r>
          </w:p>
          <w:p w14:paraId="31FCCCDD">
            <w:pPr>
              <w:bidi w:val="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drawing>
                <wp:inline distT="0" distB="0" distL="114300" distR="114300">
                  <wp:extent cx="5372100" cy="4127500"/>
                  <wp:effectExtent l="0" t="0" r="0" b="6350"/>
                  <wp:docPr id="31" name="图片 29" descr="大海域涨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大海域涨急流场"/>
                          <pic:cNvPicPr>
                            <a:picLocks noChangeAspect="1"/>
                          </pic:cNvPicPr>
                        </pic:nvPicPr>
                        <pic:blipFill>
                          <a:blip r:embed="rId56"/>
                          <a:stretch>
                            <a:fillRect/>
                          </a:stretch>
                        </pic:blipFill>
                        <pic:spPr>
                          <a:xfrm>
                            <a:off x="0" y="0"/>
                            <a:ext cx="5372100" cy="4127500"/>
                          </a:xfrm>
                          <a:prstGeom prst="rect">
                            <a:avLst/>
                          </a:prstGeom>
                          <a:noFill/>
                          <a:ln>
                            <a:noFill/>
                          </a:ln>
                        </pic:spPr>
                      </pic:pic>
                    </a:graphicData>
                  </a:graphic>
                </wp:inline>
              </w:drawing>
            </w:r>
          </w:p>
          <w:p w14:paraId="5686B069">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图4.1-14大海域计算域潮流场图（涨急时，大潮期）</w:t>
            </w:r>
          </w:p>
          <w:p w14:paraId="051404F5">
            <w:pPr>
              <w:bidi w:val="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drawing>
                <wp:inline distT="0" distB="0" distL="114300" distR="114300">
                  <wp:extent cx="5351145" cy="4110990"/>
                  <wp:effectExtent l="0" t="0" r="1905" b="3810"/>
                  <wp:docPr id="32" name="图片 30" descr="大海域落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大海域落急流场"/>
                          <pic:cNvPicPr>
                            <a:picLocks noChangeAspect="1"/>
                          </pic:cNvPicPr>
                        </pic:nvPicPr>
                        <pic:blipFill>
                          <a:blip r:embed="rId57"/>
                          <a:stretch>
                            <a:fillRect/>
                          </a:stretch>
                        </pic:blipFill>
                        <pic:spPr>
                          <a:xfrm>
                            <a:off x="0" y="0"/>
                            <a:ext cx="5351145" cy="4110990"/>
                          </a:xfrm>
                          <a:prstGeom prst="rect">
                            <a:avLst/>
                          </a:prstGeom>
                          <a:noFill/>
                          <a:ln>
                            <a:noFill/>
                          </a:ln>
                        </pic:spPr>
                      </pic:pic>
                    </a:graphicData>
                  </a:graphic>
                </wp:inline>
              </w:drawing>
            </w:r>
          </w:p>
          <w:p w14:paraId="6262FC32">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图4.1-15大海域计算域潮流场图（落急时，大潮期）</w:t>
            </w:r>
          </w:p>
          <w:p w14:paraId="70538759">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② 项目周边潮流场分析</w:t>
            </w:r>
          </w:p>
          <w:p w14:paraId="1730F760">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项目周边流场模拟结果见图4.1-16～图4.1-19。从图中可以看出，落潮时流速大于涨潮时流速，与实测情况一致。</w:t>
            </w:r>
          </w:p>
          <w:p w14:paraId="0616ADF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mc:AlternateContent>
                <mc:Choice Requires="wpg">
                  <w:drawing>
                    <wp:anchor distT="0" distB="0" distL="114300" distR="114300" simplePos="0" relativeHeight="251662336" behindDoc="0" locked="0" layoutInCell="1" allowOverlap="1">
                      <wp:simplePos x="0" y="0"/>
                      <wp:positionH relativeFrom="column">
                        <wp:posOffset>2002155</wp:posOffset>
                      </wp:positionH>
                      <wp:positionV relativeFrom="paragraph">
                        <wp:posOffset>1771650</wp:posOffset>
                      </wp:positionV>
                      <wp:extent cx="1046480" cy="285750"/>
                      <wp:effectExtent l="5080" t="4445" r="15240" b="14605"/>
                      <wp:wrapNone/>
                      <wp:docPr id="324" name="组合 324"/>
                      <wp:cNvGraphicFramePr/>
                      <a:graphic xmlns:a="http://schemas.openxmlformats.org/drawingml/2006/main">
                        <a:graphicData uri="http://schemas.microsoft.com/office/word/2010/wordprocessingGroup">
                          <wpg:wgp>
                            <wpg:cNvGrpSpPr/>
                            <wpg:grpSpPr>
                              <a:xfrm>
                                <a:off x="0" y="0"/>
                                <a:ext cx="1046480" cy="285750"/>
                                <a:chOff x="5048" y="4348572"/>
                                <a:chExt cx="1648" cy="450"/>
                              </a:xfrm>
                              <a:effectLst/>
                            </wpg:grpSpPr>
                            <wps:wsp>
                              <wps:cNvPr id="322" name="椭圆 77"/>
                              <wps:cNvSpPr/>
                              <wps:spPr>
                                <a:xfrm>
                                  <a:off x="6520" y="4348782"/>
                                  <a:ext cx="177" cy="180"/>
                                </a:xfrm>
                                <a:prstGeom prst="ellipse">
                                  <a:avLst/>
                                </a:prstGeom>
                                <a:solidFill>
                                  <a:srgbClr val="FF0000"/>
                                </a:solidFill>
                                <a:ln>
                                  <a:noFill/>
                                </a:ln>
                                <a:effectLst/>
                              </wps:spPr>
                              <wps:bodyPr vert="horz" wrap="square" anchor="t" anchorCtr="0" upright="1"/>
                            </wps:wsp>
                            <wps:wsp>
                              <wps:cNvPr id="323" name="自选图形 78"/>
                              <wps:cNvSpPr/>
                              <wps:spPr>
                                <a:xfrm>
                                  <a:off x="5048" y="4348572"/>
                                  <a:ext cx="1005" cy="450"/>
                                </a:xfrm>
                                <a:prstGeom prst="wedgeRectCallout">
                                  <a:avLst>
                                    <a:gd name="adj1" fmla="val 102537"/>
                                    <a:gd name="adj2" fmla="val 20000"/>
                                  </a:avLst>
                                </a:prstGeom>
                                <a:solidFill>
                                  <a:srgbClr val="FFFFFF"/>
                                </a:solidFill>
                                <a:ln w="9525" cap="flat" cmpd="sng">
                                  <a:solidFill>
                                    <a:srgbClr val="000000"/>
                                  </a:solidFill>
                                  <a:prstDash val="solid"/>
                                  <a:miter/>
                                  <a:headEnd type="none" w="med" len="med"/>
                                  <a:tailEnd type="none" w="med" len="med"/>
                                </a:ln>
                                <a:effectLst/>
                              </wps:spPr>
                              <wps:txbx>
                                <w:txbxContent>
                                  <w:p w14:paraId="722F1D58">
                                    <w:pPr>
                                      <w:spacing w:line="240" w:lineRule="auto"/>
                                      <w:ind w:firstLine="0" w:firstLineChars="0"/>
                                      <w:rPr>
                                        <w:b/>
                                        <w:bCs/>
                                      </w:rPr>
                                    </w:pPr>
                                    <w:r>
                                      <w:rPr>
                                        <w:rFonts w:hint="eastAsia"/>
                                        <w:b/>
                                        <w:bCs/>
                                        <w:sz w:val="21"/>
                                        <w:szCs w:val="21"/>
                                      </w:rPr>
                                      <w:t>本项目</w:t>
                                    </w:r>
                                  </w:p>
                                </w:txbxContent>
                              </wps:txbx>
                              <wps:bodyPr vert="horz" wrap="square" anchor="t" anchorCtr="0" upright="1"/>
                            </wps:wsp>
                          </wpg:wgp>
                        </a:graphicData>
                      </a:graphic>
                    </wp:anchor>
                  </w:drawing>
                </mc:Choice>
                <mc:Fallback>
                  <w:pict>
                    <v:group id="_x0000_s1026" o:spid="_x0000_s1026" o:spt="203" style="position:absolute;left:0pt;margin-left:157.65pt;margin-top:139.5pt;height:22.5pt;width:82.4pt;z-index:251662336;mso-width-relative:page;mso-height-relative:page;" coordorigin="5048,4348572" coordsize="1648,450" o:gfxdata="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CKe4tJ2gAAAAsBAAAPAAAAAAAAAAEAIAAAACIAAABkcnMv&#10;ZG93bnJldi54bWxQSwECFAAUAAAACACHTuJA+euY4h4DAADiBwAADgAAAAAAAAABACAAAAApAQAA&#10;ZHJzL2Uyb0RvYy54bWxQSwUGAAAAAAYABgBZAQAAuQYAAAAA&#10;">
                      <o:lock v:ext="edit" aspectratio="f"/>
                      <v:shape id="椭圆 77" o:spid="_x0000_s1026" o:spt="3" type="#_x0000_t3" style="position:absolute;left:6520;top:4348782;height:180;width:177;" fillcolor="#FF0000" filled="t" stroked="f" coordsize="21600,21600" o:gfxdata="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KJei/&#10;AAAA3AAAAA8AAAAAAAAAAQAgAAAAIgAAAGRycy9kb3ducmV2LnhtbFBLAQIUABQAAAAIAIdO4kAz&#10;LwWeOwAAADkAAAAQAAAAAAAAAAEAIAAAAA4BAABkcnMvc2hhcGV4bWwueG1sUEsFBgAAAAAGAAYA&#10;WwEAALgDAAAAAA==&#10;">
                        <v:fill on="t" focussize="0,0"/>
                        <v:stroke on="f"/>
                        <v:imagedata o:title=""/>
                        <o:lock v:ext="edit" aspectratio="f"/>
                      </v:shape>
                      <v:shape id="自选图形 78" o:spid="_x0000_s1026" o:spt="61" type="#_x0000_t61" style="position:absolute;left:5048;top:4348572;height:450;width:1005;" fillcolor="#FFFFFF" filled="t" stroked="t" coordsize="21600,21600" o:gfxdata="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vO/&#10;AAAA3AAAAA8AAAAAAAAAAQAgAAAAIgAAAGRycy9kb3ducmV2LnhtbFBLAQIUABQAAAAIAIdO4kAz&#10;LwWeOwAAADkAAAAQAAAAAAAAAAEAIAAAAA4BAABkcnMvc2hhcGV4bWwueG1sUEsFBgAAAAAGAAYA&#10;WwEAALgDAAAAAA==&#10;" adj="32948,15120">
                        <v:fill on="t" focussize="0,0"/>
                        <v:stroke color="#000000" joinstyle="miter"/>
                        <v:imagedata o:title=""/>
                        <o:lock v:ext="edit" aspectratio="f"/>
                        <v:textbox>
                          <w:txbxContent>
                            <w:p w14:paraId="722F1D58">
                              <w:pPr>
                                <w:spacing w:line="240" w:lineRule="auto"/>
                                <w:ind w:firstLine="0" w:firstLineChars="0"/>
                                <w:rPr>
                                  <w:b/>
                                  <w:bCs/>
                                </w:rPr>
                              </w:pPr>
                              <w:r>
                                <w:rPr>
                                  <w:rFonts w:hint="eastAsia"/>
                                  <w:b/>
                                  <w:bCs/>
                                  <w:sz w:val="21"/>
                                  <w:szCs w:val="21"/>
                                </w:rPr>
                                <w:t>本项目</w:t>
                              </w:r>
                            </w:p>
                          </w:txbxContent>
                        </v:textbox>
                      </v:shape>
                    </v:group>
                  </w:pict>
                </mc:Fallback>
              </mc:AlternateContent>
            </w:r>
            <w:r>
              <w:rPr>
                <w:rFonts w:hint="eastAsia" w:ascii="宋体" w:hAnsi="宋体" w:eastAsia="宋体" w:cs="宋体"/>
                <w:color w:val="auto"/>
                <w:sz w:val="24"/>
                <w:szCs w:val="24"/>
                <w:highlight w:val="none"/>
                <w:u w:val="single"/>
                <w:lang w:val="en-US" w:eastAsia="zh-CN"/>
              </w:rPr>
              <w:drawing>
                <wp:inline distT="0" distB="0" distL="114300" distR="114300">
                  <wp:extent cx="5400040" cy="6404610"/>
                  <wp:effectExtent l="0" t="0" r="10160" b="15240"/>
                  <wp:docPr id="24" name="图片 31" descr="小海域涨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小海域涨急流场"/>
                          <pic:cNvPicPr>
                            <a:picLocks noChangeAspect="1"/>
                          </pic:cNvPicPr>
                        </pic:nvPicPr>
                        <pic:blipFill>
                          <a:blip r:embed="rId58"/>
                          <a:stretch>
                            <a:fillRect/>
                          </a:stretch>
                        </pic:blipFill>
                        <pic:spPr>
                          <a:xfrm>
                            <a:off x="0" y="0"/>
                            <a:ext cx="5400040" cy="6404610"/>
                          </a:xfrm>
                          <a:prstGeom prst="rect">
                            <a:avLst/>
                          </a:prstGeom>
                          <a:noFill/>
                          <a:ln>
                            <a:noFill/>
                          </a:ln>
                        </pic:spPr>
                      </pic:pic>
                    </a:graphicData>
                  </a:graphic>
                </wp:inline>
              </w:drawing>
            </w:r>
          </w:p>
          <w:p w14:paraId="2E77E3D6">
            <w:pPr>
              <w:pStyle w:val="6"/>
              <w:numPr>
                <w:ilvl w:val="0"/>
                <w:numId w:val="0"/>
              </w:numPr>
              <w:bidi w:val="0"/>
              <w:ind w:leftChars="0"/>
              <w:jc w:val="cente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图4.1-16 项目周边潮流场图（涨急时，大潮期）</w:t>
            </w:r>
          </w:p>
          <w:p w14:paraId="5DAF267A">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mc:AlternateContent>
                <mc:Choice Requires="wpg">
                  <w:drawing>
                    <wp:anchor distT="0" distB="0" distL="114300" distR="114300" simplePos="0" relativeHeight="251663360" behindDoc="0" locked="0" layoutInCell="1" allowOverlap="1">
                      <wp:simplePos x="0" y="0"/>
                      <wp:positionH relativeFrom="column">
                        <wp:posOffset>1973580</wp:posOffset>
                      </wp:positionH>
                      <wp:positionV relativeFrom="paragraph">
                        <wp:posOffset>1788795</wp:posOffset>
                      </wp:positionV>
                      <wp:extent cx="1046480" cy="285750"/>
                      <wp:effectExtent l="5080" t="4445" r="15240" b="14605"/>
                      <wp:wrapNone/>
                      <wp:docPr id="325" name="组合 325"/>
                      <wp:cNvGraphicFramePr/>
                      <a:graphic xmlns:a="http://schemas.openxmlformats.org/drawingml/2006/main">
                        <a:graphicData uri="http://schemas.microsoft.com/office/word/2010/wordprocessingGroup">
                          <wpg:wgp>
                            <wpg:cNvGrpSpPr/>
                            <wpg:grpSpPr>
                              <a:xfrm>
                                <a:off x="0" y="0"/>
                                <a:ext cx="1046480" cy="285750"/>
                                <a:chOff x="5048" y="4348572"/>
                                <a:chExt cx="1648" cy="450"/>
                              </a:xfrm>
                              <a:effectLst/>
                            </wpg:grpSpPr>
                            <wps:wsp>
                              <wps:cNvPr id="326" name="椭圆 77"/>
                              <wps:cNvSpPr/>
                              <wps:spPr>
                                <a:xfrm>
                                  <a:off x="6520" y="4348782"/>
                                  <a:ext cx="177" cy="180"/>
                                </a:xfrm>
                                <a:prstGeom prst="ellipse">
                                  <a:avLst/>
                                </a:prstGeom>
                                <a:solidFill>
                                  <a:srgbClr val="FF0000"/>
                                </a:solidFill>
                                <a:ln>
                                  <a:noFill/>
                                </a:ln>
                                <a:effectLst/>
                              </wps:spPr>
                              <wps:bodyPr vert="horz" wrap="square" anchor="t" anchorCtr="0" upright="1"/>
                            </wps:wsp>
                            <wps:wsp>
                              <wps:cNvPr id="327" name="自选图形 78"/>
                              <wps:cNvSpPr/>
                              <wps:spPr>
                                <a:xfrm>
                                  <a:off x="5048" y="4348572"/>
                                  <a:ext cx="1005" cy="450"/>
                                </a:xfrm>
                                <a:prstGeom prst="wedgeRectCallout">
                                  <a:avLst>
                                    <a:gd name="adj1" fmla="val 102537"/>
                                    <a:gd name="adj2" fmla="val 20000"/>
                                  </a:avLst>
                                </a:prstGeom>
                                <a:solidFill>
                                  <a:srgbClr val="FFFFFF"/>
                                </a:solidFill>
                                <a:ln w="9525" cap="flat" cmpd="sng">
                                  <a:solidFill>
                                    <a:srgbClr val="000000"/>
                                  </a:solidFill>
                                  <a:prstDash val="solid"/>
                                  <a:miter/>
                                  <a:headEnd type="none" w="med" len="med"/>
                                  <a:tailEnd type="none" w="med" len="med"/>
                                </a:ln>
                                <a:effectLst/>
                              </wps:spPr>
                              <wps:txbx>
                                <w:txbxContent>
                                  <w:p w14:paraId="5B134FEF">
                                    <w:pPr>
                                      <w:spacing w:line="240" w:lineRule="auto"/>
                                      <w:ind w:firstLine="0" w:firstLineChars="0"/>
                                      <w:rPr>
                                        <w:b/>
                                        <w:bCs/>
                                      </w:rPr>
                                    </w:pPr>
                                    <w:r>
                                      <w:rPr>
                                        <w:rFonts w:hint="eastAsia"/>
                                        <w:b/>
                                        <w:bCs/>
                                        <w:sz w:val="21"/>
                                        <w:szCs w:val="21"/>
                                      </w:rPr>
                                      <w:t>本项目</w:t>
                                    </w:r>
                                  </w:p>
                                </w:txbxContent>
                              </wps:txbx>
                              <wps:bodyPr vert="horz" wrap="square" anchor="t" anchorCtr="0" upright="1"/>
                            </wps:wsp>
                          </wpg:wgp>
                        </a:graphicData>
                      </a:graphic>
                    </wp:anchor>
                  </w:drawing>
                </mc:Choice>
                <mc:Fallback>
                  <w:pict>
                    <v:group id="_x0000_s1026" o:spid="_x0000_s1026" o:spt="203" style="position:absolute;left:0pt;margin-left:155.4pt;margin-top:140.85pt;height:22.5pt;width:82.4pt;z-index:251663360;mso-width-relative:page;mso-height-relative:page;" coordorigin="5048,4348572" coordsize="1648,450" o:gfxdata="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EdURA9sAAAALAQAADwAAAAAAAAABACAAAAAiAAAA&#10;ZHJzL2Rvd25yZXYueG1sUEsBAhQAFAAAAAgAh07iQME5RZIhAwAA4gcAAA4AAAAAAAAAAQAgAAAA&#10;KgEAAGRycy9lMm9Eb2MueG1sUEsFBgAAAAAGAAYAWQEAAL0GAAAAAA==&#10;">
                      <o:lock v:ext="edit" aspectratio="f"/>
                      <v:shape id="椭圆 77" o:spid="_x0000_s1026" o:spt="3" type="#_x0000_t3" style="position:absolute;left:6520;top:4348782;height:180;width:177;" fillcolor="#FF0000" filled="t" stroked="f" coordsize="21600,21600" o:gfxdata="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xI+u/&#10;AAAA3AAAAA8AAAAAAAAAAQAgAAAAIgAAAGRycy9kb3ducmV2LnhtbFBLAQIUABQAAAAIAIdO4kAz&#10;LwWeOwAAADkAAAAQAAAAAAAAAAEAIAAAAA4BAABkcnMvc2hhcGV4bWwueG1sUEsFBgAAAAAGAAYA&#10;WwEAALgDAAAAAA==&#10;">
                        <v:fill on="t" focussize="0,0"/>
                        <v:stroke on="f"/>
                        <v:imagedata o:title=""/>
                        <o:lock v:ext="edit" aspectratio="f"/>
                      </v:shape>
                      <v:shape id="自选图形 78" o:spid="_x0000_s1026" o:spt="61" type="#_x0000_t61" style="position:absolute;left:5048;top:4348572;height:450;width:1005;" fillcolor="#FFFFFF" filled="t" stroked="t" coordsize="21600,21600" o:gfxdata="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2LPC/&#10;AAAA3AAAAA8AAAAAAAAAAQAgAAAAIgAAAGRycy9kb3ducmV2LnhtbFBLAQIUABQAAAAIAIdO4kAz&#10;LwWeOwAAADkAAAAQAAAAAAAAAAEAIAAAAA4BAABkcnMvc2hhcGV4bWwueG1sUEsFBgAAAAAGAAYA&#10;WwEAALgDAAAAAA==&#10;" adj="32948,15120">
                        <v:fill on="t" focussize="0,0"/>
                        <v:stroke color="#000000" joinstyle="miter"/>
                        <v:imagedata o:title=""/>
                        <o:lock v:ext="edit" aspectratio="f"/>
                        <v:textbox>
                          <w:txbxContent>
                            <w:p w14:paraId="5B134FEF">
                              <w:pPr>
                                <w:spacing w:line="240" w:lineRule="auto"/>
                                <w:ind w:firstLine="0" w:firstLineChars="0"/>
                                <w:rPr>
                                  <w:b/>
                                  <w:bCs/>
                                </w:rPr>
                              </w:pPr>
                              <w:r>
                                <w:rPr>
                                  <w:rFonts w:hint="eastAsia"/>
                                  <w:b/>
                                  <w:bCs/>
                                  <w:sz w:val="21"/>
                                  <w:szCs w:val="21"/>
                                </w:rPr>
                                <w:t>本项目</w:t>
                              </w:r>
                            </w:p>
                          </w:txbxContent>
                        </v:textbox>
                      </v:shape>
                    </v:group>
                  </w:pict>
                </mc:Fallback>
              </mc:AlternateContent>
            </w:r>
            <w:r>
              <w:rPr>
                <w:rFonts w:hint="eastAsia" w:ascii="宋体" w:hAnsi="宋体" w:eastAsia="宋体" w:cs="宋体"/>
                <w:color w:val="auto"/>
                <w:sz w:val="24"/>
                <w:szCs w:val="24"/>
                <w:highlight w:val="none"/>
                <w:u w:val="single"/>
                <w:lang w:val="en-US" w:eastAsia="zh-CN"/>
              </w:rPr>
              <w:drawing>
                <wp:inline distT="0" distB="0" distL="114300" distR="114300">
                  <wp:extent cx="5400040" cy="6404610"/>
                  <wp:effectExtent l="0" t="0" r="10160" b="15240"/>
                  <wp:docPr id="54" name="图片 32" descr="小海域落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descr="小海域落急流场"/>
                          <pic:cNvPicPr>
                            <a:picLocks noChangeAspect="1"/>
                          </pic:cNvPicPr>
                        </pic:nvPicPr>
                        <pic:blipFill>
                          <a:blip r:embed="rId59"/>
                          <a:stretch>
                            <a:fillRect/>
                          </a:stretch>
                        </pic:blipFill>
                        <pic:spPr>
                          <a:xfrm>
                            <a:off x="0" y="0"/>
                            <a:ext cx="5400040" cy="6404610"/>
                          </a:xfrm>
                          <a:prstGeom prst="rect">
                            <a:avLst/>
                          </a:prstGeom>
                          <a:noFill/>
                          <a:ln>
                            <a:noFill/>
                          </a:ln>
                        </pic:spPr>
                      </pic:pic>
                    </a:graphicData>
                  </a:graphic>
                </wp:inline>
              </w:drawing>
            </w:r>
          </w:p>
          <w:p w14:paraId="6423F6B4">
            <w:pPr>
              <w:pStyle w:val="6"/>
              <w:keepNext w:val="0"/>
              <w:keepLines/>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图4.1-17项目周边潮流场图（落急时，大潮期）</w:t>
            </w:r>
          </w:p>
          <w:p w14:paraId="55D9A645">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u w:val="single"/>
                <w:lang w:val="en-US" w:eastAsia="zh-CN"/>
              </w:rPr>
            </w:pPr>
            <w:r>
              <w:rPr>
                <w:color w:val="auto"/>
                <w:sz w:val="30"/>
                <w:highlight w:val="none"/>
              </w:rPr>
              <mc:AlternateContent>
                <mc:Choice Requires="wpg">
                  <w:drawing>
                    <wp:anchor distT="0" distB="0" distL="114300" distR="114300" simplePos="0" relativeHeight="251664384" behindDoc="0" locked="0" layoutInCell="1" allowOverlap="1">
                      <wp:simplePos x="0" y="0"/>
                      <wp:positionH relativeFrom="column">
                        <wp:posOffset>1273175</wp:posOffset>
                      </wp:positionH>
                      <wp:positionV relativeFrom="paragraph">
                        <wp:posOffset>2907030</wp:posOffset>
                      </wp:positionV>
                      <wp:extent cx="1046480" cy="285750"/>
                      <wp:effectExtent l="5080" t="4445" r="15240" b="14605"/>
                      <wp:wrapNone/>
                      <wp:docPr id="328" name="组合 328"/>
                      <wp:cNvGraphicFramePr/>
                      <a:graphic xmlns:a="http://schemas.openxmlformats.org/drawingml/2006/main">
                        <a:graphicData uri="http://schemas.microsoft.com/office/word/2010/wordprocessingGroup">
                          <wpg:wgp>
                            <wpg:cNvGrpSpPr/>
                            <wpg:grpSpPr>
                              <a:xfrm>
                                <a:off x="0" y="0"/>
                                <a:ext cx="1046480" cy="285750"/>
                                <a:chOff x="5048" y="4348572"/>
                                <a:chExt cx="1648" cy="450"/>
                              </a:xfrm>
                              <a:effectLst/>
                            </wpg:grpSpPr>
                            <wps:wsp>
                              <wps:cNvPr id="329" name="椭圆 77"/>
                              <wps:cNvSpPr/>
                              <wps:spPr>
                                <a:xfrm>
                                  <a:off x="6520" y="4348782"/>
                                  <a:ext cx="177" cy="180"/>
                                </a:xfrm>
                                <a:prstGeom prst="ellipse">
                                  <a:avLst/>
                                </a:prstGeom>
                                <a:solidFill>
                                  <a:srgbClr val="FF0000"/>
                                </a:solidFill>
                                <a:ln>
                                  <a:noFill/>
                                </a:ln>
                                <a:effectLst/>
                              </wps:spPr>
                              <wps:bodyPr vert="horz" wrap="square" anchor="t" anchorCtr="0" upright="1"/>
                            </wps:wsp>
                            <wps:wsp>
                              <wps:cNvPr id="330" name="自选图形 78"/>
                              <wps:cNvSpPr/>
                              <wps:spPr>
                                <a:xfrm>
                                  <a:off x="5048" y="4348572"/>
                                  <a:ext cx="1005" cy="450"/>
                                </a:xfrm>
                                <a:prstGeom prst="wedgeRectCallout">
                                  <a:avLst>
                                    <a:gd name="adj1" fmla="val 102537"/>
                                    <a:gd name="adj2" fmla="val 20000"/>
                                  </a:avLst>
                                </a:prstGeom>
                                <a:solidFill>
                                  <a:srgbClr val="FFFFFF"/>
                                </a:solidFill>
                                <a:ln w="9525" cap="flat" cmpd="sng">
                                  <a:solidFill>
                                    <a:srgbClr val="000000"/>
                                  </a:solidFill>
                                  <a:prstDash val="solid"/>
                                  <a:miter/>
                                  <a:headEnd type="none" w="med" len="med"/>
                                  <a:tailEnd type="none" w="med" len="med"/>
                                </a:ln>
                                <a:effectLst/>
                              </wps:spPr>
                              <wps:txbx>
                                <w:txbxContent>
                                  <w:p w14:paraId="62457FAB">
                                    <w:pPr>
                                      <w:spacing w:line="240" w:lineRule="auto"/>
                                      <w:ind w:firstLine="0" w:firstLineChars="0"/>
                                      <w:rPr>
                                        <w:b/>
                                        <w:bCs/>
                                      </w:rPr>
                                    </w:pPr>
                                    <w:r>
                                      <w:rPr>
                                        <w:rFonts w:hint="eastAsia"/>
                                        <w:b/>
                                        <w:bCs/>
                                        <w:sz w:val="21"/>
                                        <w:szCs w:val="21"/>
                                      </w:rPr>
                                      <w:t>本项目</w:t>
                                    </w:r>
                                  </w:p>
                                </w:txbxContent>
                              </wps:txbx>
                              <wps:bodyPr vert="horz" wrap="square" anchor="t" anchorCtr="0" upright="1"/>
                            </wps:wsp>
                          </wpg:wgp>
                        </a:graphicData>
                      </a:graphic>
                    </wp:anchor>
                  </w:drawing>
                </mc:Choice>
                <mc:Fallback>
                  <w:pict>
                    <v:group id="_x0000_s1026" o:spid="_x0000_s1026" o:spt="203" style="position:absolute;left:0pt;margin-left:100.25pt;margin-top:228.9pt;height:22.5pt;width:82.4pt;z-index:251664384;mso-width-relative:page;mso-height-relative:page;" coordorigin="5048,4348572" coordsize="1648,450" o:gfxdata="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3rIAutoAAAALAQAADwAAAAAAAAABACAAAAAiAAAAZHJz&#10;L2Rvd25yZXYueG1sUEsBAhQAFAAAAAgAh07iQEO6ibgfAwAA4gcAAA4AAAAAAAAAAQAgAAAAKQEA&#10;AGRycy9lMm9Eb2MueG1sUEsFBgAAAAAGAAYAWQEAALoGAAAAAA==&#10;">
                      <o:lock v:ext="edit" aspectratio="f"/>
                      <v:shape id="椭圆 77" o:spid="_x0000_s1026" o:spt="3" type="#_x0000_t3" style="position:absolute;left:6520;top:4348782;height:180;width:177;" fillcolor="#FF0000" filled="t" stroked="f" coordsize="21600,21600" o:gfxdata="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ut5m/&#10;AAAA3AAAAA8AAAAAAAAAAQAgAAAAIgAAAGRycy9kb3ducmV2LnhtbFBLAQIUABQAAAAIAIdO4kAz&#10;LwWeOwAAADkAAAAQAAAAAAAAAAEAIAAAAA4BAABkcnMvc2hhcGV4bWwueG1sUEsFBgAAAAAGAAYA&#10;WwEAALgDAAAAAA==&#10;">
                        <v:fill on="t" focussize="0,0"/>
                        <v:stroke on="f"/>
                        <v:imagedata o:title=""/>
                        <o:lock v:ext="edit" aspectratio="f"/>
                      </v:shape>
                      <v:shape id="自选图形 78" o:spid="_x0000_s1026" o:spt="61" type="#_x0000_t61" style="position:absolute;left:5048;top:4348572;height:450;width:1005;" fillcolor="#FFFFFF" filled="t" stroked="t" coordsize="21600,21600" o:gfxdata="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iWbsAAADc&#10;AAAADwAAAAAAAAABACAAAAAiAAAAZHJzL2Rvd25yZXYueG1sUEsBAhQAFAAAAAgAh07iQDMvBZ47&#10;AAAAOQAAABAAAAAAAAAAAQAgAAAACgEAAGRycy9zaGFwZXhtbC54bWxQSwUGAAAAAAYABgBbAQAA&#10;tAMAAAAA&#10;" adj="32948,15120">
                        <v:fill on="t" focussize="0,0"/>
                        <v:stroke color="#000000" joinstyle="miter"/>
                        <v:imagedata o:title=""/>
                        <o:lock v:ext="edit" aspectratio="f"/>
                        <v:textbox>
                          <w:txbxContent>
                            <w:p w14:paraId="62457FAB">
                              <w:pPr>
                                <w:spacing w:line="240" w:lineRule="auto"/>
                                <w:ind w:firstLine="0" w:firstLineChars="0"/>
                                <w:rPr>
                                  <w:b/>
                                  <w:bCs/>
                                </w:rPr>
                              </w:pPr>
                              <w:r>
                                <w:rPr>
                                  <w:rFonts w:hint="eastAsia"/>
                                  <w:b/>
                                  <w:bCs/>
                                  <w:sz w:val="21"/>
                                  <w:szCs w:val="21"/>
                                </w:rPr>
                                <w:t>本项目</w:t>
                              </w:r>
                            </w:p>
                          </w:txbxContent>
                        </v:textbox>
                      </v:shape>
                    </v:group>
                  </w:pict>
                </mc:Fallback>
              </mc:AlternateContent>
            </w:r>
            <w:r>
              <w:rPr>
                <w:rFonts w:hint="eastAsia"/>
                <w:color w:val="auto"/>
                <w:highlight w:val="none"/>
                <w:u w:val="single"/>
                <w:lang w:val="en-US" w:eastAsia="zh-CN"/>
              </w:rPr>
              <w:drawing>
                <wp:inline distT="0" distB="0" distL="114300" distR="114300">
                  <wp:extent cx="5400040" cy="6482080"/>
                  <wp:effectExtent l="0" t="0" r="10160" b="13970"/>
                  <wp:docPr id="55" name="图片 33" descr="金鼓江涨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金鼓江涨急流场"/>
                          <pic:cNvPicPr>
                            <a:picLocks noChangeAspect="1"/>
                          </pic:cNvPicPr>
                        </pic:nvPicPr>
                        <pic:blipFill>
                          <a:blip r:embed="rId60"/>
                          <a:stretch>
                            <a:fillRect/>
                          </a:stretch>
                        </pic:blipFill>
                        <pic:spPr>
                          <a:xfrm>
                            <a:off x="0" y="0"/>
                            <a:ext cx="5400040" cy="6482080"/>
                          </a:xfrm>
                          <a:prstGeom prst="rect">
                            <a:avLst/>
                          </a:prstGeom>
                          <a:noFill/>
                          <a:ln>
                            <a:noFill/>
                          </a:ln>
                        </pic:spPr>
                      </pic:pic>
                    </a:graphicData>
                  </a:graphic>
                </wp:inline>
              </w:drawing>
            </w:r>
          </w:p>
          <w:p w14:paraId="141C0E2C">
            <w:pPr>
              <w:pStyle w:val="6"/>
              <w:keepNext w:val="0"/>
              <w:keepLines/>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default" w:ascii="Times New Roman" w:hAnsi="Times New Roman" w:eastAsia="宋体" w:cs="Times New Roman"/>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图4.1-18</w:t>
            </w:r>
            <w:r>
              <w:rPr>
                <w:rFonts w:hint="eastAsia" w:ascii="Times New Roman" w:hAnsi="Times New Roman" w:eastAsia="宋体" w:cs="Times New Roman"/>
                <w:color w:val="auto"/>
                <w:sz w:val="24"/>
                <w:szCs w:val="24"/>
                <w:highlight w:val="none"/>
                <w:u w:val="single"/>
                <w:lang w:val="en-US" w:eastAsia="zh-CN"/>
              </w:rPr>
              <w:t>金鼓江海域潮流场图（涨急时，大潮期）</w:t>
            </w:r>
          </w:p>
          <w:p w14:paraId="4F853512">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u w:val="single"/>
                <w:lang w:val="en-US" w:eastAsia="zh-CN"/>
              </w:rPr>
            </w:pPr>
            <w:r>
              <w:rPr>
                <w:color w:val="auto"/>
                <w:sz w:val="30"/>
                <w:highlight w:val="none"/>
              </w:rPr>
              <mc:AlternateContent>
                <mc:Choice Requires="wpg">
                  <w:drawing>
                    <wp:anchor distT="0" distB="0" distL="114300" distR="114300" simplePos="0" relativeHeight="251665408" behindDoc="0" locked="0" layoutInCell="1" allowOverlap="1">
                      <wp:simplePos x="0" y="0"/>
                      <wp:positionH relativeFrom="column">
                        <wp:posOffset>1244600</wp:posOffset>
                      </wp:positionH>
                      <wp:positionV relativeFrom="paragraph">
                        <wp:posOffset>2986405</wp:posOffset>
                      </wp:positionV>
                      <wp:extent cx="1046480" cy="285750"/>
                      <wp:effectExtent l="5080" t="4445" r="15240" b="14605"/>
                      <wp:wrapNone/>
                      <wp:docPr id="331" name="组合 331"/>
                      <wp:cNvGraphicFramePr/>
                      <a:graphic xmlns:a="http://schemas.openxmlformats.org/drawingml/2006/main">
                        <a:graphicData uri="http://schemas.microsoft.com/office/word/2010/wordprocessingGroup">
                          <wpg:wgp>
                            <wpg:cNvGrpSpPr/>
                            <wpg:grpSpPr>
                              <a:xfrm>
                                <a:off x="0" y="0"/>
                                <a:ext cx="1046480" cy="285750"/>
                                <a:chOff x="5048" y="4348572"/>
                                <a:chExt cx="1648" cy="450"/>
                              </a:xfrm>
                              <a:effectLst/>
                            </wpg:grpSpPr>
                            <wps:wsp>
                              <wps:cNvPr id="332" name="椭圆 77"/>
                              <wps:cNvSpPr/>
                              <wps:spPr>
                                <a:xfrm>
                                  <a:off x="6520" y="4348782"/>
                                  <a:ext cx="177" cy="180"/>
                                </a:xfrm>
                                <a:prstGeom prst="ellipse">
                                  <a:avLst/>
                                </a:prstGeom>
                                <a:solidFill>
                                  <a:srgbClr val="FF0000"/>
                                </a:solidFill>
                                <a:ln>
                                  <a:noFill/>
                                </a:ln>
                                <a:effectLst/>
                              </wps:spPr>
                              <wps:bodyPr vert="horz" wrap="square" anchor="t" anchorCtr="0" upright="1"/>
                            </wps:wsp>
                            <wps:wsp>
                              <wps:cNvPr id="333" name="自选图形 78"/>
                              <wps:cNvSpPr/>
                              <wps:spPr>
                                <a:xfrm>
                                  <a:off x="5048" y="4348572"/>
                                  <a:ext cx="1005" cy="450"/>
                                </a:xfrm>
                                <a:prstGeom prst="wedgeRectCallout">
                                  <a:avLst>
                                    <a:gd name="adj1" fmla="val 102537"/>
                                    <a:gd name="adj2" fmla="val 20000"/>
                                  </a:avLst>
                                </a:prstGeom>
                                <a:solidFill>
                                  <a:srgbClr val="FFFFFF"/>
                                </a:solidFill>
                                <a:ln w="9525" cap="flat" cmpd="sng">
                                  <a:solidFill>
                                    <a:srgbClr val="000000"/>
                                  </a:solidFill>
                                  <a:prstDash val="solid"/>
                                  <a:miter/>
                                  <a:headEnd type="none" w="med" len="med"/>
                                  <a:tailEnd type="none" w="med" len="med"/>
                                </a:ln>
                                <a:effectLst/>
                              </wps:spPr>
                              <wps:txbx>
                                <w:txbxContent>
                                  <w:p w14:paraId="0122ACE8">
                                    <w:pPr>
                                      <w:spacing w:line="240" w:lineRule="auto"/>
                                      <w:ind w:firstLine="0" w:firstLineChars="0"/>
                                      <w:rPr>
                                        <w:b/>
                                        <w:bCs/>
                                      </w:rPr>
                                    </w:pPr>
                                    <w:r>
                                      <w:rPr>
                                        <w:rFonts w:hint="eastAsia"/>
                                        <w:b/>
                                        <w:bCs/>
                                        <w:sz w:val="21"/>
                                        <w:szCs w:val="21"/>
                                      </w:rPr>
                                      <w:t>本项目</w:t>
                                    </w:r>
                                  </w:p>
                                </w:txbxContent>
                              </wps:txbx>
                              <wps:bodyPr vert="horz" wrap="square" anchor="t" anchorCtr="0" upright="1"/>
                            </wps:wsp>
                          </wpg:wgp>
                        </a:graphicData>
                      </a:graphic>
                    </wp:anchor>
                  </w:drawing>
                </mc:Choice>
                <mc:Fallback>
                  <w:pict>
                    <v:group id="_x0000_s1026" o:spid="_x0000_s1026" o:spt="203" style="position:absolute;left:0pt;margin-left:98pt;margin-top:235.15pt;height:22.5pt;width:82.4pt;z-index:251665408;mso-width-relative:page;mso-height-relative:page;" coordorigin="5048,4348572" coordsize="1648,450" o:gfxdata="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LRXT7toAAAALAQAADwAAAAAAAAABACAAAAAiAAAAZHJz&#10;L2Rvd25yZXYueG1sUEsBAhQAFAAAAAgAh07iQKiVr/kfAwAA4gcAAA4AAAAAAAAAAQAgAAAAKQEA&#10;AGRycy9lMm9Eb2MueG1sUEsFBgAAAAAGAAYAWQEAALoGAAAAAA==&#10;">
                      <o:lock v:ext="edit" aspectratio="f"/>
                      <v:shape id="椭圆 77" o:spid="_x0000_s1026" o:spt="3" type="#_x0000_t3" style="position:absolute;left:6520;top:4348782;height:180;width:177;" fillcolor="#FF0000" filled="t" stroked="f" coordsize="21600,21600" o:gfxdata="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TszW/&#10;AAAA3AAAAA8AAAAAAAAAAQAgAAAAIgAAAGRycy9kb3ducmV2LnhtbFBLAQIUABQAAAAIAIdO4kAz&#10;LwWeOwAAADkAAAAQAAAAAAAAAAEAIAAAAA4BAABkcnMvc2hhcGV4bWwueG1sUEsFBgAAAAAGAAYA&#10;WwEAALgDAAAAAA==&#10;">
                        <v:fill on="t" focussize="0,0"/>
                        <v:stroke on="f"/>
                        <v:imagedata o:title=""/>
                        <o:lock v:ext="edit" aspectratio="f"/>
                      </v:shape>
                      <v:shape id="自选图形 78" o:spid="_x0000_s1026" o:spt="61" type="#_x0000_t61" style="position:absolute;left:5048;top:4348572;height:450;width:1005;" fillcolor="#FFFFFF" filled="t" stroked="t" coordsize="21600,21600" o:gfxdata="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vC6/&#10;AAAA3AAAAA8AAAAAAAAAAQAgAAAAIgAAAGRycy9kb3ducmV2LnhtbFBLAQIUABQAAAAIAIdO4kAz&#10;LwWeOwAAADkAAAAQAAAAAAAAAAEAIAAAAA4BAABkcnMvc2hhcGV4bWwueG1sUEsFBgAAAAAGAAYA&#10;WwEAALgDAAAAAA==&#10;" adj="32948,15120">
                        <v:fill on="t" focussize="0,0"/>
                        <v:stroke color="#000000" joinstyle="miter"/>
                        <v:imagedata o:title=""/>
                        <o:lock v:ext="edit" aspectratio="f"/>
                        <v:textbox>
                          <w:txbxContent>
                            <w:p w14:paraId="0122ACE8">
                              <w:pPr>
                                <w:spacing w:line="240" w:lineRule="auto"/>
                                <w:ind w:firstLine="0" w:firstLineChars="0"/>
                                <w:rPr>
                                  <w:b/>
                                  <w:bCs/>
                                </w:rPr>
                              </w:pPr>
                              <w:r>
                                <w:rPr>
                                  <w:rFonts w:hint="eastAsia"/>
                                  <w:b/>
                                  <w:bCs/>
                                  <w:sz w:val="21"/>
                                  <w:szCs w:val="21"/>
                                </w:rPr>
                                <w:t>本项目</w:t>
                              </w:r>
                            </w:p>
                          </w:txbxContent>
                        </v:textbox>
                      </v:shape>
                    </v:group>
                  </w:pict>
                </mc:Fallback>
              </mc:AlternateContent>
            </w:r>
            <w:r>
              <w:rPr>
                <w:rFonts w:hint="eastAsia"/>
                <w:color w:val="auto"/>
                <w:highlight w:val="none"/>
                <w:u w:val="single"/>
                <w:lang w:val="en-US" w:eastAsia="zh-CN"/>
              </w:rPr>
              <w:drawing>
                <wp:inline distT="0" distB="0" distL="114300" distR="114300">
                  <wp:extent cx="5400040" cy="6482080"/>
                  <wp:effectExtent l="0" t="0" r="10160" b="13970"/>
                  <wp:docPr id="53" name="图片 34" descr="金鼓江落急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descr="金鼓江落急流场"/>
                          <pic:cNvPicPr>
                            <a:picLocks noChangeAspect="1"/>
                          </pic:cNvPicPr>
                        </pic:nvPicPr>
                        <pic:blipFill>
                          <a:blip r:embed="rId61"/>
                          <a:stretch>
                            <a:fillRect/>
                          </a:stretch>
                        </pic:blipFill>
                        <pic:spPr>
                          <a:xfrm>
                            <a:off x="0" y="0"/>
                            <a:ext cx="5400040" cy="6482080"/>
                          </a:xfrm>
                          <a:prstGeom prst="rect">
                            <a:avLst/>
                          </a:prstGeom>
                          <a:noFill/>
                          <a:ln>
                            <a:noFill/>
                          </a:ln>
                        </pic:spPr>
                      </pic:pic>
                    </a:graphicData>
                  </a:graphic>
                </wp:inline>
              </w:drawing>
            </w:r>
          </w:p>
          <w:p w14:paraId="68A9689B">
            <w:pPr>
              <w:pStyle w:val="6"/>
              <w:numPr>
                <w:ilvl w:val="0"/>
                <w:numId w:val="0"/>
              </w:numPr>
              <w:bidi w:val="0"/>
              <w:ind w:leftChars="0"/>
              <w:jc w:val="center"/>
              <w:rPr>
                <w:rFonts w:hint="eastAsia"/>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 xml:space="preserve">图4.1-19 </w:t>
            </w:r>
            <w:r>
              <w:rPr>
                <w:rFonts w:hint="eastAsia"/>
                <w:color w:val="auto"/>
                <w:sz w:val="24"/>
                <w:szCs w:val="24"/>
                <w:highlight w:val="none"/>
                <w:u w:val="single"/>
                <w:lang w:val="en-US" w:eastAsia="zh-CN"/>
              </w:rPr>
              <w:t>金鼓江海域</w:t>
            </w:r>
            <w:r>
              <w:rPr>
                <w:rFonts w:hint="eastAsia"/>
                <w:color w:val="auto"/>
                <w:sz w:val="24"/>
                <w:szCs w:val="24"/>
                <w:highlight w:val="none"/>
                <w:u w:val="single"/>
              </w:rPr>
              <w:t>潮流场图（落急时，大潮期）</w:t>
            </w:r>
          </w:p>
          <w:p w14:paraId="51A427B3">
            <w:pPr>
              <w:pStyle w:val="43"/>
              <w:keepNext w:val="0"/>
              <w:keepLines w:val="0"/>
              <w:pageBreakBefore w:val="0"/>
              <w:widowControl w:val="0"/>
              <w:numPr>
                <w:ilvl w:val="0"/>
                <w:numId w:val="17"/>
              </w:numPr>
              <w:tabs>
                <w:tab w:val="left" w:pos="21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悬浮物源强计算</w:t>
            </w:r>
          </w:p>
          <w:p w14:paraId="7D0260B5">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回旋水域维护性疏浚中会产生悬浮泥沙，主要产生自抓斗式挖泥船疏浚和耙吸船施工过程中。</w:t>
            </w:r>
          </w:p>
          <w:p w14:paraId="5575272C">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回旋水域疏浚清淤作业搅起的泥沙进入水体，其悬浮物产生量按《水运工程建设项目环境影响评价指南》（</w:t>
            </w:r>
            <w:r>
              <w:rPr>
                <w:rFonts w:hint="default" w:ascii="宋体" w:hAnsi="Courier New" w:eastAsia="宋体" w:cs="Times New Roman"/>
                <w:color w:val="auto"/>
                <w:sz w:val="24"/>
                <w:szCs w:val="24"/>
                <w:highlight w:val="none"/>
                <w:lang w:val="en-US" w:eastAsia="zh-CN"/>
              </w:rPr>
              <w:t>JTS/T 105-2021</w:t>
            </w:r>
            <w:r>
              <w:rPr>
                <w:rFonts w:hint="eastAsia" w:ascii="宋体" w:hAnsi="Courier New" w:eastAsia="宋体" w:cs="Times New Roman"/>
                <w:color w:val="auto"/>
                <w:sz w:val="24"/>
                <w:szCs w:val="24"/>
                <w:highlight w:val="none"/>
                <w:lang w:val="en-US" w:eastAsia="zh-CN"/>
              </w:rPr>
              <w:t>）中推荐的公式进行测算：</w:t>
            </w:r>
          </w:p>
          <w:p w14:paraId="6A8AC496">
            <w:pPr>
              <w:pStyle w:val="201"/>
              <w:spacing w:line="240" w:lineRule="auto"/>
              <w:ind w:firstLine="453"/>
              <w:jc w:val="center"/>
              <w:rPr>
                <w:rFonts w:hAnsi="Cambria Math"/>
                <w:i w:val="0"/>
                <w:color w:val="auto"/>
                <w:highlight w:val="none"/>
              </w:rPr>
            </w:pPr>
            <m:oMathPara>
              <m:oMath>
                <m:r>
                  <m:rPr/>
                  <w:rPr>
                    <w:rFonts w:ascii="Cambria Math" w:hAnsi="Cambria Math"/>
                    <w:color w:val="auto"/>
                    <w:highlight w:val="none"/>
                  </w:rPr>
                  <m:t>Q=</m:t>
                </m:r>
                <m:f>
                  <m:fPr>
                    <m:ctrlPr>
                      <w:rPr>
                        <w:rFonts w:ascii="Cambria Math" w:hAnsi="Cambria Math"/>
                        <w:i/>
                        <w:color w:val="auto"/>
                        <w:highlight w:val="none"/>
                      </w:rPr>
                    </m:ctrlPr>
                  </m:fPr>
                  <m:num>
                    <m:r>
                      <m:rPr/>
                      <w:rPr>
                        <w:rFonts w:ascii="Cambria Math" w:hAnsi="Cambria Math"/>
                        <w:color w:val="auto"/>
                        <w:highlight w:val="none"/>
                      </w:rPr>
                      <m:t>R</m:t>
                    </m:r>
                    <m:ctrlPr>
                      <w:rPr>
                        <w:rFonts w:ascii="Cambria Math" w:hAnsi="Cambria Math"/>
                        <w:i/>
                        <w:color w:val="auto"/>
                        <w:highlight w:val="none"/>
                      </w:rPr>
                    </m:ctrlPr>
                  </m:num>
                  <m:den>
                    <m:sSub>
                      <m:sSubPr>
                        <m:ctrlPr>
                          <w:rPr>
                            <w:rFonts w:ascii="Cambria Math" w:hAnsi="Cambria Math"/>
                            <w:i/>
                            <w:color w:val="auto"/>
                            <w:highlight w:val="none"/>
                          </w:rPr>
                        </m:ctrlPr>
                      </m:sSubPr>
                      <m:e>
                        <m:r>
                          <m:rPr/>
                          <w:rPr>
                            <w:rFonts w:ascii="Cambria Math" w:hAnsi="Cambria Math"/>
                            <w:color w:val="auto"/>
                            <w:highlight w:val="none"/>
                          </w:rPr>
                          <m:t>R</m:t>
                        </m:r>
                        <m:ctrlPr>
                          <w:rPr>
                            <w:rFonts w:ascii="Cambria Math" w:hAnsi="Cambria Math"/>
                            <w:i/>
                            <w:color w:val="auto"/>
                            <w:highlight w:val="none"/>
                          </w:rPr>
                        </m:ctrlPr>
                      </m:e>
                      <m:sub>
                        <m:r>
                          <m:rPr/>
                          <w:rPr>
                            <w:rFonts w:ascii="Cambria Math" w:hAnsi="Cambria Math"/>
                            <w:color w:val="auto"/>
                            <w:highlight w:val="none"/>
                          </w:rPr>
                          <m:t>0</m:t>
                        </m:r>
                        <m:ctrlPr>
                          <w:rPr>
                            <w:rFonts w:ascii="Cambria Math" w:hAnsi="Cambria Math"/>
                            <w:i/>
                            <w:color w:val="auto"/>
                            <w:highlight w:val="none"/>
                          </w:rPr>
                        </m:ctrlPr>
                      </m:sub>
                    </m:sSub>
                    <m:ctrlPr>
                      <w:rPr>
                        <w:rFonts w:ascii="Cambria Math" w:hAnsi="Cambria Math"/>
                        <w:i/>
                        <w:color w:val="auto"/>
                        <w:highlight w:val="none"/>
                      </w:rPr>
                    </m:ctrlPr>
                  </m:den>
                </m:f>
                <m:r>
                  <m:rPr/>
                  <w:rPr>
                    <w:rFonts w:ascii="Cambria Math" w:hAnsi="Cambria Math"/>
                    <w:color w:val="auto"/>
                    <w:highlight w:val="none"/>
                  </w:rPr>
                  <m:t>×T</m:t>
                </m:r>
                <m:sSub>
                  <m:sSubPr>
                    <m:ctrlPr>
                      <w:rPr>
                        <w:rFonts w:ascii="Cambria Math" w:hAnsi="Cambria Math"/>
                        <w:i/>
                        <w:color w:val="auto"/>
                        <w:highlight w:val="none"/>
                      </w:rPr>
                    </m:ctrlPr>
                  </m:sSubPr>
                  <m:e>
                    <m:r>
                      <m:rPr/>
                      <w:rPr>
                        <w:rFonts w:ascii="Cambria Math" w:hAnsi="Cambria Math"/>
                        <w:color w:val="auto"/>
                        <w:highlight w:val="none"/>
                      </w:rPr>
                      <m:t>×W</m:t>
                    </m:r>
                    <m:ctrlPr>
                      <w:rPr>
                        <w:rFonts w:ascii="Cambria Math" w:hAnsi="Cambria Math"/>
                        <w:i/>
                        <w:color w:val="auto"/>
                        <w:highlight w:val="none"/>
                      </w:rPr>
                    </m:ctrlPr>
                  </m:e>
                  <m:sub>
                    <m:r>
                      <m:rPr/>
                      <w:rPr>
                        <w:rFonts w:ascii="Cambria Math" w:hAnsi="Cambria Math"/>
                        <w:color w:val="auto"/>
                        <w:highlight w:val="none"/>
                      </w:rPr>
                      <m:t>0</m:t>
                    </m:r>
                    <m:ctrlPr>
                      <w:rPr>
                        <w:rFonts w:ascii="Cambria Math" w:hAnsi="Cambria Math"/>
                        <w:i/>
                        <w:color w:val="auto"/>
                        <w:highlight w:val="none"/>
                      </w:rPr>
                    </m:ctrlPr>
                  </m:sub>
                </m:sSub>
              </m:oMath>
            </m:oMathPara>
          </w:p>
          <w:p w14:paraId="48522C40">
            <w:pPr>
              <w:pStyle w:val="201"/>
              <w:spacing w:line="240" w:lineRule="auto"/>
              <w:ind w:firstLine="453"/>
              <w:jc w:val="right"/>
              <w:rPr>
                <w:rFonts w:hint="eastAsia" w:hAnsi="Cambria Math" w:eastAsia="宋体"/>
                <w:i w:val="0"/>
                <w:color w:val="auto"/>
                <w:highlight w:val="none"/>
                <w:lang w:eastAsia="zh-CN"/>
              </w:rPr>
            </w:pPr>
          </w:p>
          <w:p w14:paraId="1DBDA5BF">
            <w:pPr>
              <w:pStyle w:val="201"/>
              <w:spacing w:line="240" w:lineRule="auto"/>
              <w:ind w:firstLine="453"/>
              <w:jc w:val="both"/>
              <w:rPr>
                <w:color w:val="auto"/>
                <w:highlight w:val="none"/>
              </w:rPr>
            </w:pPr>
            <w:r>
              <w:rPr>
                <w:color w:val="auto"/>
                <w:highlight w:val="none"/>
              </w:rPr>
              <w:t>式中：</w:t>
            </w:r>
          </w:p>
          <w:p w14:paraId="55E8273A">
            <w:pPr>
              <w:pStyle w:val="201"/>
              <w:ind w:firstLine="453"/>
              <w:rPr>
                <w:color w:val="auto"/>
                <w:highlight w:val="none"/>
              </w:rPr>
            </w:pPr>
            <w:r>
              <w:rPr>
                <w:color w:val="auto"/>
                <w:highlight w:val="none"/>
              </w:rPr>
              <w:t>Q — 疏浚作业悬浮物发生量，t/h；</w:t>
            </w:r>
          </w:p>
          <w:p w14:paraId="436C7AC0">
            <w:pPr>
              <w:pStyle w:val="201"/>
              <w:ind w:firstLine="453"/>
              <w:rPr>
                <w:color w:val="auto"/>
                <w:highlight w:val="none"/>
              </w:rPr>
            </w:pPr>
            <w:r>
              <w:rPr>
                <w:color w:val="auto"/>
                <w:highlight w:val="none"/>
              </w:rPr>
              <w:t>W</w:t>
            </w:r>
            <w:r>
              <w:rPr>
                <w:color w:val="auto"/>
                <w:highlight w:val="none"/>
                <w:vertAlign w:val="subscript"/>
              </w:rPr>
              <w:t>0</w:t>
            </w:r>
            <w:r>
              <w:rPr>
                <w:color w:val="auto"/>
                <w:highlight w:val="none"/>
              </w:rPr>
              <w:t xml:space="preserve"> — 悬浮物发生系数，t/m</w:t>
            </w:r>
            <w:r>
              <w:rPr>
                <w:color w:val="auto"/>
                <w:highlight w:val="none"/>
                <w:vertAlign w:val="superscript"/>
              </w:rPr>
              <w:t>3</w:t>
            </w:r>
            <w:r>
              <w:rPr>
                <w:color w:val="auto"/>
                <w:highlight w:val="none"/>
              </w:rPr>
              <w:t>，本评价取0.038；</w:t>
            </w:r>
          </w:p>
          <w:p w14:paraId="2316F1AD">
            <w:pPr>
              <w:pStyle w:val="201"/>
              <w:ind w:firstLine="453"/>
              <w:rPr>
                <w:color w:val="auto"/>
                <w:highlight w:val="none"/>
              </w:rPr>
            </w:pPr>
            <w:r>
              <w:rPr>
                <w:color w:val="auto"/>
                <w:highlight w:val="none"/>
              </w:rPr>
              <w:t>R — 发生系数W</w:t>
            </w:r>
            <w:r>
              <w:rPr>
                <w:color w:val="auto"/>
                <w:highlight w:val="none"/>
                <w:vertAlign w:val="subscript"/>
              </w:rPr>
              <w:t>0</w:t>
            </w:r>
            <w:r>
              <w:rPr>
                <w:color w:val="auto"/>
                <w:highlight w:val="none"/>
              </w:rPr>
              <w:t>时的悬浮物</w:t>
            </w:r>
            <w:r>
              <w:rPr>
                <w:rFonts w:hint="eastAsia"/>
                <w:color w:val="auto"/>
                <w:highlight w:val="none"/>
                <w:lang w:eastAsia="zh-CN"/>
              </w:rPr>
              <w:t>粒径</w:t>
            </w:r>
            <w:r>
              <w:rPr>
                <w:color w:val="auto"/>
                <w:highlight w:val="none"/>
              </w:rPr>
              <w:t>累计百分比，本评价取89.2%；</w:t>
            </w:r>
          </w:p>
          <w:p w14:paraId="759F90E7">
            <w:pPr>
              <w:pStyle w:val="201"/>
              <w:ind w:firstLine="453"/>
              <w:rPr>
                <w:color w:val="auto"/>
                <w:highlight w:val="none"/>
              </w:rPr>
            </w:pPr>
            <w:r>
              <w:rPr>
                <w:color w:val="auto"/>
                <w:highlight w:val="none"/>
              </w:rPr>
              <w:t>R</w:t>
            </w:r>
            <w:r>
              <w:rPr>
                <w:color w:val="auto"/>
                <w:highlight w:val="none"/>
                <w:vertAlign w:val="subscript"/>
              </w:rPr>
              <w:t>0</w:t>
            </w:r>
            <w:r>
              <w:rPr>
                <w:color w:val="auto"/>
                <w:highlight w:val="none"/>
              </w:rPr>
              <w:t xml:space="preserve"> — 现场流速悬浮物临界粒子累计百分比，本评价取80.2%；</w:t>
            </w:r>
          </w:p>
          <w:p w14:paraId="44A8BBDE">
            <w:pPr>
              <w:pStyle w:val="201"/>
              <w:ind w:firstLine="453"/>
              <w:rPr>
                <w:rFonts w:hint="eastAsia"/>
                <w:color w:val="auto"/>
                <w:highlight w:val="none"/>
                <w:u w:val="none"/>
              </w:rPr>
            </w:pPr>
            <w:r>
              <w:rPr>
                <w:rFonts w:hint="eastAsia"/>
                <w:color w:val="auto"/>
                <w:highlight w:val="none"/>
              </w:rPr>
              <w:t>T</w:t>
            </w:r>
            <w:r>
              <w:rPr>
                <w:color w:val="auto"/>
                <w:highlight w:val="none"/>
              </w:rPr>
              <w:t>(W) — 挖泥船疏浚效率</w:t>
            </w:r>
            <w:r>
              <w:rPr>
                <w:rFonts w:hint="eastAsia"/>
                <w:color w:val="auto"/>
                <w:highlight w:val="none"/>
                <w:lang w:eastAsia="zh-CN"/>
              </w:rPr>
              <w:t>，根据</w:t>
            </w:r>
            <w:r>
              <w:rPr>
                <w:rFonts w:hint="eastAsia"/>
                <w:color w:val="auto"/>
                <w:highlight w:val="none"/>
                <w:u w:val="single"/>
                <w:lang w:eastAsia="zh-CN"/>
              </w:rPr>
              <w:t>下列</w:t>
            </w:r>
            <w:r>
              <w:rPr>
                <w:rFonts w:hint="eastAsia"/>
                <w:color w:val="auto"/>
                <w:highlight w:val="none"/>
                <w:u w:val="single"/>
                <w:lang w:val="en-US" w:eastAsia="zh-CN"/>
              </w:rPr>
              <w:t>生产效率</w:t>
            </w:r>
            <w:r>
              <w:rPr>
                <w:rFonts w:hint="eastAsia"/>
                <w:color w:val="auto"/>
                <w:highlight w:val="none"/>
                <w:u w:val="single"/>
                <w:lang w:eastAsia="zh-CN"/>
              </w:rPr>
              <w:t>计算</w:t>
            </w:r>
            <w:r>
              <w:rPr>
                <w:rFonts w:hint="eastAsia"/>
                <w:color w:val="auto"/>
                <w:highlight w:val="none"/>
                <w:lang w:eastAsia="zh-CN"/>
              </w:rPr>
              <w:t>，</w:t>
            </w:r>
            <w:r>
              <w:rPr>
                <w:rFonts w:hint="eastAsia"/>
                <w:color w:val="auto"/>
                <w:highlight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lang w:eastAsia="zh-CN"/>
              </w:rPr>
              <w:t>抓斗挖泥船</w:t>
            </w:r>
            <w:r>
              <w:rPr>
                <w:color w:val="auto"/>
                <w:highlight w:val="none"/>
                <w:u w:val="none"/>
              </w:rPr>
              <w:t>疏浚效率</w:t>
            </w:r>
            <w:r>
              <w:rPr>
                <w:rFonts w:hint="eastAsia"/>
                <w:color w:val="auto"/>
                <w:highlight w:val="none"/>
                <w:u w:val="none"/>
                <w:lang w:eastAsia="zh-CN"/>
              </w:rPr>
              <w:t>为</w:t>
            </w:r>
            <w:r>
              <w:rPr>
                <w:rFonts w:hint="eastAsia"/>
                <w:color w:val="auto"/>
                <w:highlight w:val="none"/>
                <w:u w:val="none"/>
                <w:lang w:val="en-US" w:eastAsia="zh-CN"/>
              </w:rPr>
              <w:t>390</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r>
              <w:rPr>
                <w:rFonts w:hint="eastAsia"/>
                <w:color w:val="auto"/>
                <w:highlight w:val="none"/>
                <w:u w:val="none"/>
                <w:lang w:val="en-US" w:eastAsia="zh-CN"/>
              </w:rPr>
              <w:t>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w:t>
            </w:r>
            <w:r>
              <w:rPr>
                <w:color w:val="auto"/>
                <w:highlight w:val="none"/>
                <w:u w:val="none"/>
              </w:rPr>
              <w:t>挖泥效率为</w:t>
            </w:r>
            <w:r>
              <w:rPr>
                <w:rFonts w:hint="eastAsia"/>
                <w:color w:val="auto"/>
                <w:highlight w:val="none"/>
                <w:u w:val="none"/>
                <w:lang w:val="en-US" w:eastAsia="zh-CN"/>
              </w:rPr>
              <w:t>470.4</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rPr>
              <w:t>；</w:t>
            </w:r>
          </w:p>
          <w:p w14:paraId="590A7684">
            <w:pPr>
              <w:pStyle w:val="201"/>
              <w:ind w:firstLine="453"/>
              <w:rPr>
                <w:rFonts w:hint="default" w:eastAsia="宋体"/>
                <w:color w:val="auto"/>
                <w:highlight w:val="none"/>
                <w:u w:val="single"/>
                <w:lang w:val="en-US" w:eastAsia="zh-CN"/>
              </w:rPr>
            </w:pPr>
            <w:r>
              <w:rPr>
                <w:rFonts w:hint="eastAsia"/>
                <w:color w:val="auto"/>
                <w:highlight w:val="none"/>
                <w:u w:val="none"/>
                <w:lang w:eastAsia="zh-CN"/>
              </w:rPr>
              <w:t>经计算，项目</w:t>
            </w:r>
            <w:r>
              <w:rPr>
                <w:rFonts w:hint="eastAsia"/>
                <w:color w:val="auto"/>
                <w:highlight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lang w:eastAsia="zh-CN"/>
              </w:rPr>
              <w:t>抓斗挖泥船产生的悬浮物源强为</w:t>
            </w:r>
            <w:r>
              <w:rPr>
                <w:rFonts w:hint="eastAsia"/>
                <w:color w:val="auto"/>
                <w:highlight w:val="none"/>
                <w:u w:val="none"/>
                <w:lang w:val="en-US" w:eastAsia="zh-CN"/>
              </w:rPr>
              <w:t>4.58kg/s，3500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耙吸船产生的悬浮物源强为</w:t>
            </w:r>
            <w:r>
              <w:rPr>
                <w:rFonts w:hint="eastAsia"/>
                <w:color w:val="auto"/>
                <w:highlight w:val="none"/>
                <w:u w:val="none"/>
                <w:lang w:val="en-US" w:eastAsia="zh-CN"/>
              </w:rPr>
              <w:t>5.52kg/s，项目施工存在</w:t>
            </w:r>
            <w:r>
              <w:rPr>
                <w:rFonts w:hint="eastAsia"/>
                <w:color w:val="auto"/>
                <w:highlight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lang w:eastAsia="zh-CN"/>
              </w:rPr>
              <w:t>抓斗挖泥船</w:t>
            </w:r>
            <w:r>
              <w:rPr>
                <w:rFonts w:hint="eastAsia"/>
                <w:color w:val="auto"/>
                <w:highlight w:val="none"/>
                <w:u w:val="none"/>
                <w:lang w:val="en-US" w:eastAsia="zh-CN"/>
              </w:rPr>
              <w:t>和3500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w:t>
            </w:r>
            <w:r>
              <w:rPr>
                <w:rFonts w:hint="eastAsia"/>
                <w:color w:val="auto"/>
                <w:highlight w:val="none"/>
                <w:u w:val="none"/>
                <w:lang w:val="en-US" w:eastAsia="zh-CN"/>
              </w:rPr>
              <w:t>同时作业，</w:t>
            </w:r>
            <w:r>
              <w:rPr>
                <w:rFonts w:hint="eastAsia"/>
                <w:color w:val="auto"/>
                <w:highlight w:val="none"/>
                <w:u w:val="single"/>
                <w:lang w:val="en-US" w:eastAsia="zh-CN"/>
              </w:rPr>
              <w:t>工程区内抓斗挖泥船和耙吸船同时施工产生的最大悬浮物源强为10.10kg/s。</w:t>
            </w:r>
          </w:p>
          <w:p w14:paraId="5EF17AD7">
            <w:pPr>
              <w:pStyle w:val="43"/>
              <w:tabs>
                <w:tab w:val="left" w:pos="216"/>
              </w:tabs>
              <w:ind w:firstLine="482" w:firstLineChars="200"/>
              <w:rPr>
                <w:rFonts w:ascii="Times New Roman" w:hAnsi="Times New Roman" w:eastAsia="宋体" w:cs="Times New Roman"/>
                <w:b/>
                <w:bCs/>
                <w:color w:val="auto"/>
                <w:kern w:val="2"/>
                <w:sz w:val="24"/>
                <w:szCs w:val="24"/>
                <w:highlight w:val="none"/>
                <w:u w:val="none"/>
                <w:lang w:val="en-US" w:eastAsia="zh-CN" w:bidi="ar-SA"/>
              </w:rPr>
            </w:pPr>
            <w:r>
              <w:rPr>
                <w:rFonts w:hint="eastAsia" w:ascii="Times New Roman" w:hAnsi="Times New Roman" w:eastAsia="宋体" w:cs="Times New Roman"/>
                <w:b/>
                <w:bCs/>
                <w:color w:val="auto"/>
                <w:kern w:val="2"/>
                <w:sz w:val="24"/>
                <w:szCs w:val="24"/>
                <w:highlight w:val="none"/>
                <w:u w:val="none"/>
                <w:lang w:val="en-US" w:eastAsia="zh-CN" w:bidi="ar-SA"/>
              </w:rPr>
              <w:t>①抓斗挖泥船生产效率计算</w:t>
            </w:r>
          </w:p>
          <w:p w14:paraId="783DE374">
            <w:pPr>
              <w:pStyle w:val="201"/>
              <w:ind w:firstLine="453"/>
              <w:rPr>
                <w:rFonts w:ascii="Times New Roman" w:hAnsi="Times New Roman" w:eastAsia="宋体" w:cs="Times New Roman"/>
                <w:color w:val="auto"/>
                <w:highlight w:val="none"/>
                <w:u w:val="none"/>
                <w:lang w:val="en-US" w:eastAsia="zh-CN"/>
              </w:rPr>
            </w:pPr>
            <w:r>
              <w:rPr>
                <w:rFonts w:ascii="Times New Roman" w:hAnsi="Times New Roman" w:eastAsia="宋体" w:cs="Times New Roman"/>
                <w:color w:val="auto"/>
                <w:highlight w:val="none"/>
                <w:u w:val="none"/>
                <w:lang w:val="en-US" w:eastAsia="zh-CN"/>
              </w:rPr>
              <w:t>根据《</w:t>
            </w:r>
            <w:r>
              <w:rPr>
                <w:rFonts w:hint="eastAsia" w:ascii="Times New Roman" w:hAnsi="Times New Roman" w:eastAsia="宋体" w:cs="Times New Roman"/>
                <w:color w:val="auto"/>
                <w:highlight w:val="none"/>
                <w:u w:val="none"/>
                <w:lang w:val="en-US" w:eastAsia="zh-CN"/>
              </w:rPr>
              <w:t>疏浚与吹填工程设计规范</w:t>
            </w:r>
            <w:r>
              <w:rPr>
                <w:rFonts w:ascii="Times New Roman" w:hAnsi="Times New Roman" w:eastAsia="宋体" w:cs="Times New Roman"/>
                <w:color w:val="auto"/>
                <w:highlight w:val="none"/>
                <w:u w:val="none"/>
                <w:lang w:val="en-US" w:eastAsia="zh-CN"/>
              </w:rPr>
              <w:t>》（JT</w:t>
            </w:r>
            <w:r>
              <w:rPr>
                <w:rFonts w:hint="eastAsia" w:ascii="Times New Roman" w:hAnsi="Times New Roman" w:eastAsia="宋体" w:cs="Times New Roman"/>
                <w:color w:val="auto"/>
                <w:highlight w:val="none"/>
                <w:u w:val="none"/>
                <w:lang w:val="en-US" w:eastAsia="zh-CN"/>
              </w:rPr>
              <w:t>S181-5-2012</w:t>
            </w:r>
            <w:r>
              <w:rPr>
                <w:rFonts w:ascii="Times New Roman" w:hAnsi="Times New Roman" w:eastAsia="宋体" w:cs="Times New Roman"/>
                <w:color w:val="auto"/>
                <w:highlight w:val="none"/>
                <w:u w:val="none"/>
                <w:lang w:val="en-US" w:eastAsia="zh-CN"/>
              </w:rPr>
              <w:t>），挖泥船疏浚效率计算如下：</w:t>
            </w:r>
          </w:p>
          <w:p w14:paraId="6661495A">
            <w:pPr>
              <w:pStyle w:val="43"/>
              <w:ind w:firstLine="227"/>
              <w:jc w:val="right"/>
              <w:rPr>
                <w:rFonts w:hint="default" w:eastAsia="宋体"/>
                <w:color w:val="auto"/>
                <w:highlight w:val="none"/>
                <w:u w:val="none"/>
                <w:lang w:val="en-US" w:eastAsia="zh-CN"/>
              </w:rPr>
            </w:pPr>
            <w:r>
              <w:rPr>
                <w:color w:val="auto"/>
                <w:highlight w:val="none"/>
                <w:u w:val="none"/>
              </w:rPr>
              <w:drawing>
                <wp:inline distT="0" distB="0" distL="114300" distR="114300">
                  <wp:extent cx="1724660" cy="551180"/>
                  <wp:effectExtent l="0" t="0" r="8890" b="1270"/>
                  <wp:docPr id="3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4"/>
                          <pic:cNvPicPr>
                            <a:picLocks noChangeAspect="1"/>
                          </pic:cNvPicPr>
                        </pic:nvPicPr>
                        <pic:blipFill>
                          <a:blip r:embed="rId62"/>
                          <a:stretch>
                            <a:fillRect/>
                          </a:stretch>
                        </pic:blipFill>
                        <pic:spPr>
                          <a:xfrm>
                            <a:off x="0" y="0"/>
                            <a:ext cx="1724660" cy="551180"/>
                          </a:xfrm>
                          <a:prstGeom prst="rect">
                            <a:avLst/>
                          </a:prstGeom>
                          <a:noFill/>
                          <a:ln>
                            <a:noFill/>
                          </a:ln>
                        </pic:spPr>
                      </pic:pic>
                    </a:graphicData>
                  </a:graphic>
                </wp:inline>
              </w:drawing>
            </w:r>
            <w:r>
              <w:rPr>
                <w:rFonts w:hint="eastAsia"/>
                <w:color w:val="auto"/>
                <w:highlight w:val="none"/>
                <w:u w:val="none"/>
                <w:lang w:val="en-US" w:eastAsia="zh-CN"/>
              </w:rPr>
              <w:t xml:space="preserve">                      （式4.2）</w:t>
            </w:r>
          </w:p>
          <w:p w14:paraId="2749E0B4">
            <w:pPr>
              <w:pStyle w:val="43"/>
              <w:ind w:firstLine="420" w:firstLineChars="200"/>
              <w:rPr>
                <w:color w:val="auto"/>
                <w:highlight w:val="none"/>
                <w:u w:val="none"/>
              </w:rPr>
            </w:pPr>
            <w:r>
              <w:rPr>
                <w:color w:val="auto"/>
                <w:highlight w:val="none"/>
                <w:u w:val="none"/>
              </w:rPr>
              <w:t>式中：</w:t>
            </w:r>
          </w:p>
          <w:p w14:paraId="6C6EFD39">
            <w:pPr>
              <w:pStyle w:val="43"/>
              <w:tabs>
                <w:tab w:val="left" w:pos="216"/>
              </w:tabs>
              <w:ind w:firstLine="480" w:firstLineChars="200"/>
              <w:rPr>
                <w:rFonts w:ascii="Times New Roman" w:hAnsi="Times New Roman" w:eastAsia="宋体" w:cs="Times New Roman"/>
                <w:color w:val="auto"/>
                <w:kern w:val="2"/>
                <w:sz w:val="24"/>
                <w:szCs w:val="24"/>
                <w:highlight w:val="none"/>
                <w:u w:val="none"/>
                <w:lang w:val="en-US" w:eastAsia="zh-CN" w:bidi="ar-SA"/>
              </w:rPr>
            </w:pPr>
            <w:r>
              <w:rPr>
                <w:rFonts w:ascii="Times New Roman" w:hAnsi="Times New Roman" w:eastAsia="宋体" w:cs="Times New Roman"/>
                <w:color w:val="auto"/>
                <w:kern w:val="2"/>
                <w:sz w:val="24"/>
                <w:szCs w:val="24"/>
                <w:highlight w:val="none"/>
                <w:u w:val="none"/>
                <w:lang w:val="en-US" w:eastAsia="zh-CN" w:bidi="ar-SA"/>
              </w:rPr>
              <w:t>W—抓斗挖泥船小时生产率，m</w:t>
            </w:r>
            <w:r>
              <w:rPr>
                <w:rFonts w:ascii="Times New Roman" w:hAnsi="Times New Roman" w:eastAsia="宋体" w:cs="Times New Roman"/>
                <w:color w:val="auto"/>
                <w:kern w:val="2"/>
                <w:sz w:val="24"/>
                <w:szCs w:val="24"/>
                <w:highlight w:val="none"/>
                <w:u w:val="none"/>
                <w:vertAlign w:val="superscript"/>
                <w:lang w:val="en-US" w:eastAsia="zh-CN" w:bidi="ar-SA"/>
              </w:rPr>
              <w:t>3</w:t>
            </w:r>
            <w:r>
              <w:rPr>
                <w:rFonts w:ascii="Times New Roman" w:hAnsi="Times New Roman" w:eastAsia="宋体" w:cs="Times New Roman"/>
                <w:color w:val="auto"/>
                <w:kern w:val="2"/>
                <w:sz w:val="24"/>
                <w:szCs w:val="24"/>
                <w:highlight w:val="none"/>
                <w:u w:val="none"/>
                <w:lang w:val="en-US" w:eastAsia="zh-CN" w:bidi="ar-SA"/>
              </w:rPr>
              <w:t>/h；</w:t>
            </w:r>
          </w:p>
          <w:p w14:paraId="5653D024">
            <w:pPr>
              <w:pStyle w:val="201"/>
              <w:ind w:firstLine="453"/>
              <w:rPr>
                <w:color w:val="auto"/>
                <w:highlight w:val="none"/>
                <w:u w:val="none"/>
              </w:rPr>
            </w:pPr>
            <w:r>
              <w:rPr>
                <w:color w:val="auto"/>
                <w:highlight w:val="none"/>
                <w:u w:val="none"/>
              </w:rPr>
              <w:t>n—每小时抓取数，本评价按120S/斗计</w:t>
            </w:r>
            <w:r>
              <w:rPr>
                <w:rFonts w:hint="eastAsia"/>
                <w:color w:val="auto"/>
                <w:highlight w:val="none"/>
                <w:u w:val="none"/>
                <w:lang w:eastAsia="zh-CN"/>
              </w:rPr>
              <w:t>，每小时抓取</w:t>
            </w:r>
            <w:r>
              <w:rPr>
                <w:rFonts w:hint="eastAsia"/>
                <w:color w:val="auto"/>
                <w:highlight w:val="none"/>
                <w:u w:val="none"/>
                <w:lang w:val="en-US" w:eastAsia="zh-CN"/>
              </w:rPr>
              <w:t>30次</w:t>
            </w:r>
            <w:r>
              <w:rPr>
                <w:color w:val="auto"/>
                <w:highlight w:val="none"/>
                <w:u w:val="none"/>
              </w:rPr>
              <w:t>；</w:t>
            </w:r>
          </w:p>
          <w:p w14:paraId="243BCA7D">
            <w:pPr>
              <w:pStyle w:val="201"/>
              <w:ind w:firstLine="453"/>
              <w:rPr>
                <w:color w:val="auto"/>
                <w:highlight w:val="none"/>
                <w:u w:val="none"/>
              </w:rPr>
            </w:pPr>
            <w:r>
              <w:rPr>
                <w:color w:val="auto"/>
                <w:highlight w:val="none"/>
                <w:u w:val="none"/>
              </w:rPr>
              <w:t>c—抓斗容量，本工程水下开挖挖泥船抓斗容量为</w:t>
            </w:r>
            <w:r>
              <w:rPr>
                <w:rFonts w:hint="eastAsia"/>
                <w:color w:val="auto"/>
                <w:highlight w:val="none"/>
                <w:u w:val="none"/>
                <w:lang w:val="en-US" w:eastAsia="zh-CN"/>
              </w:rPr>
              <w:t>10</w:t>
            </w:r>
            <w:r>
              <w:rPr>
                <w:color w:val="auto"/>
                <w:highlight w:val="none"/>
                <w:u w:val="none"/>
              </w:rPr>
              <w:t>m</w:t>
            </w:r>
            <w:r>
              <w:rPr>
                <w:color w:val="auto"/>
                <w:highlight w:val="none"/>
                <w:u w:val="none"/>
                <w:vertAlign w:val="superscript"/>
              </w:rPr>
              <w:t>3</w:t>
            </w:r>
            <w:r>
              <w:rPr>
                <w:color w:val="auto"/>
                <w:highlight w:val="none"/>
                <w:u w:val="none"/>
              </w:rPr>
              <w:t>；</w:t>
            </w:r>
          </w:p>
          <w:p w14:paraId="7CA12ED9">
            <w:pPr>
              <w:pStyle w:val="201"/>
              <w:ind w:firstLine="453"/>
              <w:rPr>
                <w:color w:val="auto"/>
                <w:highlight w:val="none"/>
                <w:u w:val="none"/>
              </w:rPr>
            </w:pPr>
            <w:r>
              <w:rPr>
                <w:color w:val="auto"/>
                <w:highlight w:val="none"/>
                <w:u w:val="none"/>
              </w:rPr>
              <w:t>B—</w:t>
            </w:r>
            <w:r>
              <w:rPr>
                <w:rFonts w:hint="eastAsia"/>
                <w:color w:val="auto"/>
                <w:highlight w:val="none"/>
                <w:u w:val="none"/>
                <w:lang w:eastAsia="zh-CN"/>
              </w:rPr>
              <w:t>岩</w:t>
            </w:r>
            <w:r>
              <w:rPr>
                <w:color w:val="auto"/>
                <w:highlight w:val="none"/>
                <w:u w:val="none"/>
              </w:rPr>
              <w:t>土的搅松系数，</w:t>
            </w:r>
            <w:r>
              <w:rPr>
                <w:rFonts w:hint="eastAsia"/>
                <w:color w:val="auto"/>
                <w:highlight w:val="none"/>
                <w:u w:val="none"/>
                <w:lang w:eastAsia="zh-CN"/>
              </w:rPr>
              <w:t>淤泥质土搅松系数为</w:t>
            </w:r>
            <w:r>
              <w:rPr>
                <w:rFonts w:hint="eastAsia"/>
                <w:color w:val="auto"/>
                <w:highlight w:val="none"/>
                <w:u w:val="none"/>
                <w:lang w:val="en-US" w:eastAsia="zh-CN"/>
              </w:rPr>
              <w:t>1.00~1.10。</w:t>
            </w:r>
            <w:r>
              <w:rPr>
                <w:rFonts w:hint="eastAsia"/>
                <w:color w:val="auto"/>
                <w:highlight w:val="none"/>
                <w:u w:val="single"/>
                <w:lang w:val="en-US" w:eastAsia="zh-CN"/>
              </w:rPr>
              <w:t>本项目疏浚物主要为淤泥类，</w:t>
            </w:r>
            <w:r>
              <w:rPr>
                <w:color w:val="auto"/>
                <w:highlight w:val="none"/>
                <w:u w:val="none"/>
              </w:rPr>
              <w:t>本评价取1</w:t>
            </w:r>
            <w:r>
              <w:rPr>
                <w:rFonts w:hint="eastAsia"/>
                <w:color w:val="auto"/>
                <w:highlight w:val="none"/>
                <w:u w:val="none"/>
                <w:lang w:val="en-US" w:eastAsia="zh-CN"/>
              </w:rPr>
              <w:t>.00</w:t>
            </w:r>
            <w:r>
              <w:rPr>
                <w:color w:val="auto"/>
                <w:highlight w:val="none"/>
                <w:u w:val="none"/>
              </w:rPr>
              <w:t>；</w:t>
            </w:r>
          </w:p>
          <w:p w14:paraId="5EEC2397">
            <w:pPr>
              <w:pStyle w:val="201"/>
              <w:ind w:firstLine="453"/>
              <w:rPr>
                <w:color w:val="auto"/>
                <w:highlight w:val="none"/>
                <w:u w:val="single"/>
              </w:rPr>
            </w:pPr>
            <w:r>
              <w:rPr>
                <w:color w:val="auto"/>
                <w:highlight w:val="none"/>
                <w:u w:val="none"/>
              </w:rPr>
              <w:t>f</w:t>
            </w:r>
            <w:r>
              <w:rPr>
                <w:color w:val="auto"/>
                <w:highlight w:val="none"/>
                <w:u w:val="none"/>
                <w:vertAlign w:val="subscript"/>
              </w:rPr>
              <w:t>m</w:t>
            </w:r>
            <w:r>
              <w:rPr>
                <w:color w:val="auto"/>
                <w:highlight w:val="none"/>
                <w:u w:val="none"/>
              </w:rPr>
              <w:t>—抓斗充泥系数，</w:t>
            </w:r>
            <w:r>
              <w:rPr>
                <w:rFonts w:hint="eastAsia"/>
                <w:color w:val="auto"/>
                <w:highlight w:val="none"/>
                <w:u w:val="none"/>
                <w:lang w:val="en-US" w:eastAsia="zh-CN"/>
              </w:rPr>
              <w:t>f</w:t>
            </w:r>
            <w:r>
              <w:rPr>
                <w:rFonts w:hint="eastAsia"/>
                <w:color w:val="auto"/>
                <w:highlight w:val="none"/>
                <w:u w:val="none"/>
                <w:vertAlign w:val="subscript"/>
                <w:lang w:val="en-US" w:eastAsia="zh-CN"/>
              </w:rPr>
              <w:t>m</w:t>
            </w:r>
            <w:r>
              <w:rPr>
                <w:rFonts w:hint="eastAsia"/>
                <w:color w:val="auto"/>
                <w:highlight w:val="none"/>
                <w:u w:val="none"/>
                <w:lang w:val="en-US" w:eastAsia="zh-CN"/>
              </w:rPr>
              <w:t>值对于淤泥可取1.2~1.5；对于砂或砂质粘土可取 0.9~1.1；对于石质土，f</w:t>
            </w:r>
            <w:r>
              <w:rPr>
                <w:rFonts w:hint="eastAsia"/>
                <w:color w:val="auto"/>
                <w:highlight w:val="none"/>
                <w:u w:val="none"/>
                <w:vertAlign w:val="subscript"/>
                <w:lang w:val="en-US" w:eastAsia="zh-CN"/>
              </w:rPr>
              <w:t>m</w:t>
            </w:r>
            <w:r>
              <w:rPr>
                <w:rFonts w:hint="eastAsia"/>
                <w:color w:val="auto"/>
                <w:highlight w:val="none"/>
                <w:u w:val="none"/>
                <w:lang w:val="en-US" w:eastAsia="zh-CN"/>
              </w:rPr>
              <w:t>可取0.3~0.6。</w:t>
            </w:r>
            <w:r>
              <w:rPr>
                <w:rFonts w:hint="eastAsia"/>
                <w:color w:val="auto"/>
                <w:highlight w:val="none"/>
                <w:u w:val="single"/>
                <w:lang w:val="en-US" w:eastAsia="zh-CN"/>
              </w:rPr>
              <w:t>本项目疏浚物主要为淤泥类，</w:t>
            </w:r>
            <w:r>
              <w:rPr>
                <w:color w:val="auto"/>
                <w:highlight w:val="none"/>
                <w:u w:val="single"/>
              </w:rPr>
              <w:t>本评价取</w:t>
            </w:r>
            <w:r>
              <w:rPr>
                <w:rFonts w:hint="eastAsia"/>
                <w:color w:val="auto"/>
                <w:highlight w:val="none"/>
                <w:u w:val="single"/>
                <w:lang w:val="en-US" w:eastAsia="zh-CN"/>
              </w:rPr>
              <w:t>1.3</w:t>
            </w:r>
            <w:r>
              <w:rPr>
                <w:color w:val="auto"/>
                <w:highlight w:val="none"/>
                <w:u w:val="single"/>
              </w:rPr>
              <w:t>。</w:t>
            </w:r>
          </w:p>
          <w:p w14:paraId="479ADD3C">
            <w:pPr>
              <w:pStyle w:val="201"/>
              <w:ind w:firstLine="453"/>
              <w:rPr>
                <w:rFonts w:hint="eastAsia" w:eastAsia="宋体"/>
                <w:color w:val="auto"/>
                <w:highlight w:val="none"/>
                <w:u w:val="none"/>
                <w:lang w:eastAsia="zh-CN"/>
              </w:rPr>
            </w:pPr>
            <w:r>
              <w:rPr>
                <w:color w:val="auto"/>
                <w:highlight w:val="none"/>
                <w:u w:val="none"/>
              </w:rPr>
              <w:t>由上式计算可知，</w:t>
            </w:r>
            <w:r>
              <w:rPr>
                <w:rFonts w:hint="eastAsia"/>
                <w:color w:val="auto"/>
                <w:highlight w:val="none"/>
                <w:u w:val="none"/>
                <w:lang w:val="en-US" w:eastAsia="zh-CN"/>
              </w:rPr>
              <w:t>10</w:t>
            </w:r>
            <w:r>
              <w:rPr>
                <w:color w:val="auto"/>
                <w:highlight w:val="none"/>
                <w:u w:val="none"/>
              </w:rPr>
              <w:t>m</w:t>
            </w:r>
            <w:r>
              <w:rPr>
                <w:color w:val="auto"/>
                <w:highlight w:val="none"/>
                <w:u w:val="none"/>
                <w:vertAlign w:val="superscript"/>
              </w:rPr>
              <w:t>3</w:t>
            </w:r>
            <w:r>
              <w:rPr>
                <w:rFonts w:hint="eastAsia"/>
                <w:color w:val="auto"/>
                <w:highlight w:val="none"/>
                <w:u w:val="none"/>
              </w:rPr>
              <w:t>抓斗</w:t>
            </w:r>
            <w:r>
              <w:rPr>
                <w:color w:val="auto"/>
                <w:highlight w:val="none"/>
                <w:u w:val="none"/>
              </w:rPr>
              <w:t>挖泥船挖泥效率为</w:t>
            </w:r>
            <w:r>
              <w:rPr>
                <w:rFonts w:hint="eastAsia"/>
                <w:color w:val="auto"/>
                <w:highlight w:val="none"/>
                <w:u w:val="none"/>
                <w:lang w:val="en-US" w:eastAsia="zh-CN"/>
              </w:rPr>
              <w:t>390</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p>
          <w:p w14:paraId="6CE54CBF">
            <w:pPr>
              <w:pStyle w:val="201"/>
              <w:ind w:firstLine="453"/>
              <w:rPr>
                <w:rFonts w:hint="eastAsia" w:ascii="Times New Roman" w:hAnsi="Times New Roman" w:eastAsia="宋体" w:cs="Times New Roman"/>
                <w:b/>
                <w:bCs/>
                <w:color w:val="auto"/>
                <w:highlight w:val="none"/>
                <w:u w:val="none"/>
                <w:lang w:eastAsia="zh-CN"/>
              </w:rPr>
            </w:pPr>
            <w:r>
              <w:rPr>
                <w:rFonts w:hint="eastAsia" w:ascii="Times New Roman" w:hAnsi="Times New Roman" w:eastAsia="宋体" w:cs="Times New Roman"/>
                <w:b/>
                <w:bCs/>
                <w:color w:val="auto"/>
                <w:highlight w:val="none"/>
                <w:u w:val="none"/>
                <w:lang w:eastAsia="zh-CN"/>
              </w:rPr>
              <w:t>②耙吸装舱生产率计算</w:t>
            </w:r>
          </w:p>
          <w:p w14:paraId="1DFE9219">
            <w:pPr>
              <w:pStyle w:val="201"/>
              <w:ind w:firstLine="453"/>
              <w:rPr>
                <w:rFonts w:hint="eastAsia"/>
                <w:color w:val="auto"/>
                <w:highlight w:val="none"/>
                <w:u w:val="none"/>
                <w:lang w:eastAsia="zh-CN"/>
              </w:rPr>
            </w:pPr>
            <w:r>
              <w:rPr>
                <w:rFonts w:hint="eastAsia"/>
                <w:color w:val="auto"/>
                <w:highlight w:val="none"/>
                <w:u w:val="none"/>
                <w:lang w:eastAsia="zh-CN"/>
              </w:rPr>
              <w:t>根据</w:t>
            </w:r>
            <w:r>
              <w:rPr>
                <w:rFonts w:ascii="Times New Roman" w:hAnsi="Times New Roman" w:eastAsia="宋体" w:cs="Times New Roman"/>
                <w:color w:val="auto"/>
                <w:highlight w:val="none"/>
                <w:u w:val="none"/>
                <w:lang w:val="en-US" w:eastAsia="zh-CN"/>
              </w:rPr>
              <w:t>《</w:t>
            </w:r>
            <w:r>
              <w:rPr>
                <w:rFonts w:hint="eastAsia" w:ascii="Times New Roman" w:hAnsi="Times New Roman" w:eastAsia="宋体" w:cs="Times New Roman"/>
                <w:color w:val="auto"/>
                <w:highlight w:val="none"/>
                <w:u w:val="none"/>
                <w:lang w:val="en-US" w:eastAsia="zh-CN"/>
              </w:rPr>
              <w:t>疏浚与吹填工程设计规范</w:t>
            </w:r>
            <w:r>
              <w:rPr>
                <w:rFonts w:ascii="Times New Roman" w:hAnsi="Times New Roman" w:eastAsia="宋体" w:cs="Times New Roman"/>
                <w:color w:val="auto"/>
                <w:highlight w:val="none"/>
                <w:u w:val="none"/>
                <w:lang w:val="en-US" w:eastAsia="zh-CN"/>
              </w:rPr>
              <w:t>》（JT</w:t>
            </w:r>
            <w:r>
              <w:rPr>
                <w:rFonts w:hint="eastAsia" w:ascii="Times New Roman" w:hAnsi="Times New Roman" w:eastAsia="宋体" w:cs="Times New Roman"/>
                <w:color w:val="auto"/>
                <w:highlight w:val="none"/>
                <w:u w:val="none"/>
                <w:lang w:val="en-US" w:eastAsia="zh-CN"/>
              </w:rPr>
              <w:t>S181-5-2012</w:t>
            </w:r>
            <w:r>
              <w:rPr>
                <w:rFonts w:ascii="Times New Roman" w:hAnsi="Times New Roman" w:eastAsia="宋体" w:cs="Times New Roman"/>
                <w:color w:val="auto"/>
                <w:highlight w:val="none"/>
                <w:u w:val="none"/>
                <w:lang w:val="en-US" w:eastAsia="zh-CN"/>
              </w:rPr>
              <w:t>）</w:t>
            </w:r>
            <w:r>
              <w:rPr>
                <w:rFonts w:hint="eastAsia" w:ascii="Times New Roman" w:hAnsi="Times New Roman" w:eastAsia="宋体" w:cs="Times New Roman"/>
                <w:color w:val="auto"/>
                <w:highlight w:val="none"/>
                <w:u w:val="none"/>
                <w:lang w:val="en-US" w:eastAsia="zh-CN"/>
              </w:rPr>
              <w:t>，</w:t>
            </w:r>
            <w:r>
              <w:rPr>
                <w:rFonts w:hint="eastAsia" w:ascii="Times New Roman" w:hAnsi="Times New Roman" w:eastAsia="宋体" w:cs="Times New Roman"/>
                <w:color w:val="auto"/>
                <w:kern w:val="2"/>
                <w:sz w:val="24"/>
                <w:szCs w:val="24"/>
                <w:highlight w:val="none"/>
                <w:u w:val="none"/>
                <w:lang w:val="en-US" w:eastAsia="zh-CN" w:bidi="ar-SA"/>
              </w:rPr>
              <w:t>耙吸装舱施工的循环运转小时生产率计算</w:t>
            </w:r>
            <w:r>
              <w:rPr>
                <w:rFonts w:hint="eastAsia" w:cs="Times New Roman"/>
                <w:color w:val="auto"/>
                <w:kern w:val="2"/>
                <w:sz w:val="24"/>
                <w:szCs w:val="24"/>
                <w:highlight w:val="none"/>
                <w:u w:val="none"/>
                <w:lang w:val="en-US" w:eastAsia="zh-CN" w:bidi="ar-SA"/>
              </w:rPr>
              <w:t>公式如下</w:t>
            </w:r>
            <w:r>
              <w:rPr>
                <w:rFonts w:hint="eastAsia" w:ascii="Times New Roman" w:hAnsi="Times New Roman" w:eastAsia="宋体" w:cs="Times New Roman"/>
                <w:color w:val="auto"/>
                <w:kern w:val="2"/>
                <w:sz w:val="24"/>
                <w:szCs w:val="24"/>
                <w:highlight w:val="none"/>
                <w:u w:val="none"/>
                <w:lang w:val="en-US" w:eastAsia="zh-CN" w:bidi="ar-SA"/>
              </w:rPr>
              <w:t>：</w:t>
            </w:r>
          </w:p>
          <w:p w14:paraId="6A9545B5">
            <w:pPr>
              <w:pStyle w:val="201"/>
              <w:spacing w:line="240" w:lineRule="auto"/>
              <w:ind w:firstLine="453"/>
              <w:jc w:val="center"/>
              <w:rPr>
                <w:color w:val="auto"/>
                <w:highlight w:val="none"/>
                <w:u w:val="none"/>
              </w:rPr>
            </w:pPr>
            <w:r>
              <w:rPr>
                <w:color w:val="auto"/>
                <w:highlight w:val="none"/>
                <w:u w:val="none"/>
              </w:rPr>
              <w:drawing>
                <wp:inline distT="0" distB="0" distL="114300" distR="114300">
                  <wp:extent cx="2371725" cy="692785"/>
                  <wp:effectExtent l="0" t="0" r="9525" b="12065"/>
                  <wp:docPr id="3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2"/>
                          <pic:cNvPicPr>
                            <a:picLocks noChangeAspect="1"/>
                          </pic:cNvPicPr>
                        </pic:nvPicPr>
                        <pic:blipFill>
                          <a:blip r:embed="rId63"/>
                          <a:stretch>
                            <a:fillRect/>
                          </a:stretch>
                        </pic:blipFill>
                        <pic:spPr>
                          <a:xfrm>
                            <a:off x="0" y="0"/>
                            <a:ext cx="2371725" cy="692785"/>
                          </a:xfrm>
                          <a:prstGeom prst="rect">
                            <a:avLst/>
                          </a:prstGeom>
                          <a:noFill/>
                          <a:ln>
                            <a:noFill/>
                          </a:ln>
                        </pic:spPr>
                      </pic:pic>
                    </a:graphicData>
                  </a:graphic>
                </wp:inline>
              </w:drawing>
            </w:r>
          </w:p>
          <w:p w14:paraId="18F517BC">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eastAsia="zh-CN"/>
              </w:rPr>
              <w:t>式中：</w:t>
            </w:r>
          </w:p>
          <w:p w14:paraId="1927DAE0">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eastAsia="zh-CN"/>
              </w:rPr>
              <w:t>W</w:t>
            </w:r>
            <w:r>
              <w:rPr>
                <w:color w:val="auto"/>
                <w:highlight w:val="none"/>
                <w:u w:val="none"/>
              </w:rPr>
              <w:t>—</w:t>
            </w:r>
            <w:r>
              <w:rPr>
                <w:rFonts w:hint="eastAsia" w:ascii="Times New Roman" w:hAnsi="Times New Roman" w:eastAsia="宋体" w:cs="Times New Roman"/>
                <w:color w:val="auto"/>
                <w:highlight w:val="none"/>
                <w:u w:val="none"/>
                <w:lang w:eastAsia="zh-CN"/>
              </w:rPr>
              <w:t>耙吸装舱循环运转小时生产率(m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eastAsia="zh-CN"/>
              </w:rPr>
              <w:t>/h);</w:t>
            </w:r>
          </w:p>
          <w:p w14:paraId="266CA52F">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q</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泥舱装载土方量(m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single"/>
                <w:lang w:eastAsia="zh-CN"/>
              </w:rPr>
              <w:t>项目施工方案</w:t>
            </w:r>
            <w:r>
              <w:rPr>
                <w:rFonts w:hint="eastAsia" w:ascii="Times New Roman" w:hAnsi="Times New Roman" w:eastAsia="宋体" w:cs="Times New Roman"/>
                <w:color w:val="auto"/>
                <w:highlight w:val="none"/>
                <w:u w:val="none"/>
                <w:lang w:eastAsia="zh-CN"/>
              </w:rPr>
              <w:t>设计满仓为泥舱容量的</w:t>
            </w:r>
            <w:r>
              <w:rPr>
                <w:rFonts w:hint="eastAsia" w:ascii="Times New Roman" w:hAnsi="Times New Roman" w:eastAsia="宋体" w:cs="Times New Roman"/>
                <w:color w:val="auto"/>
                <w:highlight w:val="none"/>
                <w:u w:val="none"/>
                <w:lang w:val="en-US" w:eastAsia="zh-CN"/>
              </w:rPr>
              <w:t>85%，本评价取值2974</w:t>
            </w:r>
            <w:r>
              <w:rPr>
                <w:rFonts w:hint="eastAsia" w:ascii="Times New Roman" w:hAnsi="Times New Roman" w:eastAsia="宋体" w:cs="Times New Roman"/>
                <w:color w:val="auto"/>
                <w:highlight w:val="none"/>
                <w:u w:val="none"/>
                <w:lang w:eastAsia="zh-CN"/>
              </w:rPr>
              <w:t>m</w:t>
            </w:r>
            <w:r>
              <w:rPr>
                <w:rFonts w:hint="eastAsia" w:ascii="Times New Roman" w:hAnsi="Times New Roman" w:eastAsia="宋体" w:cs="Times New Roman"/>
                <w:color w:val="auto"/>
                <w:highlight w:val="none"/>
                <w:u w:val="none"/>
                <w:vertAlign w:val="superscript"/>
                <w:lang w:val="en-US" w:eastAsia="zh-CN"/>
              </w:rPr>
              <w:t>3</w:t>
            </w:r>
            <w:r>
              <w:rPr>
                <w:rFonts w:hint="eastAsia" w:ascii="Times New Roman" w:hAnsi="Times New Roman" w:eastAsia="宋体" w:cs="Times New Roman"/>
                <w:color w:val="auto"/>
                <w:highlight w:val="none"/>
                <w:u w:val="none"/>
                <w:lang w:val="en-US" w:eastAsia="zh-CN"/>
              </w:rPr>
              <w:t>；</w:t>
            </w:r>
          </w:p>
          <w:p w14:paraId="4C652E1E">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重载航行地段长度(km)，</w:t>
            </w:r>
            <w:r>
              <w:rPr>
                <w:rFonts w:hint="eastAsia" w:cs="Times New Roman"/>
                <w:color w:val="auto"/>
                <w:highlight w:val="none"/>
                <w:u w:val="single"/>
                <w:lang w:val="en-US" w:eastAsia="zh-CN"/>
              </w:rPr>
              <w:t>本项目与抛泥区运距约45km，</w:t>
            </w:r>
            <w:r>
              <w:rPr>
                <w:rFonts w:hint="eastAsia" w:ascii="Times New Roman" w:hAnsi="Times New Roman" w:eastAsia="宋体" w:cs="Times New Roman"/>
                <w:color w:val="auto"/>
                <w:highlight w:val="none"/>
                <w:u w:val="none"/>
                <w:lang w:val="en-US" w:eastAsia="zh-CN"/>
              </w:rPr>
              <w:t>本评价取45km；</w:t>
            </w:r>
          </w:p>
          <w:p w14:paraId="56602EEA">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重载航速(km/h)，本评价取</w:t>
            </w:r>
            <w:r>
              <w:rPr>
                <w:rFonts w:hint="eastAsia" w:ascii="Times New Roman" w:hAnsi="Times New Roman" w:eastAsia="宋体" w:cs="Times New Roman"/>
                <w:color w:val="auto"/>
                <w:highlight w:val="none"/>
                <w:u w:val="none"/>
                <w:lang w:val="en-US" w:eastAsia="zh-CN"/>
              </w:rPr>
              <w:t>18.52km/h（10kn）</w:t>
            </w:r>
            <w:r>
              <w:rPr>
                <w:rFonts w:hint="eastAsia" w:ascii="Times New Roman" w:hAnsi="Times New Roman" w:eastAsia="宋体" w:cs="Times New Roman"/>
                <w:color w:val="auto"/>
                <w:highlight w:val="none"/>
                <w:u w:val="none"/>
                <w:lang w:eastAsia="zh-CN"/>
              </w:rPr>
              <w:t>；</w:t>
            </w:r>
          </w:p>
          <w:p w14:paraId="38F97AF7">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空载航行地段长度(km)</w:t>
            </w:r>
            <w:r>
              <w:rPr>
                <w:rFonts w:hint="eastAsia" w:ascii="Times New Roman" w:hAnsi="Times New Roman" w:eastAsia="宋体" w:cs="Times New Roman"/>
                <w:color w:val="auto"/>
                <w:highlight w:val="none"/>
                <w:u w:val="none"/>
                <w:lang w:val="en-US" w:eastAsia="zh-CN"/>
              </w:rPr>
              <w:t>，</w:t>
            </w:r>
            <w:r>
              <w:rPr>
                <w:rFonts w:hint="eastAsia" w:cs="Times New Roman"/>
                <w:color w:val="auto"/>
                <w:highlight w:val="none"/>
                <w:u w:val="single"/>
                <w:lang w:val="en-US" w:eastAsia="zh-CN"/>
              </w:rPr>
              <w:t>本项目与抛泥区运距约45km，本评价取</w:t>
            </w:r>
            <w:r>
              <w:rPr>
                <w:rFonts w:hint="eastAsia" w:ascii="Times New Roman" w:hAnsi="Times New Roman" w:eastAsia="宋体" w:cs="Times New Roman"/>
                <w:color w:val="auto"/>
                <w:highlight w:val="none"/>
                <w:u w:val="none"/>
                <w:lang w:val="en-US" w:eastAsia="zh-CN"/>
              </w:rPr>
              <w:t>45km</w:t>
            </w:r>
            <w:r>
              <w:rPr>
                <w:rFonts w:hint="eastAsia" w:ascii="Times New Roman" w:hAnsi="Times New Roman" w:eastAsia="宋体" w:cs="Times New Roman"/>
                <w:color w:val="auto"/>
                <w:highlight w:val="none"/>
                <w:u w:val="none"/>
                <w:lang w:eastAsia="zh-CN"/>
              </w:rPr>
              <w:t>；</w:t>
            </w:r>
          </w:p>
          <w:p w14:paraId="0464899C">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空载航速(km/h)，本评价取</w:t>
            </w:r>
            <w:r>
              <w:rPr>
                <w:rFonts w:hint="eastAsia" w:ascii="Times New Roman" w:hAnsi="Times New Roman" w:eastAsia="宋体" w:cs="Times New Roman"/>
                <w:color w:val="auto"/>
                <w:highlight w:val="none"/>
                <w:u w:val="none"/>
                <w:lang w:val="en-US" w:eastAsia="zh-CN"/>
              </w:rPr>
              <w:t>20.37km/h</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11kn</w:t>
            </w:r>
            <w:r>
              <w:rPr>
                <w:rFonts w:hint="eastAsia" w:ascii="Times New Roman" w:hAnsi="Times New Roman" w:eastAsia="宋体" w:cs="Times New Roman"/>
                <w:color w:val="auto"/>
                <w:highlight w:val="none"/>
                <w:u w:val="none"/>
                <w:lang w:eastAsia="zh-CN"/>
              </w:rPr>
              <w:t>）；</w:t>
            </w:r>
          </w:p>
          <w:p w14:paraId="18C12C81">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l</w:t>
            </w:r>
            <w:r>
              <w:rPr>
                <w:rFonts w:hint="eastAsia" w:ascii="Times New Roman" w:hAnsi="Times New Roman" w:eastAsia="宋体" w:cs="Times New Roman"/>
                <w:color w:val="auto"/>
                <w:highlight w:val="none"/>
                <w:u w:val="none"/>
                <w:vertAlign w:val="subscript"/>
                <w:lang w:val="en-US" w:eastAsia="zh-CN"/>
              </w:rPr>
              <w:t>3</w:t>
            </w:r>
            <w:r>
              <w:rPr>
                <w:color w:val="auto"/>
                <w:highlight w:val="none"/>
                <w:u w:val="none"/>
              </w:rPr>
              <w:t>—</w:t>
            </w:r>
            <w:r>
              <w:rPr>
                <w:rFonts w:hint="eastAsia" w:ascii="Times New Roman" w:hAnsi="Times New Roman" w:eastAsia="宋体" w:cs="Times New Roman"/>
                <w:color w:val="auto"/>
                <w:highlight w:val="none"/>
                <w:u w:val="none"/>
                <w:lang w:eastAsia="zh-CN"/>
              </w:rPr>
              <w:t>挖泥地段长度(km)，本评价取</w:t>
            </w:r>
            <w:r>
              <w:rPr>
                <w:rFonts w:hint="eastAsia" w:ascii="Times New Roman" w:hAnsi="Times New Roman" w:eastAsia="宋体" w:cs="Times New Roman"/>
                <w:color w:val="auto"/>
                <w:highlight w:val="none"/>
                <w:u w:val="none"/>
                <w:lang w:val="en-US" w:eastAsia="zh-CN"/>
              </w:rPr>
              <w:t>0.85km</w:t>
            </w:r>
            <w:r>
              <w:rPr>
                <w:rFonts w:hint="eastAsia" w:ascii="Times New Roman" w:hAnsi="Times New Roman" w:eastAsia="宋体" w:cs="Times New Roman"/>
                <w:color w:val="auto"/>
                <w:highlight w:val="none"/>
                <w:u w:val="none"/>
                <w:lang w:eastAsia="zh-CN"/>
              </w:rPr>
              <w:t>；</w:t>
            </w:r>
          </w:p>
          <w:p w14:paraId="4D795D77">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v</w:t>
            </w:r>
            <w:r>
              <w:rPr>
                <w:rFonts w:hint="eastAsia" w:ascii="Times New Roman" w:hAnsi="Times New Roman" w:eastAsia="宋体" w:cs="Times New Roman"/>
                <w:color w:val="auto"/>
                <w:highlight w:val="none"/>
                <w:u w:val="none"/>
                <w:vertAlign w:val="subscript"/>
                <w:lang w:val="en-US" w:eastAsia="zh-CN"/>
              </w:rPr>
              <w:t>4</w:t>
            </w:r>
            <w:r>
              <w:rPr>
                <w:color w:val="auto"/>
                <w:highlight w:val="none"/>
                <w:u w:val="none"/>
              </w:rPr>
              <w:t>—</w:t>
            </w:r>
            <w:r>
              <w:rPr>
                <w:rFonts w:hint="eastAsia" w:ascii="Times New Roman" w:hAnsi="Times New Roman" w:eastAsia="宋体" w:cs="Times New Roman"/>
                <w:color w:val="auto"/>
                <w:highlight w:val="none"/>
                <w:u w:val="none"/>
                <w:lang w:eastAsia="zh-CN"/>
              </w:rPr>
              <w:t>挖泥航速(km/ h)，根据疏浚土土质确定，对淤泥和松散的砂宜采用2~6km/h，对粘土和中密以上的砂宜采用6</w:t>
            </w:r>
            <w:r>
              <w:rPr>
                <w:rFonts w:hint="eastAsia" w:ascii="Times New Roman" w:hAnsi="Times New Roman" w:eastAsia="宋体" w:cs="Times New Roman"/>
                <w:color w:val="auto"/>
                <w:highlight w:val="none"/>
                <w:u w:val="none"/>
                <w:lang w:val="en-US" w:eastAsia="zh-CN"/>
              </w:rPr>
              <w:t>~</w:t>
            </w:r>
            <w:r>
              <w:rPr>
                <w:rFonts w:hint="eastAsia" w:ascii="Times New Roman" w:hAnsi="Times New Roman" w:eastAsia="宋体" w:cs="Times New Roman"/>
                <w:color w:val="auto"/>
                <w:highlight w:val="none"/>
                <w:u w:val="none"/>
                <w:lang w:eastAsia="zh-CN"/>
              </w:rPr>
              <w:t>8km/h。</w:t>
            </w:r>
            <w:r>
              <w:rPr>
                <w:rFonts w:hint="eastAsia" w:ascii="Times New Roman" w:hAnsi="Times New Roman" w:eastAsia="宋体" w:cs="Times New Roman"/>
                <w:color w:val="auto"/>
                <w:highlight w:val="none"/>
                <w:u w:val="single"/>
                <w:lang w:eastAsia="zh-CN"/>
              </w:rPr>
              <w:t>项目</w:t>
            </w:r>
            <w:r>
              <w:rPr>
                <w:rFonts w:hint="eastAsia" w:ascii="Times New Roman" w:hAnsi="Times New Roman" w:eastAsia="宋体" w:cs="Times New Roman"/>
                <w:color w:val="auto"/>
                <w:highlight w:val="none"/>
                <w:u w:val="single"/>
                <w:lang w:val="en-US" w:eastAsia="zh-CN"/>
              </w:rPr>
              <w:t>疏浚物</w:t>
            </w:r>
            <w:r>
              <w:rPr>
                <w:rFonts w:hint="eastAsia" w:cs="Times New Roman"/>
                <w:color w:val="auto"/>
                <w:highlight w:val="none"/>
                <w:u w:val="single"/>
                <w:lang w:val="en-US" w:eastAsia="zh-CN"/>
              </w:rPr>
              <w:t>主要</w:t>
            </w:r>
            <w:r>
              <w:rPr>
                <w:rFonts w:hint="eastAsia" w:ascii="Times New Roman" w:hAnsi="Times New Roman" w:eastAsia="宋体" w:cs="Times New Roman"/>
                <w:color w:val="auto"/>
                <w:highlight w:val="none"/>
                <w:u w:val="single"/>
                <w:lang w:val="en-US" w:eastAsia="zh-CN"/>
              </w:rPr>
              <w:t>为淤泥类</w:t>
            </w:r>
            <w:r>
              <w:rPr>
                <w:rFonts w:hint="eastAsia" w:ascii="Times New Roman" w:hAnsi="Times New Roman" w:eastAsia="宋体" w:cs="Times New Roman"/>
                <w:color w:val="auto"/>
                <w:highlight w:val="none"/>
                <w:u w:val="none"/>
                <w:lang w:val="en-US" w:eastAsia="zh-CN"/>
              </w:rPr>
              <w:t>，</w:t>
            </w:r>
            <w:r>
              <w:rPr>
                <w:rFonts w:hint="eastAsia" w:ascii="Times New Roman" w:hAnsi="Times New Roman" w:eastAsia="宋体" w:cs="Times New Roman"/>
                <w:color w:val="auto"/>
                <w:highlight w:val="none"/>
                <w:u w:val="none"/>
                <w:lang w:eastAsia="zh-CN"/>
              </w:rPr>
              <w:t>本评价取</w:t>
            </w:r>
            <w:r>
              <w:rPr>
                <w:rFonts w:hint="eastAsia" w:ascii="Times New Roman" w:hAnsi="Times New Roman" w:eastAsia="宋体" w:cs="Times New Roman"/>
                <w:color w:val="auto"/>
                <w:highlight w:val="none"/>
                <w:u w:val="none"/>
                <w:lang w:val="en-US" w:eastAsia="zh-CN"/>
              </w:rPr>
              <w:t>4.63km/h（2.5kn）</w:t>
            </w:r>
            <w:r>
              <w:rPr>
                <w:rFonts w:hint="eastAsia" w:ascii="Times New Roman" w:hAnsi="Times New Roman" w:eastAsia="宋体" w:cs="Times New Roman"/>
                <w:color w:val="auto"/>
                <w:highlight w:val="none"/>
                <w:u w:val="none"/>
                <w:lang w:eastAsia="zh-CN"/>
              </w:rPr>
              <w:t>；</w:t>
            </w:r>
          </w:p>
          <w:p w14:paraId="1433FCE1">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t</w:t>
            </w:r>
            <w:r>
              <w:rPr>
                <w:rFonts w:hint="eastAsia" w:ascii="Times New Roman" w:hAnsi="Times New Roman" w:eastAsia="宋体" w:cs="Times New Roman"/>
                <w:color w:val="auto"/>
                <w:highlight w:val="none"/>
                <w:u w:val="none"/>
                <w:vertAlign w:val="subscript"/>
                <w:lang w:val="en-US" w:eastAsia="zh-CN"/>
              </w:rPr>
              <w:t>1</w:t>
            </w:r>
            <w:r>
              <w:rPr>
                <w:color w:val="auto"/>
                <w:highlight w:val="none"/>
                <w:u w:val="none"/>
              </w:rPr>
              <w:t>—</w:t>
            </w:r>
            <w:r>
              <w:rPr>
                <w:rFonts w:hint="eastAsia" w:ascii="Times New Roman" w:hAnsi="Times New Roman" w:eastAsia="宋体" w:cs="Times New Roman"/>
                <w:color w:val="auto"/>
                <w:highlight w:val="none"/>
                <w:u w:val="none"/>
                <w:lang w:eastAsia="zh-CN"/>
              </w:rPr>
              <w:t>抛泥机抛泥时的转头时间(h)，本评价取值</w:t>
            </w:r>
            <w:r>
              <w:rPr>
                <w:rFonts w:hint="eastAsia" w:ascii="Times New Roman" w:hAnsi="Times New Roman" w:eastAsia="宋体" w:cs="Times New Roman"/>
                <w:color w:val="auto"/>
                <w:highlight w:val="none"/>
                <w:u w:val="none"/>
                <w:lang w:val="en-US" w:eastAsia="zh-CN"/>
              </w:rPr>
              <w:t>1h</w:t>
            </w:r>
            <w:r>
              <w:rPr>
                <w:rFonts w:hint="eastAsia" w:ascii="Times New Roman" w:hAnsi="Times New Roman" w:eastAsia="宋体" w:cs="Times New Roman"/>
                <w:color w:val="auto"/>
                <w:highlight w:val="none"/>
                <w:u w:val="none"/>
                <w:lang w:eastAsia="zh-CN"/>
              </w:rPr>
              <w:t>；</w:t>
            </w:r>
          </w:p>
          <w:p w14:paraId="795535BD">
            <w:pPr>
              <w:pStyle w:val="201"/>
              <w:ind w:firstLine="453"/>
              <w:rPr>
                <w:rFonts w:hint="eastAsia"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val="en-US" w:eastAsia="zh-CN"/>
              </w:rPr>
              <w:t>t</w:t>
            </w:r>
            <w:r>
              <w:rPr>
                <w:rFonts w:hint="eastAsia" w:ascii="Times New Roman" w:hAnsi="Times New Roman" w:eastAsia="宋体" w:cs="Times New Roman"/>
                <w:color w:val="auto"/>
                <w:highlight w:val="none"/>
                <w:u w:val="none"/>
                <w:vertAlign w:val="subscript"/>
                <w:lang w:val="en-US" w:eastAsia="zh-CN"/>
              </w:rPr>
              <w:t>2</w:t>
            </w:r>
            <w:r>
              <w:rPr>
                <w:color w:val="auto"/>
                <w:highlight w:val="none"/>
                <w:u w:val="none"/>
              </w:rPr>
              <w:t>—</w:t>
            </w:r>
            <w:r>
              <w:rPr>
                <w:rFonts w:hint="eastAsia" w:ascii="Times New Roman" w:hAnsi="Times New Roman" w:eastAsia="宋体" w:cs="Times New Roman"/>
                <w:color w:val="auto"/>
                <w:highlight w:val="none"/>
                <w:u w:val="none"/>
                <w:lang w:eastAsia="zh-CN"/>
              </w:rPr>
              <w:t>施工中转头及上线时间(h)，</w:t>
            </w:r>
            <w:r>
              <w:rPr>
                <w:rFonts w:hint="eastAsia" w:ascii="Times New Roman" w:hAnsi="Times New Roman" w:eastAsia="宋体" w:cs="Times New Roman"/>
                <w:color w:val="auto"/>
                <w:highlight w:val="none"/>
                <w:u w:val="none"/>
                <w:lang w:val="en-US" w:eastAsia="zh-CN"/>
              </w:rPr>
              <w:t>本评价取0.5h</w:t>
            </w:r>
            <w:r>
              <w:rPr>
                <w:rFonts w:hint="eastAsia" w:ascii="Times New Roman" w:hAnsi="Times New Roman" w:eastAsia="宋体" w:cs="Times New Roman"/>
                <w:color w:val="auto"/>
                <w:highlight w:val="none"/>
                <w:u w:val="none"/>
                <w:lang w:eastAsia="zh-CN"/>
              </w:rPr>
              <w:t>。</w:t>
            </w:r>
          </w:p>
          <w:p w14:paraId="21F09992">
            <w:pPr>
              <w:pStyle w:val="201"/>
              <w:ind w:firstLine="453"/>
              <w:rPr>
                <w:rFonts w:hint="eastAsia"/>
                <w:color w:val="auto"/>
                <w:highlight w:val="none"/>
                <w:u w:val="none"/>
                <w:lang w:eastAsia="zh-CN"/>
              </w:rPr>
            </w:pPr>
            <w:r>
              <w:rPr>
                <w:rFonts w:hint="eastAsia"/>
                <w:color w:val="auto"/>
                <w:highlight w:val="none"/>
                <w:u w:val="single"/>
                <w:lang w:val="en-US" w:eastAsia="zh-CN"/>
              </w:rPr>
              <w:t>式中未作说明的参数取值均来源于《钦州港金谷港区金鼓江作业区16#17#泊位码头停泊及回旋水域清淤疏浚项目（航道内部分）施工方案》</w:t>
            </w:r>
            <w:r>
              <w:rPr>
                <w:rFonts w:hint="eastAsia"/>
                <w:color w:val="auto"/>
                <w:highlight w:val="none"/>
                <w:u w:val="single"/>
                <w:lang w:eastAsia="zh-CN"/>
              </w:rPr>
              <w:t>，</w:t>
            </w:r>
            <w:r>
              <w:rPr>
                <w:color w:val="auto"/>
                <w:highlight w:val="none"/>
                <w:u w:val="none"/>
              </w:rPr>
              <w:t>由上式计算可知，</w:t>
            </w:r>
            <w:r>
              <w:rPr>
                <w:rFonts w:hint="eastAsia"/>
                <w:color w:val="auto"/>
                <w:highlight w:val="none"/>
                <w:u w:val="none"/>
                <w:lang w:val="en-US" w:eastAsia="zh-CN"/>
              </w:rPr>
              <w:t>3500</w:t>
            </w:r>
            <w:r>
              <w:rPr>
                <w:color w:val="auto"/>
                <w:highlight w:val="none"/>
                <w:u w:val="none"/>
              </w:rPr>
              <w:t>m</w:t>
            </w:r>
            <w:r>
              <w:rPr>
                <w:color w:val="auto"/>
                <w:highlight w:val="none"/>
                <w:u w:val="none"/>
                <w:vertAlign w:val="superscript"/>
              </w:rPr>
              <w:t>3</w:t>
            </w:r>
            <w:r>
              <w:rPr>
                <w:rFonts w:hint="eastAsia"/>
                <w:color w:val="auto"/>
                <w:highlight w:val="none"/>
                <w:u w:val="none"/>
                <w:lang w:eastAsia="zh-CN"/>
              </w:rPr>
              <w:t>耙吸船</w:t>
            </w:r>
            <w:r>
              <w:rPr>
                <w:color w:val="auto"/>
                <w:highlight w:val="none"/>
                <w:u w:val="none"/>
              </w:rPr>
              <w:t>挖泥效率为</w:t>
            </w:r>
            <w:r>
              <w:rPr>
                <w:rFonts w:hint="eastAsia"/>
                <w:color w:val="auto"/>
                <w:highlight w:val="none"/>
                <w:u w:val="none"/>
                <w:lang w:val="en-US" w:eastAsia="zh-CN"/>
              </w:rPr>
              <w:t>470.4</w:t>
            </w:r>
            <w:r>
              <w:rPr>
                <w:color w:val="auto"/>
                <w:highlight w:val="none"/>
                <w:u w:val="none"/>
              </w:rPr>
              <w:t>m</w:t>
            </w:r>
            <w:r>
              <w:rPr>
                <w:color w:val="auto"/>
                <w:highlight w:val="none"/>
                <w:u w:val="none"/>
                <w:vertAlign w:val="superscript"/>
              </w:rPr>
              <w:t>3</w:t>
            </w:r>
            <w:r>
              <w:rPr>
                <w:color w:val="auto"/>
                <w:highlight w:val="none"/>
                <w:u w:val="none"/>
              </w:rPr>
              <w:t>/h</w:t>
            </w:r>
            <w:r>
              <w:rPr>
                <w:rFonts w:hint="eastAsia"/>
                <w:color w:val="auto"/>
                <w:highlight w:val="none"/>
                <w:u w:val="none"/>
                <w:lang w:eastAsia="zh-CN"/>
              </w:rPr>
              <w:t>。</w:t>
            </w:r>
          </w:p>
          <w:p w14:paraId="622F5031">
            <w:pPr>
              <w:pStyle w:val="201"/>
              <w:ind w:firstLine="453"/>
              <w:rPr>
                <w:rFonts w:hint="eastAsia"/>
                <w:color w:val="auto"/>
                <w:highlight w:val="none"/>
                <w:u w:val="none"/>
                <w:lang w:eastAsia="zh-CN"/>
              </w:rPr>
            </w:pPr>
          </w:p>
          <w:p w14:paraId="479508D3">
            <w:pPr>
              <w:pStyle w:val="43"/>
              <w:keepNext w:val="0"/>
              <w:keepLines w:val="0"/>
              <w:pageBreakBefore w:val="0"/>
              <w:widowControl w:val="0"/>
              <w:numPr>
                <w:ilvl w:val="0"/>
                <w:numId w:val="17"/>
              </w:numPr>
              <w:tabs>
                <w:tab w:val="left" w:pos="216"/>
              </w:tabs>
              <w:kinsoku/>
              <w:wordWrap/>
              <w:overflowPunct/>
              <w:topLinePunct w:val="0"/>
              <w:autoSpaceDE/>
              <w:autoSpaceDN/>
              <w:bidi w:val="0"/>
              <w:adjustRightInd/>
              <w:snapToGrid/>
              <w:spacing w:before="80"/>
              <w:ind w:left="0" w:leftChars="0" w:firstLine="0" w:firstLineChars="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疏浚物悬浮扩散影响</w:t>
            </w:r>
            <w:r>
              <w:rPr>
                <w:rFonts w:hint="eastAsia" w:cs="Times New Roman"/>
                <w:b/>
                <w:bCs/>
                <w:color w:val="auto"/>
                <w:kern w:val="2"/>
                <w:sz w:val="24"/>
                <w:szCs w:val="24"/>
                <w:highlight w:val="none"/>
                <w:lang w:val="en-US" w:eastAsia="zh-CN" w:bidi="ar-SA"/>
              </w:rPr>
              <w:t>模拟结果</w:t>
            </w:r>
          </w:p>
          <w:p w14:paraId="49D507F5">
            <w:pPr>
              <w:pStyle w:val="201"/>
              <w:rPr>
                <w:rFonts w:hint="eastAsia" w:ascii="Cambria Math" w:hAnsi="Cambria Math" w:cs="Cambria Math"/>
                <w:b/>
                <w:bCs/>
                <w:color w:val="auto"/>
                <w:highlight w:val="none"/>
                <w:u w:val="single"/>
                <w:lang w:val="en-US" w:eastAsia="zh-CN"/>
              </w:rPr>
            </w:pPr>
            <w:r>
              <w:rPr>
                <w:rFonts w:hint="eastAsia" w:ascii="Cambria Math" w:hAnsi="Cambria Math" w:cs="Cambria Math"/>
                <w:b/>
                <w:bCs/>
                <w:color w:val="auto"/>
                <w:highlight w:val="none"/>
                <w:u w:val="single"/>
                <w:lang w:val="en-US" w:eastAsia="zh-CN"/>
              </w:rPr>
              <w:t>①情景设置</w:t>
            </w:r>
          </w:p>
          <w:p w14:paraId="77F83780">
            <w:pPr>
              <w:pStyle w:val="201"/>
              <w:rPr>
                <w:rFonts w:hint="eastAsia" w:ascii="Cambria Math" w:hAnsi="Cambria Math" w:cs="Cambria Math"/>
                <w:color w:val="auto"/>
                <w:highlight w:val="none"/>
                <w:u w:val="single"/>
                <w:lang w:val="en-US" w:eastAsia="zh-CN"/>
              </w:rPr>
            </w:pPr>
            <w:r>
              <w:rPr>
                <w:rFonts w:hint="eastAsia" w:ascii="Cambria Math" w:hAnsi="Cambria Math" w:cs="Cambria Math"/>
                <w:color w:val="auto"/>
                <w:highlight w:val="none"/>
                <w:u w:val="single"/>
                <w:lang w:val="en-US" w:eastAsia="zh-CN"/>
              </w:rPr>
              <w:t>本项目施工采用10m</w:t>
            </w:r>
            <w:r>
              <w:rPr>
                <w:rFonts w:hint="eastAsia" w:ascii="Cambria Math" w:hAnsi="Cambria Math" w:cs="Cambria Math"/>
                <w:color w:val="auto"/>
                <w:highlight w:val="none"/>
                <w:u w:val="single"/>
                <w:vertAlign w:val="superscript"/>
                <w:lang w:val="en-US" w:eastAsia="zh-CN"/>
              </w:rPr>
              <w:t>3</w:t>
            </w:r>
            <w:r>
              <w:rPr>
                <w:rFonts w:hint="eastAsia" w:ascii="Cambria Math" w:hAnsi="Cambria Math" w:cs="Cambria Math"/>
                <w:color w:val="auto"/>
                <w:highlight w:val="none"/>
                <w:u w:val="single"/>
                <w:lang w:val="en-US" w:eastAsia="zh-CN"/>
              </w:rPr>
              <w:t>抓斗式挖泥船、3500m</w:t>
            </w:r>
            <w:r>
              <w:rPr>
                <w:rFonts w:hint="eastAsia" w:ascii="Cambria Math" w:hAnsi="Cambria Math" w:cs="Cambria Math"/>
                <w:color w:val="auto"/>
                <w:highlight w:val="none"/>
                <w:u w:val="single"/>
                <w:vertAlign w:val="superscript"/>
                <w:lang w:val="en-US" w:eastAsia="zh-CN"/>
              </w:rPr>
              <w:t>3</w:t>
            </w:r>
            <w:r>
              <w:rPr>
                <w:rFonts w:hint="eastAsia" w:ascii="Cambria Math" w:hAnsi="Cambria Math" w:cs="Cambria Math"/>
                <w:color w:val="auto"/>
                <w:highlight w:val="none"/>
                <w:u w:val="single"/>
                <w:lang w:val="en-US" w:eastAsia="zh-CN"/>
              </w:rPr>
              <w:t>耙吸船进行施工，项目施工产生的悬浮物源强以抓斗挖泥和耙吸船同时进行施工来计算，产生的最大悬浮物源强为10.10kg/s。</w:t>
            </w:r>
          </w:p>
          <w:p w14:paraId="28D62C90">
            <w:pPr>
              <w:spacing w:line="360" w:lineRule="auto"/>
              <w:ind w:firstLine="480" w:firstLineChars="200"/>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从源的性质上讲，疏浚作业产生的源强属移动连续点源，为了简化计算，选取有代表性的回旋水域中间位置作为定点连续源来处理。预测1个潮周期内悬浮物扩散结果。</w:t>
            </w:r>
          </w:p>
          <w:p w14:paraId="66E1A4DB">
            <w:pPr>
              <w:pStyle w:val="201"/>
              <w:rPr>
                <w:rFonts w:hint="default" w:ascii="Cambria Math" w:hAnsi="Cambria Math" w:eastAsia="宋体" w:cs="Cambria Math"/>
                <w:b/>
                <w:bCs/>
                <w:color w:val="auto"/>
                <w:highlight w:val="none"/>
                <w:u w:val="single"/>
                <w:lang w:val="en-US" w:eastAsia="zh-CN"/>
              </w:rPr>
            </w:pPr>
            <w:r>
              <w:rPr>
                <w:rFonts w:hint="eastAsia" w:ascii="Cambria Math" w:hAnsi="Cambria Math" w:eastAsia="宋体" w:cs="Cambria Math"/>
                <w:b/>
                <w:bCs/>
                <w:color w:val="auto"/>
                <w:highlight w:val="none"/>
                <w:u w:val="single"/>
                <w:lang w:val="en-US" w:eastAsia="zh-CN"/>
              </w:rPr>
              <w:t>②预测结果</w:t>
            </w:r>
          </w:p>
          <w:p w14:paraId="31448E53">
            <w:pPr>
              <w:pStyle w:val="201"/>
              <w:rPr>
                <w:rFonts w:hint="eastAsia" w:ascii="Times New Roman" w:hAnsi="Times New Roman" w:eastAsia="宋体" w:cs="Times New Roman"/>
                <w:color w:val="auto"/>
                <w:sz w:val="24"/>
                <w:highlight w:val="none"/>
                <w:u w:val="single"/>
                <w:lang w:val="en-US" w:eastAsia="zh-CN"/>
              </w:rPr>
            </w:pPr>
            <w:r>
              <w:rPr>
                <w:rFonts w:hint="default" w:ascii="Times New Roman" w:hAnsi="Times New Roman" w:eastAsia="宋体" w:cs="Times New Roman"/>
                <w:color w:val="auto"/>
                <w:sz w:val="24"/>
                <w:highlight w:val="none"/>
                <w:u w:val="single"/>
                <w:lang w:val="en-US" w:eastAsia="zh-CN"/>
              </w:rPr>
              <w:t>1</w:t>
            </w:r>
            <w:r>
              <w:rPr>
                <w:rFonts w:hint="eastAsia" w:ascii="Times New Roman" w:hAnsi="Times New Roman" w:eastAsia="宋体" w:cs="Times New Roman"/>
                <w:color w:val="auto"/>
                <w:sz w:val="24"/>
                <w:highlight w:val="none"/>
                <w:u w:val="single"/>
                <w:lang w:val="en-US" w:eastAsia="zh-CN"/>
              </w:rPr>
              <w:t>个潮周期内悬浮物浓度增量大于</w:t>
            </w:r>
            <w:r>
              <w:rPr>
                <w:rFonts w:hint="default" w:ascii="Times New Roman" w:hAnsi="Times New Roman" w:eastAsia="宋体" w:cs="Times New Roman"/>
                <w:color w:val="auto"/>
                <w:sz w:val="24"/>
                <w:highlight w:val="none"/>
                <w:u w:val="single"/>
                <w:lang w:val="en-US" w:eastAsia="zh-CN"/>
              </w:rPr>
              <w:t>10mg/L</w:t>
            </w:r>
            <w:r>
              <w:rPr>
                <w:rFonts w:hint="eastAsia" w:ascii="Times New Roman" w:hAnsi="Times New Roman" w:eastAsia="宋体" w:cs="Times New Roman"/>
                <w:color w:val="auto"/>
                <w:sz w:val="24"/>
                <w:highlight w:val="none"/>
                <w:u w:val="single"/>
                <w:lang w:val="en-US" w:eastAsia="zh-CN"/>
              </w:rPr>
              <w:t>的面积约为</w:t>
            </w:r>
            <w:r>
              <w:rPr>
                <w:rFonts w:hint="default" w:ascii="Times New Roman" w:hAnsi="Times New Roman" w:eastAsia="宋体" w:cs="Times New Roman"/>
                <w:color w:val="auto"/>
                <w:sz w:val="24"/>
                <w:highlight w:val="none"/>
                <w:u w:val="single"/>
                <w:lang w:val="en-US" w:eastAsia="zh-CN"/>
              </w:rPr>
              <w:t>2.</w:t>
            </w:r>
            <w:r>
              <w:rPr>
                <w:rFonts w:hint="eastAsia" w:cs="Times New Roman"/>
                <w:color w:val="auto"/>
                <w:sz w:val="24"/>
                <w:highlight w:val="none"/>
                <w:u w:val="single"/>
                <w:lang w:val="en-US" w:eastAsia="zh-CN"/>
              </w:rPr>
              <w:t>71</w:t>
            </w:r>
            <w:r>
              <w:rPr>
                <w:rFonts w:hint="default" w:ascii="Times New Roman" w:hAnsi="Times New Roman" w:eastAsia="宋体" w:cs="Times New Roman"/>
                <w:color w:val="auto"/>
                <w:sz w:val="24"/>
                <w:highlight w:val="none"/>
                <w:u w:val="single"/>
                <w:lang w:val="en-US" w:eastAsia="zh-CN"/>
              </w:rPr>
              <w:t>km</w:t>
            </w:r>
            <w:r>
              <w:rPr>
                <w:rFonts w:hint="default"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，向南扩散的最远距离约</w:t>
            </w:r>
            <w:r>
              <w:rPr>
                <w:rFonts w:hint="eastAsia" w:cs="Times New Roman"/>
                <w:color w:val="auto"/>
                <w:sz w:val="24"/>
                <w:highlight w:val="none"/>
                <w:u w:val="single"/>
                <w:lang w:val="en-US" w:eastAsia="zh-CN"/>
              </w:rPr>
              <w:t>3.57</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（以钦州港金谷港区金鼓江作业区</w:t>
            </w:r>
            <w:r>
              <w:rPr>
                <w:rFonts w:hint="default" w:ascii="Times New Roman" w:hAnsi="Times New Roman" w:eastAsia="宋体" w:cs="Times New Roman"/>
                <w:color w:val="auto"/>
                <w:sz w:val="24"/>
                <w:highlight w:val="none"/>
                <w:u w:val="single"/>
                <w:lang w:val="en-US" w:eastAsia="zh-CN"/>
              </w:rPr>
              <w:t>1</w:t>
            </w:r>
            <w:r>
              <w:rPr>
                <w:rFonts w:hint="eastAsia" w:ascii="Times New Roman" w:hAnsi="Times New Roman" w:eastAsia="宋体" w:cs="Times New Roman"/>
                <w:color w:val="auto"/>
                <w:sz w:val="24"/>
                <w:highlight w:val="none"/>
                <w:u w:val="single"/>
                <w:lang w:val="en-US" w:eastAsia="zh-CN"/>
              </w:rPr>
              <w:t>6</w:t>
            </w:r>
            <w:r>
              <w:rPr>
                <w:rFonts w:hint="default"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u w:val="single"/>
                <w:lang w:val="en-US" w:eastAsia="zh-CN"/>
              </w:rPr>
              <w:t>、</w:t>
            </w:r>
            <w:r>
              <w:rPr>
                <w:rFonts w:hint="default" w:ascii="Times New Roman" w:hAnsi="Times New Roman" w:eastAsia="宋体" w:cs="Times New Roman"/>
                <w:color w:val="auto"/>
                <w:sz w:val="24"/>
                <w:highlight w:val="none"/>
                <w:u w:val="single"/>
                <w:lang w:val="en-US" w:eastAsia="zh-CN"/>
              </w:rPr>
              <w:t>1</w:t>
            </w:r>
            <w:r>
              <w:rPr>
                <w:rFonts w:hint="eastAsia" w:ascii="Times New Roman" w:hAnsi="Times New Roman" w:eastAsia="宋体" w:cs="Times New Roman"/>
                <w:color w:val="auto"/>
                <w:sz w:val="24"/>
                <w:highlight w:val="none"/>
                <w:u w:val="single"/>
                <w:lang w:val="en-US" w:eastAsia="zh-CN"/>
              </w:rPr>
              <w:t>7</w:t>
            </w:r>
            <w:r>
              <w:rPr>
                <w:rFonts w:hint="default"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u w:val="single"/>
                <w:lang w:val="en-US" w:eastAsia="zh-CN"/>
              </w:rPr>
              <w:t>泊位</w:t>
            </w:r>
            <w:r>
              <w:rPr>
                <w:rFonts w:hint="eastAsia" w:cs="Times New Roman"/>
                <w:color w:val="auto"/>
                <w:sz w:val="24"/>
                <w:highlight w:val="none"/>
                <w:u w:val="single"/>
                <w:lang w:val="en-US" w:eastAsia="zh-CN"/>
              </w:rPr>
              <w:t>清淤疏浚</w:t>
            </w:r>
            <w:r>
              <w:rPr>
                <w:rFonts w:hint="eastAsia" w:ascii="Times New Roman" w:hAnsi="Times New Roman" w:eastAsia="宋体" w:cs="Times New Roman"/>
                <w:color w:val="auto"/>
                <w:sz w:val="24"/>
                <w:highlight w:val="none"/>
                <w:u w:val="single"/>
                <w:lang w:val="en-US" w:eastAsia="zh-CN"/>
              </w:rPr>
              <w:t>中间位置起算），向北扩散的最远距离约</w:t>
            </w:r>
            <w:r>
              <w:rPr>
                <w:rFonts w:hint="eastAsia"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相对而言，港池与回旋水域疏浚产生的悬浮物影响范围大于吹填施工影响范围，与源强以及该处的流速相对较大有关。疏浚施工会对工程区附近海域的水质造成一定影响，但其影响主要发生在施工期间，随着施工结束其影响也趋近消失。</w:t>
            </w:r>
          </w:p>
          <w:p w14:paraId="21B52909">
            <w:pPr>
              <w:keepNext w:val="0"/>
              <w:keepLines w:val="0"/>
              <w:widowControl/>
              <w:suppressLineNumbers w:val="0"/>
              <w:jc w:val="center"/>
              <w:rPr>
                <w:rFonts w:hint="default" w:ascii="Times New Roman" w:hAnsi="Times New Roman" w:eastAsia="宋体" w:cs="Times New Roman"/>
                <w:color w:val="auto"/>
                <w:sz w:val="24"/>
                <w:highlight w:val="none"/>
                <w:u w:val="single"/>
                <w:vertAlign w:val="superscript"/>
                <w:lang w:val="en-US" w:eastAsia="zh-CN"/>
              </w:rPr>
            </w:pPr>
            <w:r>
              <w:rPr>
                <w:rFonts w:hint="eastAsia" w:ascii="宋体" w:hAnsi="宋体" w:eastAsia="宋体" w:cs="宋体"/>
                <w:b/>
                <w:bCs/>
                <w:color w:val="auto"/>
                <w:kern w:val="0"/>
                <w:sz w:val="24"/>
                <w:szCs w:val="24"/>
                <w:highlight w:val="none"/>
                <w:u w:val="single"/>
                <w:lang w:val="en-US" w:eastAsia="zh-CN" w:bidi="ar"/>
              </w:rPr>
              <w:t>表4.1-</w:t>
            </w:r>
            <w:r>
              <w:rPr>
                <w:rFonts w:hint="eastAsia" w:ascii="宋体" w:hAnsi="宋体" w:cs="宋体"/>
                <w:b/>
                <w:bCs/>
                <w:color w:val="auto"/>
                <w:kern w:val="0"/>
                <w:sz w:val="24"/>
                <w:szCs w:val="24"/>
                <w:highlight w:val="none"/>
                <w:u w:val="single"/>
                <w:lang w:val="en-US" w:eastAsia="zh-CN" w:bidi="ar"/>
              </w:rPr>
              <w:t>3</w:t>
            </w:r>
            <w:r>
              <w:rPr>
                <w:rFonts w:hint="eastAsia" w:ascii="宋体" w:hAnsi="宋体" w:eastAsia="宋体" w:cs="宋体"/>
                <w:b/>
                <w:bCs/>
                <w:color w:val="auto"/>
                <w:kern w:val="0"/>
                <w:sz w:val="24"/>
                <w:szCs w:val="24"/>
                <w:highlight w:val="none"/>
                <w:u w:val="single"/>
                <w:lang w:val="en-US" w:eastAsia="zh-CN" w:bidi="ar"/>
              </w:rPr>
              <w:t>施工过程中产生的悬浮物最大影响范围汇总表</w:t>
            </w:r>
            <w:r>
              <w:rPr>
                <w:rFonts w:hint="eastAsia" w:ascii="宋体" w:hAnsi="宋体" w:cs="宋体"/>
                <w:b/>
                <w:bCs/>
                <w:color w:val="auto"/>
                <w:kern w:val="0"/>
                <w:sz w:val="24"/>
                <w:szCs w:val="24"/>
                <w:highlight w:val="none"/>
                <w:u w:val="single"/>
                <w:lang w:val="en-US" w:eastAsia="zh-CN" w:bidi="ar"/>
              </w:rPr>
              <w:t xml:space="preserve">   面积单位：km</w:t>
            </w:r>
            <w:r>
              <w:rPr>
                <w:rFonts w:hint="eastAsia" w:ascii="宋体" w:hAnsi="宋体" w:cs="宋体"/>
                <w:b/>
                <w:bCs/>
                <w:color w:val="auto"/>
                <w:kern w:val="0"/>
                <w:sz w:val="24"/>
                <w:szCs w:val="24"/>
                <w:highlight w:val="none"/>
                <w:u w:val="single"/>
                <w:vertAlign w:val="superscript"/>
                <w:lang w:val="en-US" w:eastAsia="zh-CN" w:bidi="ar"/>
              </w:rPr>
              <w:t>2</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3"/>
              <w:gridCol w:w="1452"/>
              <w:gridCol w:w="1784"/>
              <w:gridCol w:w="2142"/>
              <w:gridCol w:w="1391"/>
            </w:tblGrid>
            <w:tr w14:paraId="13C7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10" w:type="pct"/>
                  <w:noWrap w:val="0"/>
                  <w:vAlign w:val="center"/>
                </w:tcPr>
                <w:p w14:paraId="6F564AC9">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浓度增量（mg/L）</w:t>
                  </w:r>
                </w:p>
                <w:p w14:paraId="21900318">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特征时刻</w:t>
                  </w:r>
                </w:p>
              </w:tc>
              <w:tc>
                <w:tcPr>
                  <w:tcW w:w="791" w:type="pct"/>
                  <w:noWrap w:val="0"/>
                  <w:vAlign w:val="center"/>
                </w:tcPr>
                <w:p w14:paraId="3E09184A">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150</w:t>
                  </w:r>
                </w:p>
              </w:tc>
              <w:tc>
                <w:tcPr>
                  <w:tcW w:w="972" w:type="pct"/>
                  <w:noWrap w:val="0"/>
                  <w:vAlign w:val="center"/>
                </w:tcPr>
                <w:p w14:paraId="4249A0D3">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100</w:t>
                  </w:r>
                </w:p>
              </w:tc>
              <w:tc>
                <w:tcPr>
                  <w:tcW w:w="1167" w:type="pct"/>
                  <w:noWrap w:val="0"/>
                  <w:vAlign w:val="center"/>
                </w:tcPr>
                <w:p w14:paraId="27E6E4ED">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50</w:t>
                  </w:r>
                </w:p>
              </w:tc>
              <w:tc>
                <w:tcPr>
                  <w:tcW w:w="758" w:type="pct"/>
                  <w:noWrap w:val="0"/>
                  <w:vAlign w:val="center"/>
                </w:tcPr>
                <w:p w14:paraId="2C2CE17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10</w:t>
                  </w:r>
                </w:p>
              </w:tc>
            </w:tr>
            <w:tr w14:paraId="30E8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310" w:type="pct"/>
                  <w:noWrap w:val="0"/>
                  <w:vAlign w:val="center"/>
                </w:tcPr>
                <w:p w14:paraId="49F1AB12">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落潮</w:t>
                  </w:r>
                </w:p>
              </w:tc>
              <w:tc>
                <w:tcPr>
                  <w:tcW w:w="791" w:type="pct"/>
                  <w:noWrap w:val="0"/>
                  <w:vAlign w:val="center"/>
                </w:tcPr>
                <w:p w14:paraId="30F5940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0.018</w:t>
                  </w:r>
                </w:p>
              </w:tc>
              <w:tc>
                <w:tcPr>
                  <w:tcW w:w="972" w:type="pct"/>
                  <w:noWrap w:val="0"/>
                  <w:vAlign w:val="center"/>
                </w:tcPr>
                <w:p w14:paraId="2DAEC2F1">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0.084</w:t>
                  </w:r>
                </w:p>
              </w:tc>
              <w:tc>
                <w:tcPr>
                  <w:tcW w:w="1167" w:type="pct"/>
                  <w:noWrap w:val="0"/>
                  <w:vAlign w:val="center"/>
                </w:tcPr>
                <w:p w14:paraId="7211858C">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0.57</w:t>
                  </w:r>
                </w:p>
              </w:tc>
              <w:tc>
                <w:tcPr>
                  <w:tcW w:w="758" w:type="pct"/>
                  <w:noWrap w:val="0"/>
                  <w:vAlign w:val="center"/>
                </w:tcPr>
                <w:p w14:paraId="765167D7">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1.65</w:t>
                  </w:r>
                </w:p>
              </w:tc>
            </w:tr>
            <w:tr w14:paraId="38C9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10" w:type="pct"/>
                  <w:noWrap w:val="0"/>
                  <w:vAlign w:val="center"/>
                </w:tcPr>
                <w:p w14:paraId="1C760078">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single"/>
                      <w:lang w:val="en-US" w:eastAsia="zh-CN" w:bidi="ar"/>
                    </w:rPr>
                  </w:pPr>
                  <w:r>
                    <w:rPr>
                      <w:rFonts w:hint="eastAsia" w:ascii="Times New Roman" w:hAnsi="Times New Roman" w:eastAsia="宋体" w:cs="Times New Roman"/>
                      <w:color w:val="auto"/>
                      <w:kern w:val="0"/>
                      <w:sz w:val="21"/>
                      <w:szCs w:val="21"/>
                      <w:highlight w:val="none"/>
                      <w:u w:val="single"/>
                      <w:lang w:val="en-US" w:eastAsia="zh-CN" w:bidi="ar"/>
                    </w:rPr>
                    <w:t>涨潮</w:t>
                  </w:r>
                </w:p>
              </w:tc>
              <w:tc>
                <w:tcPr>
                  <w:tcW w:w="791" w:type="pct"/>
                  <w:noWrap w:val="0"/>
                  <w:vAlign w:val="center"/>
                </w:tcPr>
                <w:p w14:paraId="2C0D2734">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0.021</w:t>
                  </w:r>
                </w:p>
              </w:tc>
              <w:tc>
                <w:tcPr>
                  <w:tcW w:w="972" w:type="pct"/>
                  <w:noWrap w:val="0"/>
                  <w:vAlign w:val="center"/>
                </w:tcPr>
                <w:p w14:paraId="4331E91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0.12</w:t>
                  </w:r>
                </w:p>
              </w:tc>
              <w:tc>
                <w:tcPr>
                  <w:tcW w:w="1167" w:type="pct"/>
                  <w:noWrap w:val="0"/>
                  <w:vAlign w:val="center"/>
                </w:tcPr>
                <w:p w14:paraId="7292CA7D">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0.47</w:t>
                  </w:r>
                </w:p>
              </w:tc>
              <w:tc>
                <w:tcPr>
                  <w:tcW w:w="758" w:type="pct"/>
                  <w:noWrap w:val="0"/>
                  <w:vAlign w:val="center"/>
                </w:tcPr>
                <w:p w14:paraId="14DE2C59">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1.36</w:t>
                  </w:r>
                </w:p>
              </w:tc>
            </w:tr>
            <w:tr w14:paraId="2919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10" w:type="pct"/>
                  <w:noWrap w:val="0"/>
                  <w:vAlign w:val="center"/>
                </w:tcPr>
                <w:p w14:paraId="0F7AA9AB">
                  <w:pPr>
                    <w:keepNext w:val="0"/>
                    <w:keepLines w:val="0"/>
                    <w:widowControl/>
                    <w:suppressLineNumbers w:val="0"/>
                    <w:jc w:val="center"/>
                    <w:rPr>
                      <w:rFonts w:hint="eastAsia" w:ascii="Times New Roman" w:hAnsi="Times New Roman" w:eastAsia="宋体" w:cs="Times New Roman"/>
                      <w:color w:val="auto"/>
                      <w:kern w:val="0"/>
                      <w:sz w:val="21"/>
                      <w:szCs w:val="21"/>
                      <w:highlight w:val="none"/>
                      <w:u w:val="single"/>
                      <w:lang w:val="en-US" w:eastAsia="zh-CN" w:bidi="ar"/>
                    </w:rPr>
                  </w:pPr>
                  <w:r>
                    <w:rPr>
                      <w:rFonts w:hint="default" w:ascii="Times New Roman" w:hAnsi="Times New Roman" w:eastAsia="宋体" w:cs="Times New Roman"/>
                      <w:color w:val="auto"/>
                      <w:kern w:val="0"/>
                      <w:sz w:val="21"/>
                      <w:szCs w:val="21"/>
                      <w:highlight w:val="none"/>
                      <w:u w:val="single"/>
                      <w:lang w:val="en-US" w:eastAsia="zh-CN" w:bidi="ar"/>
                    </w:rPr>
                    <w:t>1</w:t>
                  </w:r>
                  <w:r>
                    <w:rPr>
                      <w:rFonts w:hint="eastAsia" w:ascii="Times New Roman" w:hAnsi="Times New Roman" w:eastAsia="宋体" w:cs="Times New Roman"/>
                      <w:color w:val="auto"/>
                      <w:kern w:val="0"/>
                      <w:sz w:val="21"/>
                      <w:szCs w:val="21"/>
                      <w:highlight w:val="none"/>
                      <w:u w:val="single"/>
                      <w:lang w:val="en-US" w:eastAsia="zh-CN" w:bidi="ar"/>
                    </w:rPr>
                    <w:t>个潮周期内</w:t>
                  </w:r>
                </w:p>
              </w:tc>
              <w:tc>
                <w:tcPr>
                  <w:tcW w:w="791" w:type="pct"/>
                  <w:noWrap w:val="0"/>
                  <w:vAlign w:val="center"/>
                </w:tcPr>
                <w:p w14:paraId="46D978BE">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0.031</w:t>
                  </w:r>
                </w:p>
              </w:tc>
              <w:tc>
                <w:tcPr>
                  <w:tcW w:w="972" w:type="pct"/>
                  <w:noWrap w:val="0"/>
                  <w:vAlign w:val="center"/>
                </w:tcPr>
                <w:p w14:paraId="4C64FF8B">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0.18</w:t>
                  </w:r>
                </w:p>
              </w:tc>
              <w:tc>
                <w:tcPr>
                  <w:tcW w:w="1167" w:type="pct"/>
                  <w:noWrap w:val="0"/>
                  <w:vAlign w:val="center"/>
                </w:tcPr>
                <w:p w14:paraId="0887183B">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0.93</w:t>
                  </w:r>
                </w:p>
              </w:tc>
              <w:tc>
                <w:tcPr>
                  <w:tcW w:w="758" w:type="pct"/>
                  <w:noWrap w:val="0"/>
                  <w:vAlign w:val="center"/>
                </w:tcPr>
                <w:p w14:paraId="01B78CD5">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2.71</w:t>
                  </w:r>
                </w:p>
              </w:tc>
            </w:tr>
          </w:tbl>
          <w:p w14:paraId="1D7A8112">
            <w:pPr>
              <w:pStyle w:val="201"/>
              <w:spacing w:line="240" w:lineRule="auto"/>
              <w:rPr>
                <w:rFonts w:hint="default" w:ascii="Times New Roman" w:hAnsi="Times New Roman" w:eastAsia="宋体" w:cs="Times New Roman"/>
                <w:color w:val="auto"/>
                <w:sz w:val="24"/>
                <w:highlight w:val="none"/>
                <w:u w:val="single"/>
                <w:lang w:val="en-US" w:eastAsia="zh-CN"/>
              </w:rPr>
            </w:pPr>
            <w:r>
              <w:rPr>
                <w:rFonts w:hint="default" w:ascii="Times New Roman" w:hAnsi="Times New Roman" w:eastAsia="宋体" w:cs="Times New Roman"/>
                <w:color w:val="auto"/>
                <w:sz w:val="24"/>
                <w:highlight w:val="none"/>
                <w:u w:val="single"/>
                <w:lang w:val="en-US" w:eastAsia="zh-CN"/>
              </w:rPr>
              <w:drawing>
                <wp:inline distT="0" distB="0" distL="114300" distR="114300">
                  <wp:extent cx="5391150" cy="4524375"/>
                  <wp:effectExtent l="0" t="0" r="0" b="9525"/>
                  <wp:docPr id="57" name="图片 5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1"/>
                          <pic:cNvPicPr>
                            <a:picLocks noChangeAspect="1"/>
                          </pic:cNvPicPr>
                        </pic:nvPicPr>
                        <pic:blipFill>
                          <a:blip r:embed="rId64"/>
                          <a:stretch>
                            <a:fillRect/>
                          </a:stretch>
                        </pic:blipFill>
                        <pic:spPr>
                          <a:xfrm>
                            <a:off x="0" y="0"/>
                            <a:ext cx="5391150" cy="4524375"/>
                          </a:xfrm>
                          <a:prstGeom prst="rect">
                            <a:avLst/>
                          </a:prstGeom>
                        </pic:spPr>
                      </pic:pic>
                    </a:graphicData>
                  </a:graphic>
                </wp:inline>
              </w:drawing>
            </w:r>
          </w:p>
          <w:p w14:paraId="1CE6A36F">
            <w:pPr>
              <w:pStyle w:val="201"/>
              <w:ind w:left="0" w:leftChars="0" w:firstLine="0" w:firstLineChars="0"/>
              <w:jc w:val="center"/>
              <w:rPr>
                <w:rFonts w:hint="default" w:ascii="Times New Roman" w:hAnsi="Times New Roman" w:eastAsia="宋体" w:cs="Times New Roman"/>
                <w:b/>
                <w:bCs/>
                <w:color w:val="auto"/>
                <w:highlight w:val="none"/>
                <w:u w:val="single"/>
                <w:lang w:val="en-US" w:eastAsia="zh-CN"/>
              </w:rPr>
            </w:pPr>
            <w:r>
              <w:rPr>
                <w:rFonts w:hint="eastAsia" w:ascii="Times New Roman" w:hAnsi="Times New Roman" w:eastAsia="宋体" w:cs="Times New Roman"/>
                <w:b/>
                <w:bCs/>
                <w:color w:val="auto"/>
                <w:spacing w:val="1"/>
                <w:w w:val="89"/>
                <w:kern w:val="0"/>
                <w:highlight w:val="none"/>
                <w:u w:val="single"/>
                <w:fitText w:val="8160" w:id="194707501"/>
                <w:lang w:val="en-US" w:eastAsia="zh-CN"/>
              </w:rPr>
              <w:t>图4.1-</w:t>
            </w:r>
            <w:r>
              <w:rPr>
                <w:rFonts w:hint="eastAsia" w:cs="Times New Roman"/>
                <w:b/>
                <w:bCs/>
                <w:color w:val="auto"/>
                <w:spacing w:val="1"/>
                <w:w w:val="89"/>
                <w:kern w:val="0"/>
                <w:highlight w:val="none"/>
                <w:u w:val="single"/>
                <w:fitText w:val="8160" w:id="194707501"/>
                <w:lang w:val="en-US" w:eastAsia="zh-CN"/>
              </w:rPr>
              <w:t>20</w:t>
            </w:r>
            <w:r>
              <w:rPr>
                <w:rFonts w:hint="eastAsia" w:ascii="Times New Roman" w:hAnsi="Times New Roman" w:eastAsia="宋体" w:cs="Times New Roman"/>
                <w:b/>
                <w:bCs/>
                <w:color w:val="auto"/>
                <w:spacing w:val="1"/>
                <w:w w:val="89"/>
                <w:kern w:val="0"/>
                <w:highlight w:val="none"/>
                <w:u w:val="single"/>
                <w:fitText w:val="8160" w:id="194707501"/>
                <w:lang w:val="en-US" w:eastAsia="zh-CN"/>
              </w:rPr>
              <w:t xml:space="preserve">  1个潮周期内港池、回旋水域疏浚SS浓度增量大于</w:t>
            </w:r>
            <w:r>
              <w:rPr>
                <w:rFonts w:hint="default" w:ascii="Times New Roman" w:hAnsi="Times New Roman" w:eastAsia="宋体" w:cs="Times New Roman"/>
                <w:b/>
                <w:bCs/>
                <w:color w:val="auto"/>
                <w:spacing w:val="1"/>
                <w:w w:val="89"/>
                <w:kern w:val="0"/>
                <w:highlight w:val="none"/>
                <w:u w:val="single"/>
                <w:fitText w:val="8160" w:id="194707501"/>
                <w:lang w:val="en-US" w:eastAsia="zh-CN"/>
              </w:rPr>
              <w:t>10mg</w:t>
            </w:r>
            <w:r>
              <w:rPr>
                <w:rFonts w:hint="eastAsia" w:ascii="Times New Roman" w:hAnsi="Times New Roman" w:eastAsia="宋体" w:cs="Times New Roman"/>
                <w:b/>
                <w:bCs/>
                <w:color w:val="auto"/>
                <w:spacing w:val="1"/>
                <w:w w:val="89"/>
                <w:kern w:val="0"/>
                <w:highlight w:val="none"/>
                <w:u w:val="single"/>
                <w:fitText w:val="8160" w:id="194707501"/>
                <w:lang w:val="en-US" w:eastAsia="zh-CN"/>
              </w:rPr>
              <w:t>/L的最大扩散范</w:t>
            </w:r>
            <w:r>
              <w:rPr>
                <w:rFonts w:hint="eastAsia" w:ascii="Times New Roman" w:hAnsi="Times New Roman" w:eastAsia="宋体" w:cs="Times New Roman"/>
                <w:b/>
                <w:bCs/>
                <w:color w:val="auto"/>
                <w:spacing w:val="54"/>
                <w:w w:val="89"/>
                <w:kern w:val="0"/>
                <w:highlight w:val="none"/>
                <w:u w:val="single"/>
                <w:fitText w:val="8160" w:id="194707501"/>
                <w:lang w:val="en-US" w:eastAsia="zh-CN"/>
              </w:rPr>
              <w:t>围</w:t>
            </w:r>
          </w:p>
          <w:p w14:paraId="40807205">
            <w:pPr>
              <w:pStyle w:val="20"/>
              <w:spacing w:line="360" w:lineRule="auto"/>
              <w:ind w:firstLine="562" w:firstLineChars="200"/>
              <w:rPr>
                <w:rFonts w:hint="eastAsia"/>
                <w:color w:val="auto"/>
                <w:kern w:val="0"/>
                <w:sz w:val="24"/>
                <w:highlight w:val="none"/>
              </w:rPr>
            </w:pPr>
            <w:r>
              <w:rPr>
                <w:rFonts w:hint="eastAsia"/>
                <w:b/>
                <w:bCs/>
                <w:color w:val="auto"/>
                <w:sz w:val="28"/>
                <w:szCs w:val="28"/>
                <w:highlight w:val="none"/>
                <w:lang w:val="en-US" w:eastAsia="zh-CN"/>
              </w:rPr>
              <w:t>4.1.3</w:t>
            </w:r>
            <w:r>
              <w:rPr>
                <w:rFonts w:hint="eastAsia"/>
                <w:b/>
                <w:bCs/>
                <w:color w:val="auto"/>
                <w:sz w:val="28"/>
                <w:szCs w:val="28"/>
                <w:highlight w:val="none"/>
              </w:rPr>
              <w:t>声环境影响分析</w:t>
            </w:r>
          </w:p>
          <w:p w14:paraId="570742C9">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鉴于施工噪声的复杂性及其影响的区域性和阶段性，根据《建筑施工环境噪声排放标准》（GB12523-</w:t>
            </w:r>
            <w:r>
              <w:rPr>
                <w:rFonts w:hint="eastAsia"/>
                <w:color w:val="auto"/>
                <w:sz w:val="24"/>
                <w:highlight w:val="none"/>
                <w:lang w:val="en-US" w:eastAsia="zh-CN"/>
              </w:rPr>
              <w:t>2025</w:t>
            </w:r>
            <w:r>
              <w:rPr>
                <w:rFonts w:hint="default"/>
                <w:color w:val="auto"/>
                <w:sz w:val="24"/>
                <w:highlight w:val="none"/>
                <w:lang w:val="en-US" w:eastAsia="zh-CN"/>
              </w:rPr>
              <w:t>），计算出不同施工阶段施工设备的噪声污染范围，以便施工单位在施工时结合实际情况采取适当的噪声污染防治措施。</w:t>
            </w:r>
          </w:p>
          <w:p w14:paraId="0174EFC7">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本项目施工期噪声主要来自施工船舶产生的噪声</w:t>
            </w:r>
            <w:r>
              <w:rPr>
                <w:rFonts w:hint="eastAsia"/>
                <w:color w:val="auto"/>
                <w:sz w:val="24"/>
                <w:highlight w:val="none"/>
                <w:lang w:val="en-US" w:eastAsia="zh-CN"/>
              </w:rPr>
              <w:t>，施工噪声可近似点声源，即固定声源。其影响预测模型为：</w:t>
            </w:r>
          </w:p>
          <w:p w14:paraId="3B5D5AC1">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24"/>
                <w:szCs w:val="24"/>
                <w:highlight w:val="none"/>
                <w:lang w:val="en-US" w:eastAsia="zh-CN" w:bidi="ar"/>
              </w:rPr>
              <w:t>=L</w:t>
            </w:r>
            <w:r>
              <w:rPr>
                <w:rFonts w:hint="eastAsia" w:ascii="Times New Roman" w:hAnsi="Times New Roman" w:eastAsia="宋体" w:cs="Times New Roman"/>
                <w:color w:val="auto"/>
                <w:kern w:val="0"/>
                <w:sz w:val="24"/>
                <w:szCs w:val="24"/>
                <w:highlight w:val="none"/>
                <w:vertAlign w:val="subscript"/>
                <w:lang w:val="en-US" w:eastAsia="zh-CN" w:bidi="ar"/>
              </w:rPr>
              <w:t>p</w:t>
            </w:r>
            <w:r>
              <w:rPr>
                <w:rFonts w:hint="default" w:ascii="Times New Roman" w:hAnsi="Times New Roman" w:eastAsia="宋体" w:cs="Times New Roman"/>
                <w:color w:val="auto"/>
                <w:kern w:val="0"/>
                <w:sz w:val="16"/>
                <w:szCs w:val="16"/>
                <w:highlight w:val="none"/>
                <w:vertAlign w:val="subscript"/>
                <w:lang w:val="en-US" w:eastAsia="zh-CN" w:bidi="ar"/>
              </w:rPr>
              <w:t>0</w:t>
            </w:r>
            <w:r>
              <w:rPr>
                <w:rFonts w:hint="default" w:ascii="Times New Roman" w:hAnsi="Times New Roman" w:eastAsia="宋体" w:cs="Times New Roman"/>
                <w:color w:val="auto"/>
                <w:kern w:val="0"/>
                <w:sz w:val="24"/>
                <w:szCs w:val="24"/>
                <w:highlight w:val="none"/>
                <w:lang w:val="en-US" w:eastAsia="zh-CN" w:bidi="ar"/>
              </w:rPr>
              <w:t>-20lg</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R/R</w:t>
            </w:r>
            <w:r>
              <w:rPr>
                <w:rFonts w:hint="default" w:ascii="Times New Roman" w:hAnsi="Times New Roman" w:eastAsia="宋体" w:cs="Times New Roman"/>
                <w:color w:val="auto"/>
                <w:kern w:val="0"/>
                <w:sz w:val="16"/>
                <w:szCs w:val="16"/>
                <w:highlight w:val="none"/>
                <w:lang w:val="en-US" w:eastAsia="zh-CN" w:bidi="ar"/>
              </w:rPr>
              <w:t>0</w:t>
            </w:r>
            <w:r>
              <w:rPr>
                <w:rFonts w:hint="eastAsia" w:ascii="宋体" w:hAnsi="宋体" w:eastAsia="宋体" w:cs="宋体"/>
                <w:color w:val="auto"/>
                <w:kern w:val="0"/>
                <w:sz w:val="24"/>
                <w:szCs w:val="24"/>
                <w:highlight w:val="none"/>
                <w:lang w:val="en-US" w:eastAsia="zh-CN" w:bidi="ar"/>
              </w:rPr>
              <w:t>）</w:t>
            </w:r>
          </w:p>
          <w:p w14:paraId="2EE93971">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w:t>
            </w:r>
          </w:p>
          <w:p w14:paraId="45978243">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距声源 </w:t>
            </w:r>
            <w:r>
              <w:rPr>
                <w:rFonts w:hint="default" w:ascii="Times New Roman" w:hAnsi="Times New Roman" w:eastAsia="宋体" w:cs="Times New Roman"/>
                <w:color w:val="auto"/>
                <w:sz w:val="24"/>
                <w:highlight w:val="none"/>
                <w:lang w:val="en-US" w:eastAsia="zh-CN"/>
              </w:rPr>
              <w:t xml:space="preserve">R </w:t>
            </w:r>
            <w:r>
              <w:rPr>
                <w:rFonts w:hint="eastAsia" w:ascii="Times New Roman" w:hAnsi="Times New Roman" w:eastAsia="宋体" w:cs="Times New Roman"/>
                <w:color w:val="auto"/>
                <w:sz w:val="24"/>
                <w:highlight w:val="none"/>
                <w:lang w:val="en-US" w:eastAsia="zh-CN"/>
              </w:rPr>
              <w:t>处的噪声预测值，</w:t>
            </w:r>
            <w:r>
              <w:rPr>
                <w:rFonts w:hint="default" w:ascii="Times New Roman" w:hAnsi="Times New Roman" w:eastAsia="宋体" w:cs="Times New Roman"/>
                <w:color w:val="auto"/>
                <w:sz w:val="24"/>
                <w:highlight w:val="none"/>
                <w:lang w:val="en-US" w:eastAsia="zh-CN"/>
              </w:rPr>
              <w:t>dB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4DA8FA4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距声源参考距离</w:t>
            </w: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处的参考声级，</w:t>
            </w:r>
            <w:r>
              <w:rPr>
                <w:rFonts w:hint="default" w:ascii="Times New Roman" w:hAnsi="Times New Roman" w:eastAsia="宋体" w:cs="Times New Roman"/>
                <w:color w:val="auto"/>
                <w:sz w:val="24"/>
                <w:highlight w:val="none"/>
                <w:lang w:val="en-US" w:eastAsia="zh-CN"/>
              </w:rPr>
              <w:t>dB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45C3FFA4">
            <w:pPr>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施工场地场界噪声执行《建筑施工环境噪声排放标准》</w:t>
            </w:r>
            <w:r>
              <w:rPr>
                <w:rFonts w:hint="default" w:ascii="Times New Roman" w:hAnsi="Times New Roman" w:eastAsia="宋体" w:cs="Times New Roman"/>
                <w:color w:val="auto"/>
                <w:sz w:val="24"/>
                <w:highlight w:val="none"/>
                <w:lang w:val="en-US" w:eastAsia="zh-CN"/>
              </w:rPr>
              <w:t>(GB12523-</w:t>
            </w:r>
            <w:r>
              <w:rPr>
                <w:rFonts w:hint="eastAsia" w:ascii="Times New Roman" w:hAnsi="Times New Roman" w:eastAsia="宋体" w:cs="Times New Roman"/>
                <w:color w:val="auto"/>
                <w:sz w:val="24"/>
                <w:highlight w:val="none"/>
                <w:lang w:val="en-US" w:eastAsia="zh-CN"/>
              </w:rPr>
              <w:t>2025</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，施工噪声衰减至《建筑施工环境噪声排放标准》的距离见下表。</w:t>
            </w:r>
          </w:p>
          <w:p w14:paraId="1FCC738D">
            <w:pPr>
              <w:keepNext w:val="0"/>
              <w:keepLines w:val="0"/>
              <w:widowControl/>
              <w:suppressLineNumbers w:val="0"/>
              <w:jc w:val="center"/>
              <w:rPr>
                <w:rFonts w:hint="default"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表4.1-4工程施工期主要施工机械噪声随距离的衰减情况表单位： dB（A）</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857"/>
              <w:gridCol w:w="822"/>
              <w:gridCol w:w="690"/>
              <w:gridCol w:w="690"/>
              <w:gridCol w:w="690"/>
              <w:gridCol w:w="690"/>
              <w:gridCol w:w="690"/>
              <w:gridCol w:w="811"/>
              <w:gridCol w:w="811"/>
              <w:gridCol w:w="863"/>
            </w:tblGrid>
            <w:tr w14:paraId="5238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4" w:type="pct"/>
                  <w:vMerge w:val="restart"/>
                  <w:noWrap w:val="0"/>
                  <w:vAlign w:val="center"/>
                </w:tcPr>
                <w:p w14:paraId="17E72457">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1012" w:type="pct"/>
                  <w:vMerge w:val="restart"/>
                  <w:noWrap w:val="0"/>
                  <w:vAlign w:val="center"/>
                </w:tcPr>
                <w:p w14:paraId="3ED7AA85">
                  <w:pPr>
                    <w:adjustRightInd w:val="0"/>
                    <w:snapToGrid w:val="0"/>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3682" w:type="pct"/>
                  <w:gridSpan w:val="9"/>
                  <w:noWrap w:val="0"/>
                  <w:vAlign w:val="center"/>
                </w:tcPr>
                <w:p w14:paraId="5892F73E">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不同距离处的噪声值</w:t>
                  </w:r>
                </w:p>
              </w:tc>
            </w:tr>
            <w:tr w14:paraId="2BE7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4" w:type="pct"/>
                  <w:vMerge w:val="continue"/>
                  <w:noWrap w:val="0"/>
                  <w:vAlign w:val="center"/>
                </w:tcPr>
                <w:p w14:paraId="27C67DE1">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012" w:type="pct"/>
                  <w:vMerge w:val="continue"/>
                  <w:noWrap w:val="0"/>
                  <w:vAlign w:val="center"/>
                </w:tcPr>
                <w:p w14:paraId="5DFC5A7C">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448" w:type="pct"/>
                  <w:noWrap w:val="0"/>
                  <w:vAlign w:val="center"/>
                </w:tcPr>
                <w:p w14:paraId="0118C44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10m</w:t>
                  </w:r>
                </w:p>
              </w:tc>
              <w:tc>
                <w:tcPr>
                  <w:tcW w:w="376" w:type="pct"/>
                  <w:noWrap w:val="0"/>
                  <w:vAlign w:val="center"/>
                </w:tcPr>
                <w:p w14:paraId="1F6C2990">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20m</w:t>
                  </w:r>
                </w:p>
              </w:tc>
              <w:tc>
                <w:tcPr>
                  <w:tcW w:w="376" w:type="pct"/>
                  <w:noWrap w:val="0"/>
                  <w:vAlign w:val="center"/>
                </w:tcPr>
                <w:p w14:paraId="2F7A54E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40m</w:t>
                  </w:r>
                </w:p>
              </w:tc>
              <w:tc>
                <w:tcPr>
                  <w:tcW w:w="376" w:type="pct"/>
                  <w:noWrap w:val="0"/>
                  <w:vAlign w:val="center"/>
                </w:tcPr>
                <w:p w14:paraId="026E8B4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50m</w:t>
                  </w:r>
                </w:p>
              </w:tc>
              <w:tc>
                <w:tcPr>
                  <w:tcW w:w="376" w:type="pct"/>
                  <w:noWrap w:val="0"/>
                  <w:vAlign w:val="center"/>
                </w:tcPr>
                <w:p w14:paraId="697B64E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60m</w:t>
                  </w:r>
                </w:p>
              </w:tc>
              <w:tc>
                <w:tcPr>
                  <w:tcW w:w="376" w:type="pct"/>
                  <w:noWrap w:val="0"/>
                  <w:vAlign w:val="center"/>
                </w:tcPr>
                <w:p w14:paraId="03DE8F9F">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80m</w:t>
                  </w:r>
                </w:p>
              </w:tc>
              <w:tc>
                <w:tcPr>
                  <w:tcW w:w="442" w:type="pct"/>
                  <w:noWrap w:val="0"/>
                  <w:vAlign w:val="center"/>
                </w:tcPr>
                <w:p w14:paraId="2250502A">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100m</w:t>
                  </w:r>
                </w:p>
              </w:tc>
              <w:tc>
                <w:tcPr>
                  <w:tcW w:w="442" w:type="pct"/>
                  <w:noWrap w:val="0"/>
                  <w:vAlign w:val="center"/>
                </w:tcPr>
                <w:p w14:paraId="7F538937">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150m</w:t>
                  </w:r>
                </w:p>
              </w:tc>
              <w:tc>
                <w:tcPr>
                  <w:tcW w:w="468" w:type="pct"/>
                  <w:noWrap w:val="0"/>
                  <w:vAlign w:val="center"/>
                </w:tcPr>
                <w:p w14:paraId="65B7A790">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200m</w:t>
                  </w:r>
                </w:p>
              </w:tc>
            </w:tr>
            <w:tr w14:paraId="5192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4" w:type="pct"/>
                  <w:noWrap w:val="0"/>
                  <w:vAlign w:val="center"/>
                </w:tcPr>
                <w:p w14:paraId="4E6AA21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012" w:type="pct"/>
                  <w:noWrap w:val="0"/>
                  <w:vAlign w:val="center"/>
                </w:tcPr>
                <w:p w14:paraId="0D931A43">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挖泥船</w:t>
                  </w:r>
                </w:p>
              </w:tc>
              <w:tc>
                <w:tcPr>
                  <w:tcW w:w="448" w:type="pct"/>
                  <w:noWrap w:val="0"/>
                  <w:vAlign w:val="center"/>
                </w:tcPr>
                <w:p w14:paraId="171BEE36">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24F74465">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04E3ABB4">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376" w:type="pct"/>
                  <w:noWrap w:val="0"/>
                  <w:vAlign w:val="center"/>
                </w:tcPr>
                <w:p w14:paraId="7F93AE25">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68</w:t>
                  </w:r>
                </w:p>
              </w:tc>
              <w:tc>
                <w:tcPr>
                  <w:tcW w:w="376" w:type="pct"/>
                  <w:noWrap w:val="0"/>
                  <w:vAlign w:val="center"/>
                </w:tcPr>
                <w:p w14:paraId="0CCA07CB">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66</w:t>
                  </w:r>
                </w:p>
              </w:tc>
              <w:tc>
                <w:tcPr>
                  <w:tcW w:w="376" w:type="pct"/>
                  <w:noWrap w:val="0"/>
                  <w:vAlign w:val="center"/>
                </w:tcPr>
                <w:p w14:paraId="50F2AAE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442" w:type="pct"/>
                  <w:noWrap w:val="0"/>
                  <w:vAlign w:val="center"/>
                </w:tcPr>
                <w:p w14:paraId="37C10FA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62</w:t>
                  </w:r>
                </w:p>
              </w:tc>
              <w:tc>
                <w:tcPr>
                  <w:tcW w:w="442" w:type="pct"/>
                  <w:noWrap w:val="0"/>
                  <w:vAlign w:val="center"/>
                </w:tcPr>
                <w:p w14:paraId="3426A89D">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59</w:t>
                  </w:r>
                </w:p>
              </w:tc>
              <w:tc>
                <w:tcPr>
                  <w:tcW w:w="468" w:type="pct"/>
                  <w:noWrap w:val="0"/>
                  <w:vAlign w:val="center"/>
                </w:tcPr>
                <w:p w14:paraId="338F251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r>
            <w:tr w14:paraId="240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04" w:type="pct"/>
                  <w:noWrap w:val="0"/>
                  <w:vAlign w:val="center"/>
                </w:tcPr>
                <w:p w14:paraId="217AFF3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012" w:type="pct"/>
                  <w:noWrap w:val="0"/>
                  <w:vAlign w:val="center"/>
                </w:tcPr>
                <w:p w14:paraId="7E31A85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一般施工船舶</w:t>
                  </w:r>
                </w:p>
              </w:tc>
              <w:tc>
                <w:tcPr>
                  <w:tcW w:w="448" w:type="pct"/>
                  <w:noWrap w:val="0"/>
                  <w:vAlign w:val="center"/>
                </w:tcPr>
                <w:p w14:paraId="463C849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70</w:t>
                  </w:r>
                </w:p>
              </w:tc>
              <w:tc>
                <w:tcPr>
                  <w:tcW w:w="376" w:type="pct"/>
                  <w:noWrap w:val="0"/>
                  <w:vAlign w:val="center"/>
                </w:tcPr>
                <w:p w14:paraId="79FA15F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376" w:type="pct"/>
                  <w:noWrap w:val="0"/>
                  <w:vAlign w:val="center"/>
                </w:tcPr>
                <w:p w14:paraId="70921543">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58</w:t>
                  </w:r>
                </w:p>
              </w:tc>
              <w:tc>
                <w:tcPr>
                  <w:tcW w:w="376" w:type="pct"/>
                  <w:noWrap w:val="0"/>
                  <w:vAlign w:val="center"/>
                </w:tcPr>
                <w:p w14:paraId="4CECA8C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c>
                <w:tcPr>
                  <w:tcW w:w="376" w:type="pct"/>
                  <w:noWrap w:val="0"/>
                  <w:vAlign w:val="center"/>
                </w:tcPr>
                <w:p w14:paraId="178F31CE">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w:t>
                  </w:r>
                </w:p>
              </w:tc>
              <w:tc>
                <w:tcPr>
                  <w:tcW w:w="376" w:type="pct"/>
                  <w:noWrap w:val="0"/>
                  <w:vAlign w:val="center"/>
                </w:tcPr>
                <w:p w14:paraId="1D019F3A">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52</w:t>
                  </w:r>
                </w:p>
              </w:tc>
              <w:tc>
                <w:tcPr>
                  <w:tcW w:w="442" w:type="pct"/>
                  <w:noWrap w:val="0"/>
                  <w:vAlign w:val="center"/>
                </w:tcPr>
                <w:p w14:paraId="701E2E5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442" w:type="pct"/>
                  <w:noWrap w:val="0"/>
                  <w:vAlign w:val="center"/>
                </w:tcPr>
                <w:p w14:paraId="1150865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47</w:t>
                  </w:r>
                </w:p>
              </w:tc>
              <w:tc>
                <w:tcPr>
                  <w:tcW w:w="468" w:type="pct"/>
                  <w:noWrap w:val="0"/>
                  <w:vAlign w:val="center"/>
                </w:tcPr>
                <w:p w14:paraId="40B3C2E1">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w:t>
                  </w:r>
                </w:p>
              </w:tc>
            </w:tr>
          </w:tbl>
          <w:p w14:paraId="49CBF57E">
            <w:pPr>
              <w:keepNext w:val="0"/>
              <w:keepLines w:val="0"/>
              <w:widowControl/>
              <w:suppressLineNumbers w:val="0"/>
              <w:jc w:val="center"/>
              <w:rPr>
                <w:rFonts w:hint="default"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表4.1-5.施工船舶噪声预测结果： dB（A）</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2145"/>
              <w:gridCol w:w="1977"/>
              <w:gridCol w:w="2144"/>
              <w:gridCol w:w="2085"/>
            </w:tblGrid>
            <w:tr w14:paraId="0501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restart"/>
                  <w:noWrap w:val="0"/>
                  <w:vAlign w:val="center"/>
                </w:tcPr>
                <w:p w14:paraId="42C44A2D">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1169" w:type="pct"/>
                  <w:vMerge w:val="restart"/>
                  <w:noWrap w:val="0"/>
                  <w:vAlign w:val="center"/>
                </w:tcPr>
                <w:p w14:paraId="7814B832">
                  <w:pPr>
                    <w:adjustRightInd w:val="0"/>
                    <w:snapToGrid w:val="0"/>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1077" w:type="pct"/>
                  <w:vMerge w:val="restart"/>
                  <w:noWrap w:val="0"/>
                  <w:vAlign w:val="center"/>
                </w:tcPr>
                <w:p w14:paraId="6D4701A7">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 xml:space="preserve">最大噪声级 </w:t>
                  </w:r>
                </w:p>
                <w:p w14:paraId="3281BAAF">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Lmax[dB(A)]</w:t>
                  </w:r>
                </w:p>
              </w:tc>
              <w:tc>
                <w:tcPr>
                  <w:tcW w:w="2304" w:type="pct"/>
                  <w:gridSpan w:val="2"/>
                  <w:noWrap w:val="0"/>
                  <w:vAlign w:val="center"/>
                </w:tcPr>
                <w:p w14:paraId="33C11985">
                  <w:pPr>
                    <w:adjustRightInd w:val="0"/>
                    <w:snapToGrid w:val="0"/>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衰减至《建筑施工场界环境噪声排放标准》噪声值的距离(m)</w:t>
                  </w:r>
                </w:p>
              </w:tc>
            </w:tr>
            <w:tr w14:paraId="45AA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086954AA">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169" w:type="pct"/>
                  <w:vMerge w:val="continue"/>
                  <w:noWrap w:val="0"/>
                  <w:vAlign w:val="center"/>
                </w:tcPr>
                <w:p w14:paraId="1760DA49">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077" w:type="pct"/>
                  <w:vMerge w:val="continue"/>
                  <w:noWrap w:val="0"/>
                  <w:vAlign w:val="center"/>
                </w:tcPr>
                <w:p w14:paraId="5D7D24E9">
                  <w:pPr>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p>
              </w:tc>
              <w:tc>
                <w:tcPr>
                  <w:tcW w:w="1168" w:type="pct"/>
                  <w:noWrap w:val="0"/>
                  <w:vAlign w:val="center"/>
                </w:tcPr>
                <w:p w14:paraId="56A3BB1D">
                  <w:pPr>
                    <w:keepNext w:val="0"/>
                    <w:keepLines w:val="0"/>
                    <w:widowControl/>
                    <w:suppressLineNumbers w:val="0"/>
                    <w:adjustRightInd w:val="0"/>
                    <w:snapToGrid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0"/>
                      <w:szCs w:val="20"/>
                      <w:highlight w:val="none"/>
                      <w:lang w:val="en-US" w:eastAsia="zh-CN" w:bidi="ar"/>
                    </w:rPr>
                    <w:t>70dB(A)</w:t>
                  </w:r>
                </w:p>
              </w:tc>
              <w:tc>
                <w:tcPr>
                  <w:tcW w:w="1136" w:type="pct"/>
                  <w:noWrap w:val="0"/>
                  <w:vAlign w:val="center"/>
                </w:tcPr>
                <w:p w14:paraId="10EBEF79">
                  <w:pPr>
                    <w:keepNext w:val="0"/>
                    <w:keepLines w:val="0"/>
                    <w:widowControl/>
                    <w:suppressLineNumbers w:val="0"/>
                    <w:adjustRightInd w:val="0"/>
                    <w:snapToGrid w:val="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0"/>
                      <w:sz w:val="20"/>
                      <w:szCs w:val="20"/>
                      <w:highlight w:val="none"/>
                      <w:lang w:val="en-US" w:eastAsia="zh-CN" w:bidi="ar"/>
                    </w:rPr>
                    <w:t>55</w:t>
                  </w:r>
                  <w:r>
                    <w:rPr>
                      <w:rFonts w:hint="default" w:ascii="Times New Roman" w:hAnsi="Times New Roman" w:eastAsia="宋体" w:cs="Times New Roman"/>
                      <w:b/>
                      <w:bCs/>
                      <w:color w:val="auto"/>
                      <w:kern w:val="0"/>
                      <w:sz w:val="20"/>
                      <w:szCs w:val="20"/>
                      <w:highlight w:val="none"/>
                      <w:lang w:val="en-US" w:eastAsia="zh-CN" w:bidi="ar"/>
                    </w:rPr>
                    <w:t>dB(A)</w:t>
                  </w:r>
                </w:p>
              </w:tc>
            </w:tr>
            <w:tr w14:paraId="5A05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noWrap w:val="0"/>
                  <w:vAlign w:val="center"/>
                </w:tcPr>
                <w:p w14:paraId="49AD165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1169" w:type="pct"/>
                  <w:noWrap w:val="0"/>
                  <w:vAlign w:val="center"/>
                </w:tcPr>
                <w:p w14:paraId="7311C002">
                  <w:pPr>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挖泥船</w:t>
                  </w:r>
                </w:p>
              </w:tc>
              <w:tc>
                <w:tcPr>
                  <w:tcW w:w="1077" w:type="pct"/>
                  <w:noWrap w:val="0"/>
                  <w:vAlign w:val="center"/>
                </w:tcPr>
                <w:p w14:paraId="330A8886">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68（50m处）</w:t>
                  </w:r>
                </w:p>
              </w:tc>
              <w:tc>
                <w:tcPr>
                  <w:tcW w:w="1168" w:type="pct"/>
                  <w:noWrap w:val="0"/>
                  <w:vAlign w:val="center"/>
                </w:tcPr>
                <w:p w14:paraId="1C522EA4">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136" w:type="pct"/>
                  <w:noWrap w:val="0"/>
                  <w:vAlign w:val="center"/>
                </w:tcPr>
                <w:p w14:paraId="3E76DAB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220</w:t>
                  </w:r>
                </w:p>
              </w:tc>
            </w:tr>
            <w:tr w14:paraId="46CD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noWrap w:val="0"/>
                  <w:vAlign w:val="center"/>
                </w:tcPr>
                <w:p w14:paraId="4846087A">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1169" w:type="pct"/>
                  <w:noWrap w:val="0"/>
                  <w:vAlign w:val="center"/>
                </w:tcPr>
                <w:p w14:paraId="677E60C5">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一般施工船舶</w:t>
                  </w:r>
                </w:p>
              </w:tc>
              <w:tc>
                <w:tcPr>
                  <w:tcW w:w="1077" w:type="pct"/>
                  <w:noWrap w:val="0"/>
                  <w:vAlign w:val="center"/>
                </w:tcPr>
                <w:p w14:paraId="2D8EE4B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70（10m处）</w:t>
                  </w:r>
                </w:p>
              </w:tc>
              <w:tc>
                <w:tcPr>
                  <w:tcW w:w="1168" w:type="pct"/>
                  <w:noWrap w:val="0"/>
                  <w:vAlign w:val="center"/>
                </w:tcPr>
                <w:p w14:paraId="1AF5CB38">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136" w:type="pct"/>
                  <w:noWrap w:val="0"/>
                  <w:vAlign w:val="center"/>
                </w:tcPr>
                <w:p w14:paraId="586B1F43">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r>
          </w:tbl>
          <w:p w14:paraId="6C83DC03">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从上表可知，最远在距施工场地220m处，船舶噪声强度已满足《建筑施工环境噪声排放标准》（GB12523-2025）的要求。项目施工船舶噪声影响范围主要为码头区域及附近海域，项目周边500m范围无学校、居民区等声环境敏感点，距声环境敏感点较远且项目施工船舶产生的噪声级不高，因此施工船舶噪声不会对周边居民产生影响，距声环境敏感点较远，施工噪声不会对环境敏感点造成影响。同时，通过加强施工作业管理，严格控制施工时间，待施工结束后，上述影响随即消失。</w:t>
            </w:r>
          </w:p>
          <w:p w14:paraId="007958F6">
            <w:pPr>
              <w:pStyle w:val="20"/>
              <w:spacing w:line="360" w:lineRule="auto"/>
              <w:ind w:firstLine="562" w:firstLineChars="200"/>
              <w:rPr>
                <w:rFonts w:hint="eastAsia" w:ascii="宋体" w:hAnsi="Courier New" w:eastAsia="宋体" w:cs="Times New Roman"/>
                <w:b/>
                <w:bCs/>
                <w:color w:val="auto"/>
                <w:sz w:val="28"/>
                <w:szCs w:val="28"/>
                <w:highlight w:val="none"/>
                <w:lang w:val="en-US" w:eastAsia="zh-CN"/>
              </w:rPr>
            </w:pPr>
            <w:r>
              <w:rPr>
                <w:rFonts w:hint="eastAsia" w:ascii="宋体" w:hAnsi="Courier New" w:eastAsia="宋体" w:cs="Times New Roman"/>
                <w:b/>
                <w:bCs/>
                <w:color w:val="auto"/>
                <w:sz w:val="28"/>
                <w:szCs w:val="28"/>
                <w:highlight w:val="none"/>
                <w:lang w:val="en-US" w:eastAsia="zh-CN"/>
              </w:rPr>
              <w:t>4.1.4海洋生态环境影响</w:t>
            </w:r>
          </w:p>
          <w:p w14:paraId="36B53739">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1、海洋沉积物环境影响分析</w:t>
            </w:r>
          </w:p>
          <w:p w14:paraId="4C09A255">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对海洋沉积物的环境影响主要为疏浚施工，项目疏浚施工产生的悬浮泥沙在水流和重力的作用下，在码头港池附近扩散和沉淀，从而改变附近底基沉积物的理化性质，悬浮泥沙对海洋沉积物的影响主要包括两个方面：一是粒度较大的泥沙被扰动悬浮到附近水体后，经过较短距离的扩散即沉降，其沉降范围位于疏浚区附近，这部分泥沙对施工区外的沉积物基本没有影响；二是粒度较小的泥沙进入水体而影响海水水质，并长时间悬浮于水体中，经过相对较长距离的扩散后再沉降，将改变周边区域的沉积物环境。</w:t>
            </w:r>
          </w:p>
          <w:p w14:paraId="2858A3B5">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u w:val="none"/>
                <w:lang w:val="en-US" w:eastAsia="zh-CN"/>
              </w:rPr>
              <w:t>项目回旋水域维护性疏浚将会改变项目施工范围内的沉积物环境。项目施工产生的悬浮物扩散和沉降也会对沉积物产生一定影响。参考悬浮物扩散预测，</w:t>
            </w:r>
            <w:r>
              <w:rPr>
                <w:rFonts w:hint="eastAsia" w:ascii="Times New Roman" w:hAnsi="Times New Roman" w:eastAsia="宋体" w:cs="Times New Roman"/>
                <w:color w:val="auto"/>
                <w:sz w:val="24"/>
                <w:highlight w:val="none"/>
                <w:u w:val="single"/>
                <w:lang w:val="en-US" w:eastAsia="zh-CN"/>
              </w:rPr>
              <w:t>悬浮物增量大于</w:t>
            </w:r>
            <w:r>
              <w:rPr>
                <w:rFonts w:hint="default" w:ascii="Times New Roman" w:hAnsi="Times New Roman" w:eastAsia="宋体" w:cs="Times New Roman"/>
                <w:color w:val="auto"/>
                <w:sz w:val="24"/>
                <w:highlight w:val="none"/>
                <w:u w:val="single"/>
                <w:lang w:val="en-US" w:eastAsia="zh-CN"/>
              </w:rPr>
              <w:t>150mg/L</w:t>
            </w:r>
            <w:r>
              <w:rPr>
                <w:rFonts w:hint="eastAsia" w:ascii="Times New Roman" w:hAnsi="Times New Roman" w:eastAsia="宋体" w:cs="Times New Roman"/>
                <w:color w:val="auto"/>
                <w:sz w:val="24"/>
                <w:highlight w:val="none"/>
                <w:u w:val="single"/>
                <w:lang w:val="en-US" w:eastAsia="zh-CN"/>
              </w:rPr>
              <w:t>的扩散面积约为</w:t>
            </w:r>
            <w:r>
              <w:rPr>
                <w:rFonts w:hint="default" w:ascii="Times New Roman" w:hAnsi="Times New Roman" w:eastAsia="宋体" w:cs="Times New Roman"/>
                <w:color w:val="auto"/>
                <w:sz w:val="24"/>
                <w:highlight w:val="none"/>
                <w:u w:val="single"/>
                <w:lang w:val="en-US" w:eastAsia="zh-CN"/>
              </w:rPr>
              <w:t>0.033km</w:t>
            </w:r>
            <w:r>
              <w:rPr>
                <w:rFonts w:hint="default" w:ascii="Times New Roman" w:hAnsi="Times New Roman" w:eastAsia="宋体" w:cs="Times New Roman"/>
                <w:color w:val="auto"/>
                <w:sz w:val="24"/>
                <w:highlight w:val="none"/>
                <w:u w:val="single"/>
                <w:vertAlign w:val="superscript"/>
                <w:lang w:val="en-US" w:eastAsia="zh-CN"/>
              </w:rPr>
              <w:t>2</w:t>
            </w:r>
            <w:r>
              <w:rPr>
                <w:rFonts w:hint="default" w:ascii="Times New Roman" w:hAnsi="Times New Roman" w:eastAsia="宋体" w:cs="Times New Roman"/>
                <w:color w:val="auto"/>
                <w:sz w:val="24"/>
                <w:highlight w:val="none"/>
                <w:u w:val="single"/>
                <w:lang w:val="en-US" w:eastAsia="zh-CN"/>
              </w:rPr>
              <w:t xml:space="preserve"> </w:t>
            </w:r>
            <w:r>
              <w:rPr>
                <w:rFonts w:hint="eastAsia" w:ascii="Times New Roman" w:hAnsi="Times New Roman" w:eastAsia="宋体" w:cs="Times New Roman"/>
                <w:color w:val="auto"/>
                <w:sz w:val="24"/>
                <w:highlight w:val="none"/>
                <w:u w:val="single"/>
                <w:lang w:val="en-US" w:eastAsia="zh-CN"/>
              </w:rPr>
              <w:t>，超过</w:t>
            </w:r>
            <w:r>
              <w:rPr>
                <w:rFonts w:hint="default" w:ascii="Times New Roman" w:hAnsi="Times New Roman" w:eastAsia="宋体" w:cs="Times New Roman"/>
                <w:color w:val="auto"/>
                <w:sz w:val="24"/>
                <w:highlight w:val="none"/>
                <w:u w:val="single"/>
                <w:lang w:val="en-US" w:eastAsia="zh-CN"/>
              </w:rPr>
              <w:t>100mg/L</w:t>
            </w:r>
            <w:r>
              <w:rPr>
                <w:rFonts w:hint="eastAsia" w:ascii="Times New Roman" w:hAnsi="Times New Roman" w:eastAsia="宋体" w:cs="Times New Roman"/>
                <w:color w:val="auto"/>
                <w:sz w:val="24"/>
                <w:highlight w:val="none"/>
                <w:u w:val="single"/>
                <w:lang w:val="en-US" w:eastAsia="zh-CN"/>
              </w:rPr>
              <w:t>的影响范围约为</w:t>
            </w:r>
            <w:r>
              <w:rPr>
                <w:rFonts w:hint="default" w:ascii="Times New Roman" w:hAnsi="Times New Roman" w:eastAsia="宋体" w:cs="Times New Roman"/>
                <w:color w:val="auto"/>
                <w:sz w:val="24"/>
                <w:highlight w:val="none"/>
                <w:u w:val="single"/>
                <w:lang w:val="en-US" w:eastAsia="zh-CN"/>
              </w:rPr>
              <w:t>0.21km</w:t>
            </w:r>
            <w:r>
              <w:rPr>
                <w:rFonts w:hint="default"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，超过</w:t>
            </w:r>
            <w:r>
              <w:rPr>
                <w:rFonts w:hint="default" w:ascii="Times New Roman" w:hAnsi="Times New Roman" w:eastAsia="宋体" w:cs="Times New Roman"/>
                <w:color w:val="auto"/>
                <w:sz w:val="24"/>
                <w:highlight w:val="none"/>
                <w:u w:val="single"/>
                <w:lang w:val="en-US" w:eastAsia="zh-CN"/>
              </w:rPr>
              <w:t>10mg/L</w:t>
            </w:r>
            <w:r>
              <w:rPr>
                <w:rFonts w:hint="eastAsia" w:ascii="Times New Roman" w:hAnsi="Times New Roman" w:eastAsia="宋体" w:cs="Times New Roman"/>
                <w:color w:val="auto"/>
                <w:sz w:val="24"/>
                <w:highlight w:val="none"/>
                <w:u w:val="single"/>
                <w:lang w:val="en-US" w:eastAsia="zh-CN"/>
              </w:rPr>
              <w:t>的最大扩散面积约</w:t>
            </w:r>
            <w:r>
              <w:rPr>
                <w:rFonts w:hint="default" w:ascii="Times New Roman" w:hAnsi="Times New Roman" w:eastAsia="宋体" w:cs="Times New Roman"/>
                <w:color w:val="auto"/>
                <w:sz w:val="24"/>
                <w:highlight w:val="none"/>
                <w:u w:val="single"/>
                <w:lang w:val="en-US" w:eastAsia="zh-CN"/>
              </w:rPr>
              <w:t>2.74km</w:t>
            </w:r>
            <w:r>
              <w:rPr>
                <w:rFonts w:hint="default" w:ascii="Times New Roman" w:hAnsi="Times New Roman" w:eastAsia="宋体" w:cs="Times New Roman"/>
                <w:color w:val="auto"/>
                <w:sz w:val="24"/>
                <w:highlight w:val="none"/>
                <w:u w:val="single"/>
                <w:vertAlign w:val="superscript"/>
                <w:lang w:val="en-US" w:eastAsia="zh-CN"/>
              </w:rPr>
              <w:t>2</w:t>
            </w:r>
            <w:r>
              <w:rPr>
                <w:rFonts w:hint="default" w:ascii="Times New Roman" w:hAnsi="Times New Roman" w:eastAsia="宋体" w:cs="Times New Roman"/>
                <w:color w:val="auto"/>
                <w:sz w:val="24"/>
                <w:highlight w:val="none"/>
                <w:u w:val="single"/>
                <w:lang w:val="en-US" w:eastAsia="zh-CN"/>
              </w:rPr>
              <w:t xml:space="preserve"> </w:t>
            </w:r>
            <w:r>
              <w:rPr>
                <w:rFonts w:hint="eastAsia" w:ascii="Times New Roman" w:hAnsi="Times New Roman" w:eastAsia="宋体" w:cs="Times New Roman"/>
                <w:color w:val="auto"/>
                <w:sz w:val="24"/>
                <w:highlight w:val="none"/>
                <w:u w:val="single"/>
                <w:lang w:val="en-US" w:eastAsia="zh-CN"/>
              </w:rPr>
              <w:t>。悬浮物增量超</w:t>
            </w:r>
            <w:r>
              <w:rPr>
                <w:rFonts w:hint="default" w:ascii="Times New Roman" w:hAnsi="Times New Roman" w:eastAsia="宋体" w:cs="Times New Roman"/>
                <w:color w:val="auto"/>
                <w:sz w:val="24"/>
                <w:highlight w:val="none"/>
                <w:u w:val="single"/>
                <w:lang w:val="en-US" w:eastAsia="zh-CN"/>
              </w:rPr>
              <w:t>2</w:t>
            </w:r>
            <w:r>
              <w:rPr>
                <w:rFonts w:hint="eastAsia" w:ascii="Times New Roman" w:hAnsi="Times New Roman" w:eastAsia="宋体" w:cs="Times New Roman"/>
                <w:color w:val="auto"/>
                <w:sz w:val="24"/>
                <w:highlight w:val="none"/>
                <w:u w:val="single"/>
                <w:lang w:val="en-US" w:eastAsia="zh-CN"/>
              </w:rPr>
              <w:t>类海水水质标准向北最远扩散距离约</w:t>
            </w:r>
            <w:r>
              <w:rPr>
                <w:rFonts w:hint="eastAsia" w:ascii="Times New Roman" w:hAnsi="Times New Roman"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，向南扩散的最远距离约</w:t>
            </w:r>
            <w:r>
              <w:rPr>
                <w:rFonts w:hint="eastAsia" w:ascii="Times New Roman" w:hAnsi="Times New Roman" w:cs="Times New Roman"/>
                <w:color w:val="auto"/>
                <w:sz w:val="24"/>
                <w:highlight w:val="none"/>
                <w:u w:val="single"/>
                <w:lang w:val="en-US" w:eastAsia="zh-CN"/>
              </w:rPr>
              <w:t>3.57</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u w:val="none"/>
                <w:lang w:val="en-US" w:eastAsia="zh-CN"/>
              </w:rPr>
              <w:t>此外，施工人员生活污水、船舶废水和固体废弃物等均得到妥善处理与处置，不排放入海</w:t>
            </w:r>
            <w:r>
              <w:rPr>
                <w:rFonts w:hint="eastAsia" w:ascii="Times New Roman" w:hAnsi="Times New Roman" w:eastAsia="宋体" w:cs="Times New Roman"/>
                <w:b w:val="0"/>
                <w:bCs w:val="0"/>
                <w:color w:val="auto"/>
                <w:sz w:val="24"/>
                <w:highlight w:val="none"/>
                <w:u w:val="none"/>
                <w:lang w:val="en-US" w:eastAsia="zh-CN"/>
              </w:rPr>
              <w:t>，</w:t>
            </w:r>
            <w:r>
              <w:rPr>
                <w:rFonts w:hint="eastAsia" w:ascii="Times New Roman" w:hAnsi="Times New Roman" w:eastAsia="宋体" w:cs="Times New Roman"/>
                <w:color w:val="auto"/>
                <w:sz w:val="24"/>
                <w:highlight w:val="none"/>
                <w:u w:val="none"/>
                <w:lang w:val="en-US" w:eastAsia="zh-CN"/>
              </w:rPr>
              <w:t>项目建设不会对周围的沉积物环境质量造成明显影响。由</w:t>
            </w:r>
            <w:r>
              <w:rPr>
                <w:rFonts w:hint="eastAsia" w:ascii="Times New Roman" w:hAnsi="Times New Roman" w:eastAsia="宋体" w:cs="Times New Roman"/>
                <w:color w:val="auto"/>
                <w:sz w:val="24"/>
                <w:highlight w:val="none"/>
                <w:lang w:val="en-US" w:eastAsia="zh-CN"/>
              </w:rPr>
              <w:t>施工扰动产生的悬浮物再次沉降对本海区表层沉积物环境质量不会产生明显的影响，沉积物质量仍将基本保持现有水平。</w:t>
            </w:r>
          </w:p>
          <w:p w14:paraId="261C5259">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2、悬浮泥沙对海洋生态环境影响</w:t>
            </w:r>
          </w:p>
          <w:p w14:paraId="5AEE610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项目施工期产生的悬浮泥沙会导致疏浚区域附近海域悬浮物浓度局部、暂时性升高，导致局部范围内的水体浑浊度增加，减少透光率，造成部分鱼类回避并影响浮游植物的光合作用。 </w:t>
            </w:r>
          </w:p>
          <w:p w14:paraId="65C09DF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悬浮泥沙对水生生物的影响主要是对鱼卵、仔稚鱼和幼体造成严重伤害，表现为影响胚胎发育、堵塞生物的</w:t>
            </w:r>
            <w:r>
              <w:rPr>
                <w:rFonts w:hint="eastAsia" w:cs="Times New Roman"/>
                <w:color w:val="auto"/>
                <w:sz w:val="24"/>
                <w:highlight w:val="none"/>
                <w:lang w:val="en-US" w:eastAsia="zh-CN"/>
              </w:rPr>
              <w:t>鳃</w:t>
            </w:r>
            <w:r>
              <w:rPr>
                <w:rFonts w:hint="eastAsia" w:ascii="Times New Roman" w:hAnsi="Times New Roman" w:eastAsia="宋体" w:cs="Times New Roman"/>
                <w:color w:val="auto"/>
                <w:sz w:val="24"/>
                <w:highlight w:val="none"/>
                <w:lang w:val="en-US" w:eastAsia="zh-CN"/>
              </w:rPr>
              <w:t xml:space="preserve">部造成窒息死亡，悬浮物沉积造成水体缺氧而导致死亡等。待施工结束后，产生的影响也随之消失，海域生态环境可得到一定程度的恢复。 </w:t>
            </w:r>
          </w:p>
          <w:p w14:paraId="0FA69978">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①对浮游生物的影响 </w:t>
            </w:r>
          </w:p>
          <w:p w14:paraId="6000EFF1">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悬浮泥沙对浮游生物的影响主要为施工过程中产生的悬浮泥沙导致水体浑浊度增大，透明度降低，不利于浮游植物的繁殖生长，此外还表现在对浮游动物的生长率、摄食率的影响等。本项目属于码头港池维护性疏浚，疏浚总量较小，悬浮泥沙排放的时间相对较短，疏浚施工产生的悬浮泥沙扩散主要是在码头港池附近，随着施工作业结束，悬浮泥沙的影响随之消失。</w:t>
            </w:r>
          </w:p>
          <w:p w14:paraId="66A6DB9D">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②对潮间带生物影响 </w:t>
            </w:r>
          </w:p>
          <w:p w14:paraId="23F99661">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潮间带生物的栖居形式包括爬行、固着、埋栖、穴居、底游等类型，除底栖鱼类与虾蟹类 运动较敏捷，其他门类通常不甚活跃或营固着生活。项目疏浚施工过程中除少量活动能力强的底栖鱼类与虾蟹类可逃往他处外，大多数栖息于该海域的潮间带生物由于来不及逃离，被施工机械击中而死亡或被填埋。本项目码头港池维护性疏浚规模较小，疏浚面积约为7.93h</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，施工结束后拟采用人工增殖放流等生态补偿措施可以使海洋生物资源得到有效</w:t>
            </w:r>
            <w:r>
              <w:rPr>
                <w:rFonts w:hint="eastAsia" w:cs="Times New Roman"/>
                <w:color w:val="auto"/>
                <w:sz w:val="24"/>
                <w:highlight w:val="none"/>
                <w:lang w:val="en-US" w:eastAsia="zh-CN"/>
              </w:rPr>
              <w:t>地</w:t>
            </w:r>
            <w:r>
              <w:rPr>
                <w:rFonts w:hint="eastAsia" w:ascii="Times New Roman" w:hAnsi="Times New Roman" w:eastAsia="宋体" w:cs="Times New Roman"/>
                <w:color w:val="auto"/>
                <w:sz w:val="24"/>
                <w:highlight w:val="none"/>
                <w:lang w:val="en-US" w:eastAsia="zh-CN"/>
              </w:rPr>
              <w:t xml:space="preserve">恢复和保护。 </w:t>
            </w:r>
          </w:p>
          <w:p w14:paraId="5062B5F2">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③对渔业资源的影响 </w:t>
            </w:r>
          </w:p>
          <w:p w14:paraId="799C428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渔业资源主要包括游泳生物（主要为鱼、虾、蟹）和鱼卵仔鱼，随着工程实施悬浮泥沙浓度不断增加，并在水体中不断沉降和扩散，势必会造成对海域中鱼卵的覆盖，影响其正常发育 孵化的生理过程。而对于有游泳能力的仔鱼，则阻碍其正常的游动行为。另外，悬浮泥沙含量增高导致浮游生物和底栖生物生物量减少，进而影响游泳生物和鱼类的饵料摄取。同时，水中 悬浮泥沙含量过高，会使鱼类的腮腺积聚泥沙微粒，严重损害</w:t>
            </w:r>
            <w:r>
              <w:rPr>
                <w:rFonts w:hint="eastAsia" w:cs="Times New Roman"/>
                <w:color w:val="auto"/>
                <w:sz w:val="24"/>
                <w:highlight w:val="none"/>
                <w:lang w:val="en-US" w:eastAsia="zh-CN"/>
              </w:rPr>
              <w:t>鳃</w:t>
            </w:r>
            <w:r>
              <w:rPr>
                <w:rFonts w:hint="eastAsia" w:ascii="Times New Roman" w:hAnsi="Times New Roman" w:eastAsia="宋体" w:cs="Times New Roman"/>
                <w:color w:val="auto"/>
                <w:sz w:val="24"/>
                <w:highlight w:val="none"/>
                <w:lang w:val="en-US" w:eastAsia="zh-CN"/>
              </w:rPr>
              <w:t>部的滤水和呼吸功能，甚至导致鱼类窒息死亡。一般情况下，成鱼在浑浊水域（</w:t>
            </w:r>
            <w:r>
              <w:rPr>
                <w:rFonts w:hint="default" w:ascii="Times New Roman" w:hAnsi="Times New Roman" w:eastAsia="宋体"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含量高于</w:t>
            </w:r>
            <w:r>
              <w:rPr>
                <w:rFonts w:hint="default" w:ascii="Times New Roman" w:hAnsi="Times New Roman" w:eastAsia="宋体" w:cs="Times New Roman"/>
                <w:color w:val="auto"/>
                <w:sz w:val="24"/>
                <w:highlight w:val="none"/>
                <w:lang w:val="en-US" w:eastAsia="zh-CN"/>
              </w:rPr>
              <w:t>70mg/L</w:t>
            </w:r>
            <w:r>
              <w:rPr>
                <w:rFonts w:hint="eastAsia" w:ascii="Times New Roman" w:hAnsi="Times New Roman" w:eastAsia="宋体" w:cs="Times New Roman"/>
                <w:color w:val="auto"/>
                <w:sz w:val="24"/>
                <w:highlight w:val="none"/>
                <w:lang w:val="en-US" w:eastAsia="zh-CN"/>
              </w:rPr>
              <w:t>）会做出回避反应，迅速逃离影响地带，待项目施工结束，海域影响减小时，鱼类又会洄游回来，所以对成鱼来说这种影响是暂时性的、小区域的，随着施工阶段的结束，海域将恢复正常。由于本项目属于码头 港池维护性疏浚，疏浚规模较小，悬浮泥沙排放的时间相对较短，疏浚施工产生的悬浮泥沙扩散主要是在码头港池附近，施工产生的悬浮泥沙对周边海域渔业资源产生的影响较小。</w:t>
            </w:r>
          </w:p>
          <w:p w14:paraId="1DBABAF2">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3、海洋生物资源损失量分析</w:t>
            </w:r>
          </w:p>
          <w:p w14:paraId="24610EF0">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①生物资源密度的选取</w:t>
            </w:r>
          </w:p>
          <w:p w14:paraId="56E304EB">
            <w:pPr>
              <w:spacing w:line="360" w:lineRule="auto"/>
              <w:ind w:firstLine="480" w:firstLineChars="200"/>
              <w:rPr>
                <w:rFonts w:hint="default" w:cs="Times New Roman"/>
                <w:color w:val="auto"/>
                <w:sz w:val="24"/>
                <w:highlight w:val="none"/>
                <w:u w:val="single"/>
                <w:lang w:val="en-US" w:eastAsia="zh-CN"/>
              </w:rPr>
            </w:pPr>
            <w:r>
              <w:rPr>
                <w:rFonts w:hint="eastAsia" w:ascii="Times New Roman" w:hAnsi="Times New Roman" w:eastAsia="宋体" w:cs="Times New Roman"/>
                <w:color w:val="auto"/>
                <w:sz w:val="24"/>
                <w:highlight w:val="none"/>
                <w:lang w:val="en-US" w:eastAsia="zh-CN"/>
              </w:rPr>
              <w:t>本次评价引用《钦州港正新散货码头扩建项目环境影响报告书》中秋季2024年9月海洋环境质量监测数据，</w:t>
            </w:r>
            <w:r>
              <w:rPr>
                <w:rFonts w:hint="eastAsia" w:ascii="Times New Roman" w:hAnsi="Times New Roman" w:eastAsia="宋体" w:cs="Times New Roman"/>
                <w:color w:val="auto"/>
                <w:sz w:val="24"/>
                <w:highlight w:val="none"/>
                <w:u w:val="single"/>
                <w:lang w:val="en-US" w:eastAsia="zh-CN"/>
              </w:rPr>
              <w:t>本次生物损失量以2024年9月</w:t>
            </w:r>
            <w:r>
              <w:rPr>
                <w:rFonts w:hint="eastAsia" w:cs="Times New Roman"/>
                <w:color w:val="auto"/>
                <w:sz w:val="24"/>
                <w:highlight w:val="none"/>
                <w:u w:val="single"/>
                <w:lang w:val="en-US" w:eastAsia="zh-CN"/>
              </w:rPr>
              <w:t>项目位置周边站点的</w:t>
            </w:r>
            <w:r>
              <w:rPr>
                <w:rFonts w:hint="eastAsia" w:ascii="Times New Roman" w:hAnsi="Times New Roman" w:eastAsia="宋体" w:cs="Times New Roman"/>
                <w:color w:val="auto"/>
                <w:sz w:val="24"/>
                <w:highlight w:val="none"/>
                <w:u w:val="single"/>
                <w:lang w:val="en-US" w:eastAsia="zh-CN"/>
              </w:rPr>
              <w:t>生物资源</w:t>
            </w:r>
            <w:r>
              <w:rPr>
                <w:rFonts w:hint="eastAsia" w:cs="Times New Roman"/>
                <w:color w:val="auto"/>
                <w:sz w:val="24"/>
                <w:highlight w:val="none"/>
                <w:u w:val="single"/>
                <w:lang w:val="en-US" w:eastAsia="zh-CN"/>
              </w:rPr>
              <w:t>的平均</w:t>
            </w:r>
            <w:r>
              <w:rPr>
                <w:rFonts w:hint="eastAsia" w:ascii="Times New Roman" w:hAnsi="Times New Roman" w:eastAsia="宋体" w:cs="Times New Roman"/>
                <w:color w:val="auto"/>
                <w:sz w:val="24"/>
                <w:highlight w:val="none"/>
                <w:u w:val="single"/>
                <w:lang w:val="en-US" w:eastAsia="zh-CN"/>
              </w:rPr>
              <w:t>密度作为本底计算参数。</w:t>
            </w:r>
            <w:r>
              <w:rPr>
                <w:rFonts w:hint="eastAsia" w:cs="Times New Roman"/>
                <w:color w:val="auto"/>
                <w:sz w:val="24"/>
                <w:highlight w:val="none"/>
                <w:u w:val="single"/>
                <w:lang w:val="en-US" w:eastAsia="zh-CN"/>
              </w:rPr>
              <w:t>项目悬浮物扩散浓度及范围参考与本项目位置相邻且施工工艺、施工设备、悬浮物源强与本项目一致的《钦州港钦州港金谷港区金鼓江作业区16#17#泊位码头停泊及回旋水域清淤疏浚项目环境影响报告表》中预测结果对本项目生物损失量的估算。</w:t>
            </w:r>
          </w:p>
          <w:p w14:paraId="07CC6479">
            <w:pPr>
              <w:keepNext w:val="0"/>
              <w:keepLines w:val="0"/>
              <w:widowControl/>
              <w:suppressLineNumbers w:val="0"/>
              <w:jc w:val="center"/>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表4.1-6   项目生物资源密度取值一览表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213"/>
              <w:gridCol w:w="1677"/>
              <w:gridCol w:w="1611"/>
              <w:gridCol w:w="1562"/>
              <w:gridCol w:w="1463"/>
            </w:tblGrid>
            <w:tr w14:paraId="273D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97" w:type="pct"/>
                  <w:noWrap w:val="0"/>
                  <w:vAlign w:val="center"/>
                </w:tcPr>
                <w:p w14:paraId="4EA2E74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类别</w:t>
                  </w:r>
                </w:p>
              </w:tc>
              <w:tc>
                <w:tcPr>
                  <w:tcW w:w="661" w:type="pct"/>
                  <w:noWrap w:val="0"/>
                  <w:vAlign w:val="center"/>
                </w:tcPr>
                <w:p w14:paraId="1ECAE653">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底栖生物</w:t>
                  </w:r>
                </w:p>
              </w:tc>
              <w:tc>
                <w:tcPr>
                  <w:tcW w:w="914" w:type="pct"/>
                  <w:noWrap w:val="0"/>
                  <w:vAlign w:val="center"/>
                </w:tcPr>
                <w:p w14:paraId="174A8F69">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浮游植物</w:t>
                  </w:r>
                </w:p>
              </w:tc>
              <w:tc>
                <w:tcPr>
                  <w:tcW w:w="878" w:type="pct"/>
                  <w:noWrap w:val="0"/>
                  <w:vAlign w:val="center"/>
                </w:tcPr>
                <w:p w14:paraId="2D277174">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浮游动物</w:t>
                  </w:r>
                </w:p>
              </w:tc>
              <w:tc>
                <w:tcPr>
                  <w:tcW w:w="851" w:type="pct"/>
                  <w:noWrap w:val="0"/>
                  <w:vAlign w:val="center"/>
                </w:tcPr>
                <w:p w14:paraId="1C83359D">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鱼卵</w:t>
                  </w:r>
                </w:p>
              </w:tc>
              <w:tc>
                <w:tcPr>
                  <w:tcW w:w="797" w:type="pct"/>
                  <w:noWrap w:val="0"/>
                  <w:vAlign w:val="center"/>
                </w:tcPr>
                <w:p w14:paraId="05BE38F5">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仔稚鱼</w:t>
                  </w:r>
                </w:p>
              </w:tc>
            </w:tr>
            <w:tr w14:paraId="07C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 w:type="pct"/>
                  <w:noWrap w:val="0"/>
                  <w:vAlign w:val="center"/>
                </w:tcPr>
                <w:p w14:paraId="4CB07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生物资源密度</w:t>
                  </w:r>
                </w:p>
                <w:p w14:paraId="57B3F8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或生物量</w:t>
                  </w:r>
                </w:p>
              </w:tc>
              <w:tc>
                <w:tcPr>
                  <w:tcW w:w="661" w:type="pct"/>
                  <w:noWrap w:val="0"/>
                  <w:vAlign w:val="center"/>
                </w:tcPr>
                <w:p w14:paraId="08FD20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 w:val="0"/>
                      <w:bCs w:val="0"/>
                      <w:color w:val="auto"/>
                      <w:sz w:val="21"/>
                      <w:szCs w:val="21"/>
                      <w:highlight w:val="none"/>
                      <w:u w:val="single"/>
                      <w:lang w:val="en-US" w:eastAsia="zh-CN"/>
                    </w:rPr>
                  </w:pPr>
                  <w:r>
                    <w:rPr>
                      <w:rFonts w:hint="eastAsia" w:cs="Times New Roman"/>
                      <w:b w:val="0"/>
                      <w:bCs w:val="0"/>
                      <w:color w:val="auto"/>
                      <w:sz w:val="21"/>
                      <w:szCs w:val="21"/>
                      <w:highlight w:val="none"/>
                      <w:u w:val="single"/>
                      <w:lang w:val="en-US" w:eastAsia="zh-CN"/>
                    </w:rPr>
                    <w:t>密度</w:t>
                  </w:r>
                </w:p>
                <w:p w14:paraId="105623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u w:val="single"/>
                      <w:lang w:val="en-US" w:eastAsia="zh-CN"/>
                    </w:rPr>
                    <w:t>54.25</w:t>
                  </w:r>
                  <w:r>
                    <w:rPr>
                      <w:rFonts w:hint="default" w:ascii="Times New Roman" w:hAnsi="Times New Roman" w:eastAsia="宋体" w:cs="Times New Roman"/>
                      <w:b w:val="0"/>
                      <w:bCs w:val="0"/>
                      <w:color w:val="auto"/>
                      <w:sz w:val="21"/>
                      <w:szCs w:val="21"/>
                      <w:highlight w:val="none"/>
                      <w:u w:val="single"/>
                      <w:lang w:val="en-US" w:eastAsia="zh-CN"/>
                    </w:rPr>
                    <w:t>g/m</w:t>
                  </w:r>
                  <w:r>
                    <w:rPr>
                      <w:rFonts w:hint="default" w:ascii="Times New Roman" w:hAnsi="Times New Roman" w:eastAsia="宋体" w:cs="Times New Roman"/>
                      <w:b w:val="0"/>
                      <w:bCs w:val="0"/>
                      <w:color w:val="auto"/>
                      <w:sz w:val="21"/>
                      <w:szCs w:val="21"/>
                      <w:highlight w:val="none"/>
                      <w:u w:val="single"/>
                      <w:vertAlign w:val="superscript"/>
                      <w:lang w:val="en-US" w:eastAsia="zh-CN"/>
                    </w:rPr>
                    <w:t>2</w:t>
                  </w:r>
                </w:p>
              </w:tc>
              <w:tc>
                <w:tcPr>
                  <w:tcW w:w="914" w:type="pct"/>
                  <w:noWrap w:val="0"/>
                  <w:vAlign w:val="center"/>
                </w:tcPr>
                <w:p w14:paraId="4F3272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密度</w:t>
                  </w:r>
                </w:p>
                <w:p w14:paraId="2144A988">
                  <w:pPr>
                    <w:pStyle w:val="9"/>
                    <w:ind w:left="0" w:leftChars="0" w:firstLine="0" w:firstLineChars="0"/>
                    <w:jc w:val="both"/>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u w:val="single"/>
                      <w:shd w:val="clear" w:color="auto" w:fill="auto"/>
                      <w:lang w:val="en-US" w:eastAsia="zh-CN"/>
                    </w:rPr>
                    <w:t>1.73</w:t>
                  </w:r>
                  <w:r>
                    <w:rPr>
                      <w:rFonts w:hint="default" w:ascii="Times New Roman" w:hAnsi="Times New Roman" w:eastAsia="宋体" w:cs="Times New Roman"/>
                      <w:color w:val="auto"/>
                      <w:sz w:val="21"/>
                      <w:szCs w:val="21"/>
                      <w:highlight w:val="none"/>
                      <w:u w:val="single"/>
                      <w:shd w:val="clear" w:color="auto" w:fill="auto"/>
                    </w:rPr>
                    <w:t>×10</w:t>
                  </w:r>
                  <w:r>
                    <w:rPr>
                      <w:rFonts w:hint="default" w:ascii="Times New Roman" w:hAnsi="Times New Roman" w:eastAsia="宋体" w:cs="Times New Roman"/>
                      <w:color w:val="auto"/>
                      <w:sz w:val="21"/>
                      <w:szCs w:val="21"/>
                      <w:highlight w:val="none"/>
                      <w:u w:val="single"/>
                      <w:shd w:val="clear" w:color="auto" w:fill="auto"/>
                      <w:vertAlign w:val="superscript"/>
                      <w:lang w:val="en-US" w:eastAsia="zh-CN"/>
                    </w:rPr>
                    <w:t>6</w:t>
                  </w:r>
                  <w:r>
                    <w:rPr>
                      <w:rFonts w:hint="default" w:ascii="Times New Roman" w:hAnsi="Times New Roman" w:eastAsia="宋体" w:cs="Times New Roman"/>
                      <w:color w:val="auto"/>
                      <w:sz w:val="21"/>
                      <w:szCs w:val="21"/>
                      <w:highlight w:val="none"/>
                      <w:u w:val="single"/>
                      <w:shd w:val="clear" w:color="auto" w:fill="auto"/>
                      <w:lang w:val="en-US" w:eastAsia="zh-CN"/>
                    </w:rPr>
                    <w:t>个/m</w:t>
                  </w:r>
                  <w:r>
                    <w:rPr>
                      <w:rFonts w:hint="default" w:ascii="Times New Roman" w:hAnsi="Times New Roman" w:eastAsia="宋体" w:cs="Times New Roman"/>
                      <w:color w:val="auto"/>
                      <w:sz w:val="21"/>
                      <w:szCs w:val="21"/>
                      <w:highlight w:val="none"/>
                      <w:u w:val="single"/>
                      <w:shd w:val="clear" w:color="auto" w:fill="auto"/>
                      <w:vertAlign w:val="superscript"/>
                      <w:lang w:val="en-US" w:eastAsia="zh-CN"/>
                    </w:rPr>
                    <w:t>3</w:t>
                  </w:r>
                </w:p>
              </w:tc>
              <w:tc>
                <w:tcPr>
                  <w:tcW w:w="878" w:type="pct"/>
                  <w:noWrap w:val="0"/>
                  <w:vAlign w:val="center"/>
                </w:tcPr>
                <w:p w14:paraId="376D99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rPr>
                    <w:t>生物量为</w:t>
                  </w:r>
                  <w:r>
                    <w:rPr>
                      <w:rFonts w:hint="eastAsia" w:cs="Times New Roman"/>
                      <w:color w:val="auto"/>
                      <w:sz w:val="21"/>
                      <w:szCs w:val="21"/>
                      <w:highlight w:val="none"/>
                      <w:u w:val="single"/>
                      <w:lang w:val="en-US" w:eastAsia="zh-CN"/>
                    </w:rPr>
                    <w:t>106.75</w:t>
                  </w:r>
                  <w:r>
                    <w:rPr>
                      <w:rFonts w:hint="default" w:ascii="Times New Roman" w:hAnsi="Times New Roman" w:eastAsia="宋体" w:cs="Times New Roman"/>
                      <w:color w:val="auto"/>
                      <w:sz w:val="21"/>
                      <w:szCs w:val="21"/>
                      <w:highlight w:val="none"/>
                      <w:u w:val="single"/>
                    </w:rPr>
                    <w:t>mg/m</w:t>
                  </w:r>
                  <w:r>
                    <w:rPr>
                      <w:rFonts w:hint="default" w:ascii="Times New Roman" w:hAnsi="Times New Roman" w:eastAsia="宋体" w:cs="Times New Roman"/>
                      <w:color w:val="auto"/>
                      <w:sz w:val="21"/>
                      <w:szCs w:val="21"/>
                      <w:highlight w:val="none"/>
                      <w:u w:val="single"/>
                      <w:vertAlign w:val="superscript"/>
                    </w:rPr>
                    <w:t>3</w:t>
                  </w:r>
                </w:p>
              </w:tc>
              <w:tc>
                <w:tcPr>
                  <w:tcW w:w="851" w:type="pct"/>
                  <w:noWrap w:val="0"/>
                  <w:vAlign w:val="center"/>
                </w:tcPr>
                <w:p w14:paraId="0CE4A5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密度</w:t>
                  </w:r>
                </w:p>
                <w:p w14:paraId="640061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cs="Times New Roman"/>
                      <w:b w:val="0"/>
                      <w:bCs w:val="0"/>
                      <w:color w:val="auto"/>
                      <w:sz w:val="21"/>
                      <w:szCs w:val="21"/>
                      <w:highlight w:val="none"/>
                      <w:u w:val="single"/>
                      <w:lang w:val="en-US" w:eastAsia="zh-CN"/>
                    </w:rPr>
                    <w:t>0.0113</w:t>
                  </w:r>
                  <w:r>
                    <w:rPr>
                      <w:rFonts w:hint="default" w:ascii="Times New Roman" w:hAnsi="Times New Roman" w:eastAsia="宋体" w:cs="Times New Roman"/>
                      <w:b w:val="0"/>
                      <w:bCs w:val="0"/>
                      <w:color w:val="auto"/>
                      <w:sz w:val="21"/>
                      <w:szCs w:val="21"/>
                      <w:highlight w:val="none"/>
                      <w:u w:val="single"/>
                      <w:lang w:val="en-US" w:eastAsia="zh-CN"/>
                    </w:rPr>
                    <w:t>ind/m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797" w:type="pct"/>
                  <w:noWrap w:val="0"/>
                  <w:vAlign w:val="center"/>
                </w:tcPr>
                <w:p w14:paraId="58524C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sz w:val="21"/>
                      <w:szCs w:val="21"/>
                      <w:highlight w:val="none"/>
                      <w:u w:val="single"/>
                      <w:lang w:val="en-US" w:eastAsia="zh-CN"/>
                    </w:rPr>
                    <w:t>密度</w:t>
                  </w:r>
                </w:p>
                <w:p w14:paraId="75F8DA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cs="Times New Roman"/>
                      <w:b w:val="0"/>
                      <w:bCs w:val="0"/>
                      <w:color w:val="auto"/>
                      <w:sz w:val="21"/>
                      <w:szCs w:val="21"/>
                      <w:highlight w:val="none"/>
                      <w:u w:val="single"/>
                      <w:lang w:val="en-US" w:eastAsia="zh-CN"/>
                    </w:rPr>
                    <w:t>0.021</w:t>
                  </w:r>
                  <w:r>
                    <w:rPr>
                      <w:rFonts w:hint="default" w:ascii="Times New Roman" w:hAnsi="Times New Roman" w:eastAsia="宋体" w:cs="Times New Roman"/>
                      <w:b w:val="0"/>
                      <w:bCs w:val="0"/>
                      <w:color w:val="auto"/>
                      <w:sz w:val="21"/>
                      <w:szCs w:val="21"/>
                      <w:highlight w:val="none"/>
                      <w:u w:val="single"/>
                      <w:lang w:val="en-US" w:eastAsia="zh-CN"/>
                    </w:rPr>
                    <w:t>ind/m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r>
          </w:tbl>
          <w:p w14:paraId="6FC30BC0">
            <w:pPr>
              <w:pStyle w:val="20"/>
              <w:spacing w:line="360" w:lineRule="auto"/>
              <w:ind w:firstLine="482" w:firstLineChars="200"/>
              <w:rPr>
                <w:rFonts w:hint="eastAsia" w:ascii="宋体" w:hAnsi="Courier New" w:eastAsia="宋体" w:cs="Times New Roman"/>
                <w:b/>
                <w:bCs/>
                <w:color w:val="auto"/>
                <w:sz w:val="24"/>
                <w:szCs w:val="24"/>
                <w:highlight w:val="none"/>
                <w:lang w:val="en-US" w:eastAsia="zh-CN"/>
              </w:rPr>
            </w:pPr>
            <w:r>
              <w:rPr>
                <w:rFonts w:hint="eastAsia" w:ascii="宋体" w:hAnsi="Courier New" w:eastAsia="宋体" w:cs="Times New Roman"/>
                <w:b/>
                <w:bCs/>
                <w:color w:val="auto"/>
                <w:sz w:val="24"/>
                <w:szCs w:val="24"/>
                <w:highlight w:val="none"/>
                <w:lang w:val="en-US" w:eastAsia="zh-CN"/>
              </w:rPr>
              <w:t>②港池疏浚占用海域造成海洋生物损失</w:t>
            </w:r>
          </w:p>
          <w:p w14:paraId="4F468415">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工程用海范围内的海洋生物资源损失量计算公式参见如下：</w:t>
            </w:r>
          </w:p>
          <w:p w14:paraId="34078B91">
            <w:pPr>
              <w:ind w:firstLine="480"/>
              <w:jc w:val="center"/>
              <w:rPr>
                <w:color w:val="auto"/>
                <w:szCs w:val="24"/>
                <w:highlight w:val="none"/>
              </w:rPr>
            </w:pPr>
            <w:r>
              <w:rPr>
                <w:color w:val="auto"/>
                <w:highlight w:val="none"/>
              </w:rPr>
              <w:drawing>
                <wp:inline distT="0" distB="0" distL="114300" distR="114300">
                  <wp:extent cx="1151890" cy="372745"/>
                  <wp:effectExtent l="0" t="0" r="10160" b="8255"/>
                  <wp:docPr id="3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1"/>
                          <pic:cNvPicPr>
                            <a:picLocks noChangeAspect="1"/>
                          </pic:cNvPicPr>
                        </pic:nvPicPr>
                        <pic:blipFill>
                          <a:blip r:embed="rId65"/>
                          <a:stretch>
                            <a:fillRect/>
                          </a:stretch>
                        </pic:blipFill>
                        <pic:spPr>
                          <a:xfrm>
                            <a:off x="0" y="0"/>
                            <a:ext cx="1151890" cy="372745"/>
                          </a:xfrm>
                          <a:prstGeom prst="rect">
                            <a:avLst/>
                          </a:prstGeom>
                          <a:noFill/>
                          <a:ln>
                            <a:noFill/>
                          </a:ln>
                        </pic:spPr>
                      </pic:pic>
                    </a:graphicData>
                  </a:graphic>
                </wp:inline>
              </w:drawing>
            </w:r>
          </w:p>
          <w:p w14:paraId="0C0E398C">
            <w:pPr>
              <w:pStyle w:val="2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r>
              <w:rPr>
                <w:rFonts w:hint="eastAsia" w:ascii="Times New Roman" w:hAnsi="Times New Roman" w:eastAsia="宋体" w:cs="Times New Roman"/>
                <w:color w:val="auto"/>
                <w:sz w:val="24"/>
                <w:szCs w:val="24"/>
                <w:highlight w:val="none"/>
                <w:lang w:val="en-US" w:eastAsia="zh-CN"/>
              </w:rPr>
              <w:t>：</w:t>
            </w:r>
          </w:p>
          <w:p w14:paraId="465D29F9">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Wi—第i种类生物资源受损量，单位为尾（尾）、个（个）、千克（kg）；</w:t>
            </w:r>
          </w:p>
          <w:p w14:paraId="35AE7352">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Di—评估区域内第i种类生物资源密度，单位尾（个）/km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]、尾（个）/km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、kg/km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14:paraId="11B76399">
            <w:pPr>
              <w:pStyle w:val="20"/>
              <w:spacing w:line="360" w:lineRule="auto"/>
              <w:ind w:firstLine="480" w:firstLineChars="200"/>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lang w:val="en-US" w:eastAsia="zh-CN"/>
              </w:rPr>
              <w:t>Si—第i种类生物占用的渔业水域面积或体积，单位为km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或km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。疏浚过程造成底栖生物损失。本工程疏浚面积</w:t>
            </w:r>
            <w:r>
              <w:rPr>
                <w:rFonts w:hint="eastAsia" w:ascii="Times New Roman" w:hAnsi="Times New Roman" w:eastAsia="宋体" w:cs="Times New Roman"/>
                <w:color w:val="auto"/>
                <w:sz w:val="24"/>
                <w:szCs w:val="24"/>
                <w:highlight w:val="none"/>
                <w:lang w:val="en-US" w:eastAsia="zh-CN"/>
              </w:rPr>
              <w:t>约0.079k</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，疏浚过程中该海域底栖生物几乎100%死亡，</w:t>
            </w:r>
            <w:r>
              <w:rPr>
                <w:rFonts w:hint="default" w:ascii="Times New Roman" w:hAnsi="Times New Roman" w:eastAsia="宋体" w:cs="Times New Roman"/>
                <w:color w:val="auto"/>
                <w:sz w:val="24"/>
                <w:szCs w:val="24"/>
                <w:highlight w:val="none"/>
                <w:u w:val="single"/>
                <w:lang w:val="en-US" w:eastAsia="zh-CN"/>
              </w:rPr>
              <w:t>底栖生物的生物量</w:t>
            </w:r>
            <w:r>
              <w:rPr>
                <w:rFonts w:hint="eastAsia" w:ascii="Times New Roman" w:hAnsi="Times New Roman" w:cs="Times New Roman"/>
                <w:color w:val="auto"/>
                <w:sz w:val="24"/>
                <w:szCs w:val="24"/>
                <w:highlight w:val="none"/>
                <w:u w:val="single"/>
                <w:lang w:val="en-US" w:eastAsia="zh-CN"/>
              </w:rPr>
              <w:t>采用项目周边点位平均总密度54.25</w:t>
            </w:r>
            <w:r>
              <w:rPr>
                <w:rFonts w:hint="default" w:ascii="Times New Roman" w:hAnsi="Times New Roman" w:eastAsia="宋体" w:cs="Times New Roman"/>
                <w:color w:val="auto"/>
                <w:sz w:val="24"/>
                <w:szCs w:val="24"/>
                <w:highlight w:val="none"/>
                <w:u w:val="single"/>
                <w:lang w:val="en-US" w:eastAsia="zh-CN"/>
              </w:rPr>
              <w:t>g/m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default" w:ascii="Times New Roman" w:hAnsi="Times New Roman" w:eastAsia="宋体" w:cs="Times New Roman"/>
                <w:color w:val="auto"/>
                <w:sz w:val="24"/>
                <w:szCs w:val="24"/>
                <w:highlight w:val="none"/>
                <w:lang w:val="en-US" w:eastAsia="zh-CN"/>
              </w:rPr>
              <w:t>，疏浚造成的底栖生物损失量为</w:t>
            </w:r>
            <w:r>
              <w:rPr>
                <w:rFonts w:hint="eastAsia" w:ascii="Times New Roman" w:hAnsi="Times New Roman" w:cs="Times New Roman"/>
                <w:color w:val="auto"/>
                <w:sz w:val="24"/>
                <w:szCs w:val="24"/>
                <w:highlight w:val="none"/>
                <w:u w:val="single"/>
                <w:lang w:val="en-US" w:eastAsia="zh-CN"/>
              </w:rPr>
              <w:t>4.3</w:t>
            </w:r>
            <w:r>
              <w:rPr>
                <w:rFonts w:hint="eastAsia" w:ascii="Times New Roman" w:hAnsi="Times New Roman" w:eastAsia="宋体" w:cs="Times New Roman"/>
                <w:color w:val="auto"/>
                <w:sz w:val="24"/>
                <w:szCs w:val="24"/>
                <w:highlight w:val="none"/>
                <w:u w:val="single"/>
                <w:lang w:val="en-US" w:eastAsia="zh-CN"/>
              </w:rPr>
              <w:t>t</w:t>
            </w:r>
            <w:r>
              <w:rPr>
                <w:rFonts w:hint="default" w:ascii="Times New Roman" w:hAnsi="Times New Roman" w:eastAsia="宋体" w:cs="Times New Roman"/>
                <w:color w:val="auto"/>
                <w:sz w:val="24"/>
                <w:szCs w:val="24"/>
                <w:highlight w:val="none"/>
                <w:u w:val="single"/>
                <w:lang w:val="en-US" w:eastAsia="zh-CN"/>
              </w:rPr>
              <w:t>。</w:t>
            </w:r>
          </w:p>
          <w:p w14:paraId="43D1E746">
            <w:pPr>
              <w:pStyle w:val="20"/>
              <w:spacing w:line="360" w:lineRule="auto"/>
              <w:ind w:firstLine="482" w:firstLineChars="200"/>
              <w:rPr>
                <w:rFonts w:hint="eastAsia" w:ascii="宋体" w:hAnsi="Courier New" w:eastAsia="宋体" w:cs="Times New Roman"/>
                <w:b/>
                <w:bCs/>
                <w:color w:val="auto"/>
                <w:sz w:val="24"/>
                <w:szCs w:val="24"/>
                <w:highlight w:val="none"/>
                <w:lang w:val="en-US" w:eastAsia="zh-CN"/>
              </w:rPr>
            </w:pPr>
            <w:r>
              <w:rPr>
                <w:rFonts w:hint="eastAsia" w:ascii="宋体" w:hAnsi="Courier New" w:eastAsia="宋体" w:cs="Times New Roman"/>
                <w:b/>
                <w:bCs/>
                <w:color w:val="auto"/>
                <w:sz w:val="24"/>
                <w:szCs w:val="24"/>
                <w:highlight w:val="none"/>
                <w:lang w:val="en-US" w:eastAsia="zh-CN"/>
              </w:rPr>
              <w:t>③疏浚悬浮物造成的生物损失量</w:t>
            </w:r>
          </w:p>
          <w:p w14:paraId="032F5860">
            <w:pPr>
              <w:pStyle w:val="201"/>
              <w:ind w:firstLine="442"/>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A.计算公式</w:t>
            </w:r>
          </w:p>
          <w:p w14:paraId="4E246A32">
            <w:pPr>
              <w:pStyle w:val="201"/>
              <w:rPr>
                <w:color w:val="auto"/>
                <w:highlight w:val="none"/>
              </w:rPr>
            </w:pPr>
            <w:r>
              <w:rPr>
                <w:rFonts w:hint="eastAsia" w:ascii="Times New Roman" w:hAnsi="Times New Roman" w:eastAsia="宋体" w:cs="Times New Roman"/>
                <w:color w:val="auto"/>
                <w:sz w:val="24"/>
                <w:szCs w:val="24"/>
                <w:highlight w:val="none"/>
                <w:lang w:val="en-US" w:eastAsia="zh-CN"/>
              </w:rPr>
              <w:t>疏浚施工为移动源，</w:t>
            </w:r>
            <w:r>
              <w:rPr>
                <w:rFonts w:hint="default" w:ascii="Times New Roman" w:hAnsi="Times New Roman" w:eastAsia="宋体" w:cs="Times New Roman"/>
                <w:color w:val="auto"/>
                <w:sz w:val="24"/>
                <w:szCs w:val="24"/>
                <w:highlight w:val="none"/>
                <w:lang w:val="en-US" w:eastAsia="zh-CN"/>
              </w:rPr>
              <w:t>疏浚产生的悬浮泥沙浓度增量区域存在时间少于15d，故界定为一次性损害。</w:t>
            </w:r>
            <w:r>
              <w:rPr>
                <w:rFonts w:hint="eastAsia" w:ascii="Times New Roman" w:hAnsi="Times New Roman" w:eastAsia="宋体" w:cs="Times New Roman"/>
                <w:color w:val="auto"/>
                <w:sz w:val="24"/>
                <w:szCs w:val="24"/>
                <w:highlight w:val="none"/>
                <w:lang w:val="en-US" w:eastAsia="zh-CN"/>
              </w:rPr>
              <w:t>生物资源</w:t>
            </w:r>
            <w:r>
              <w:rPr>
                <w:rFonts w:hint="eastAsia"/>
                <w:color w:val="auto"/>
                <w:szCs w:val="24"/>
                <w:highlight w:val="none"/>
                <w:lang w:eastAsia="zh-CN"/>
              </w:rPr>
              <w:t>损失量按照</w:t>
            </w:r>
            <w:r>
              <w:rPr>
                <w:rFonts w:hint="eastAsia"/>
                <w:color w:val="auto"/>
                <w:highlight w:val="none"/>
              </w:rPr>
              <w:t>《建设项目对海洋生物资源影响评价技术规程》中的公式进行计算，公式如下：</w:t>
            </w:r>
          </w:p>
          <w:p w14:paraId="6992CFC5">
            <w:pPr>
              <w:pStyle w:val="43"/>
              <w:ind w:firstLine="221"/>
              <w:jc w:val="center"/>
              <w:rPr>
                <w:color w:val="auto"/>
                <w:highlight w:val="none"/>
              </w:rPr>
            </w:pPr>
            <w:r>
              <w:rPr>
                <w:color w:val="auto"/>
                <w:position w:val="-32"/>
                <w:highlight w:val="none"/>
              </w:rPr>
              <w:object>
                <v:shape id="_x0000_i1028" o:spt="75" type="#_x0000_t75" style="height:36pt;width:108pt;" o:ole="t" filled="f" o:preferrelative="t" stroked="f" coordsize="21600,21600">
                  <v:path/>
                  <v:fill on="f" focussize="0,0"/>
                  <v:stroke on="f"/>
                  <v:imagedata r:id="rId67" o:title=""/>
                  <o:lock v:ext="edit" aspectratio="t"/>
                  <w10:wrap type="none"/>
                  <w10:anchorlock/>
                </v:shape>
                <o:OLEObject Type="Embed" ProgID="Equation.DSMT4" ShapeID="_x0000_i1028" DrawAspect="Content" ObjectID="_1468075728" r:id="rId66">
                  <o:LockedField>false</o:LockedField>
                </o:OLEObject>
              </w:object>
            </w:r>
          </w:p>
          <w:p w14:paraId="46F335A0">
            <w:pPr>
              <w:pStyle w:val="201"/>
              <w:ind w:firstLine="442"/>
              <w:rPr>
                <w:color w:val="auto"/>
                <w:highlight w:val="none"/>
              </w:rPr>
            </w:pPr>
            <w:r>
              <w:rPr>
                <w:rFonts w:hint="eastAsia"/>
                <w:color w:val="auto"/>
                <w:highlight w:val="none"/>
              </w:rPr>
              <w:t>上述公式中：</w:t>
            </w:r>
          </w:p>
          <w:p w14:paraId="2EBB4D2A">
            <w:pPr>
              <w:pStyle w:val="201"/>
              <w:ind w:firstLine="442"/>
              <w:rPr>
                <w:color w:val="auto"/>
                <w:highlight w:val="none"/>
              </w:rPr>
            </w:pPr>
            <w:r>
              <w:rPr>
                <w:rFonts w:hint="eastAsia"/>
                <w:color w:val="auto"/>
                <w:highlight w:val="none"/>
              </w:rPr>
              <w:t>Wi</w:t>
            </w:r>
            <w:r>
              <w:rPr>
                <w:color w:val="auto"/>
                <w:highlight w:val="none"/>
              </w:rPr>
              <w:t>—</w:t>
            </w:r>
            <w:r>
              <w:rPr>
                <w:rFonts w:hint="eastAsia"/>
                <w:color w:val="auto"/>
                <w:highlight w:val="none"/>
              </w:rPr>
              <w:t>第i种类生物资源一次性平均受损量，单位为尾、个、千克；</w:t>
            </w:r>
          </w:p>
          <w:p w14:paraId="0FA6C1CC">
            <w:pPr>
              <w:pStyle w:val="201"/>
              <w:ind w:firstLine="442"/>
              <w:rPr>
                <w:color w:val="auto"/>
                <w:highlight w:val="none"/>
              </w:rPr>
            </w:pPr>
            <w:r>
              <w:rPr>
                <w:rFonts w:hint="eastAsia"/>
                <w:color w:val="auto"/>
                <w:highlight w:val="none"/>
              </w:rPr>
              <w:t>Dij</w:t>
            </w:r>
            <w:r>
              <w:rPr>
                <w:color w:val="auto"/>
                <w:highlight w:val="none"/>
              </w:rPr>
              <w:t>—某一污染物第</w:t>
            </w:r>
            <w:r>
              <w:rPr>
                <w:rFonts w:hint="eastAsia"/>
                <w:color w:val="auto"/>
                <w:highlight w:val="none"/>
              </w:rPr>
              <w:t>j类浓度增量区第i种类生物资源密度，单位为尾（个）每平方千米[尾（个）/</w:t>
            </w:r>
            <w:r>
              <w:rPr>
                <w:color w:val="auto"/>
                <w:highlight w:val="none"/>
              </w:rPr>
              <w:t>km</w:t>
            </w:r>
            <w:r>
              <w:rPr>
                <w:color w:val="auto"/>
                <w:highlight w:val="none"/>
                <w:vertAlign w:val="superscript"/>
              </w:rPr>
              <w:t>2</w:t>
            </w:r>
            <w:r>
              <w:rPr>
                <w:rFonts w:hint="eastAsia"/>
                <w:color w:val="auto"/>
                <w:highlight w:val="none"/>
              </w:rPr>
              <w:t>]、尾（个）每立方千米[尾（个）/</w:t>
            </w:r>
            <w:r>
              <w:rPr>
                <w:color w:val="auto"/>
                <w:highlight w:val="none"/>
              </w:rPr>
              <w:t>km</w:t>
            </w:r>
            <w:r>
              <w:rPr>
                <w:rFonts w:hint="eastAsia"/>
                <w:color w:val="auto"/>
                <w:highlight w:val="none"/>
                <w:vertAlign w:val="superscript"/>
              </w:rPr>
              <w:t>3</w:t>
            </w:r>
            <w:r>
              <w:rPr>
                <w:rFonts w:hint="eastAsia"/>
                <w:color w:val="auto"/>
                <w:highlight w:val="none"/>
              </w:rPr>
              <w:t>]、千克每平方千米（</w:t>
            </w:r>
            <w:r>
              <w:rPr>
                <w:color w:val="auto"/>
                <w:highlight w:val="none"/>
              </w:rPr>
              <w:t>kg</w:t>
            </w:r>
            <w:r>
              <w:rPr>
                <w:rFonts w:hint="eastAsia"/>
                <w:color w:val="auto"/>
                <w:highlight w:val="none"/>
              </w:rPr>
              <w:t>/</w:t>
            </w:r>
            <w:r>
              <w:rPr>
                <w:color w:val="auto"/>
                <w:highlight w:val="none"/>
              </w:rPr>
              <w:t>km</w:t>
            </w:r>
            <w:r>
              <w:rPr>
                <w:rFonts w:hint="eastAsia"/>
                <w:color w:val="auto"/>
                <w:highlight w:val="none"/>
                <w:vertAlign w:val="superscript"/>
              </w:rPr>
              <w:t>2</w:t>
            </w:r>
            <w:r>
              <w:rPr>
                <w:rFonts w:hint="eastAsia"/>
                <w:color w:val="auto"/>
                <w:highlight w:val="none"/>
              </w:rPr>
              <w:t>）；</w:t>
            </w:r>
          </w:p>
          <w:p w14:paraId="0732A4DD">
            <w:pPr>
              <w:pStyle w:val="201"/>
              <w:ind w:firstLine="442"/>
              <w:rPr>
                <w:color w:val="auto"/>
                <w:highlight w:val="none"/>
              </w:rPr>
            </w:pPr>
            <w:r>
              <w:rPr>
                <w:rFonts w:hint="eastAsia"/>
                <w:color w:val="auto"/>
                <w:highlight w:val="none"/>
              </w:rPr>
              <w:t>S</w:t>
            </w:r>
            <w:r>
              <w:rPr>
                <w:rFonts w:hint="eastAsia"/>
                <w:color w:val="auto"/>
                <w:highlight w:val="none"/>
                <w:vertAlign w:val="subscript"/>
              </w:rPr>
              <w:t>j</w:t>
            </w:r>
            <w:r>
              <w:rPr>
                <w:color w:val="auto"/>
                <w:highlight w:val="none"/>
              </w:rPr>
              <w:t>—某一污染物第</w:t>
            </w:r>
            <w:r>
              <w:rPr>
                <w:rFonts w:hint="eastAsia"/>
                <w:color w:val="auto"/>
                <w:highlight w:val="none"/>
              </w:rPr>
              <w:t>j类浓度增量区面积，单位为平方千米（km</w:t>
            </w:r>
            <w:r>
              <w:rPr>
                <w:rFonts w:hint="eastAsia"/>
                <w:color w:val="auto"/>
                <w:highlight w:val="none"/>
                <w:vertAlign w:val="superscript"/>
              </w:rPr>
              <w:t>2</w:t>
            </w:r>
            <w:r>
              <w:rPr>
                <w:rFonts w:hint="eastAsia"/>
                <w:color w:val="auto"/>
                <w:highlight w:val="none"/>
              </w:rPr>
              <w:t>）；</w:t>
            </w:r>
          </w:p>
          <w:p w14:paraId="55EF58FD">
            <w:pPr>
              <w:pStyle w:val="201"/>
              <w:ind w:firstLine="442"/>
              <w:rPr>
                <w:color w:val="auto"/>
                <w:highlight w:val="none"/>
              </w:rPr>
            </w:pPr>
            <w:r>
              <w:rPr>
                <w:rFonts w:hint="eastAsia"/>
                <w:color w:val="auto"/>
                <w:highlight w:val="none"/>
              </w:rPr>
              <w:t>K</w:t>
            </w:r>
            <w:r>
              <w:rPr>
                <w:rFonts w:hint="eastAsia"/>
                <w:color w:val="auto"/>
                <w:highlight w:val="none"/>
                <w:vertAlign w:val="subscript"/>
              </w:rPr>
              <w:t>ij</w:t>
            </w:r>
            <w:r>
              <w:rPr>
                <w:color w:val="auto"/>
                <w:highlight w:val="none"/>
              </w:rPr>
              <w:t>—某一污染物第</w:t>
            </w:r>
            <w:r>
              <w:rPr>
                <w:rFonts w:hint="eastAsia"/>
                <w:color w:val="auto"/>
                <w:highlight w:val="none"/>
              </w:rPr>
              <w:t>j类浓度增量区第i种类生物资源损失率，生物资源损失率详见下表；</w:t>
            </w:r>
          </w:p>
          <w:p w14:paraId="49992435">
            <w:pPr>
              <w:pStyle w:val="201"/>
              <w:ind w:firstLine="442"/>
              <w:rPr>
                <w:color w:val="auto"/>
                <w:highlight w:val="none"/>
              </w:rPr>
            </w:pPr>
            <w:r>
              <w:rPr>
                <w:color w:val="auto"/>
                <w:highlight w:val="none"/>
              </w:rPr>
              <w:t>n—某一污染物浓度增量分区总数</w:t>
            </w:r>
            <w:r>
              <w:rPr>
                <w:rFonts w:hint="eastAsia"/>
                <w:color w:val="auto"/>
                <w:highlight w:val="none"/>
              </w:rPr>
              <w:t>；</w:t>
            </w:r>
          </w:p>
          <w:p w14:paraId="28F44C94">
            <w:pPr>
              <w:pStyle w:val="201"/>
              <w:ind w:firstLine="442"/>
              <w:rPr>
                <w:rFonts w:hint="eastAsia" w:eastAsia="宋体"/>
                <w:color w:val="auto"/>
                <w:highlight w:val="none"/>
                <w:lang w:val="en-US" w:eastAsia="zh-CN"/>
              </w:rPr>
            </w:pPr>
            <w:r>
              <w:rPr>
                <w:rFonts w:hint="eastAsia"/>
                <w:color w:val="auto"/>
                <w:highlight w:val="none"/>
                <w:lang w:val="en-US" w:eastAsia="zh-CN"/>
              </w:rPr>
              <w:t>B.计算参数</w:t>
            </w:r>
          </w:p>
          <w:p w14:paraId="363B403B">
            <w:pPr>
              <w:keepNext/>
              <w:keepLines/>
              <w:widowControl w:val="0"/>
              <w:numPr>
                <w:ilvl w:val="0"/>
                <w:numId w:val="0"/>
              </w:numPr>
              <w:tabs>
                <w:tab w:val="left" w:pos="0"/>
              </w:tabs>
              <w:bidi w:val="0"/>
              <w:adjustRightInd w:val="0"/>
              <w:snapToGrid w:val="0"/>
              <w:spacing w:line="360" w:lineRule="auto"/>
              <w:ind w:leftChars="0"/>
              <w:jc w:val="center"/>
              <w:outlineLvl w:val="4"/>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表4.1-7污染物对各类生物损失率</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620"/>
              <w:gridCol w:w="1209"/>
              <w:gridCol w:w="1770"/>
              <w:gridCol w:w="1779"/>
              <w:gridCol w:w="1794"/>
            </w:tblGrid>
            <w:tr w14:paraId="6F15B8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vMerge w:val="restart"/>
                  <w:noWrap w:val="0"/>
                  <w:vAlign w:val="center"/>
                </w:tcPr>
                <w:p w14:paraId="0C663485">
                  <w:pPr>
                    <w:pStyle w:val="220"/>
                    <w:rPr>
                      <w:b/>
                      <w:bCs/>
                      <w:color w:val="auto"/>
                      <w:highlight w:val="none"/>
                    </w:rPr>
                  </w:pPr>
                  <w:r>
                    <w:rPr>
                      <w:b/>
                      <w:bCs/>
                      <w:color w:val="auto"/>
                      <w:highlight w:val="none"/>
                    </w:rPr>
                    <w:t>污染物i的超标倍数（</w:t>
                  </w:r>
                  <w:r>
                    <w:rPr>
                      <w:rFonts w:hint="eastAsia"/>
                      <w:b/>
                      <w:bCs/>
                      <w:color w:val="auto"/>
                      <w:highlight w:val="none"/>
                    </w:rPr>
                    <w:t>B</w:t>
                  </w:r>
                  <w:r>
                    <w:rPr>
                      <w:rFonts w:hint="eastAsia"/>
                      <w:b/>
                      <w:bCs/>
                      <w:color w:val="auto"/>
                      <w:highlight w:val="none"/>
                      <w:vertAlign w:val="subscript"/>
                    </w:rPr>
                    <w:t>i</w:t>
                  </w:r>
                  <w:r>
                    <w:rPr>
                      <w:b/>
                      <w:bCs/>
                      <w:color w:val="auto"/>
                      <w:highlight w:val="none"/>
                    </w:rPr>
                    <w:t>）</w:t>
                  </w:r>
                </w:p>
              </w:tc>
              <w:tc>
                <w:tcPr>
                  <w:tcW w:w="3571" w:type="pct"/>
                  <w:gridSpan w:val="4"/>
                  <w:noWrap w:val="0"/>
                  <w:vAlign w:val="center"/>
                </w:tcPr>
                <w:p w14:paraId="50E94E79">
                  <w:pPr>
                    <w:pStyle w:val="220"/>
                    <w:rPr>
                      <w:b/>
                      <w:bCs/>
                      <w:color w:val="auto"/>
                      <w:highlight w:val="none"/>
                    </w:rPr>
                  </w:pPr>
                  <w:r>
                    <w:rPr>
                      <w:b/>
                      <w:bCs/>
                      <w:color w:val="auto"/>
                      <w:highlight w:val="none"/>
                    </w:rPr>
                    <w:t>各类生物损失率（</w:t>
                  </w:r>
                  <w:r>
                    <w:rPr>
                      <w:rFonts w:hint="eastAsia"/>
                      <w:b/>
                      <w:bCs/>
                      <w:color w:val="auto"/>
                      <w:highlight w:val="none"/>
                    </w:rPr>
                    <w:t>%</w:t>
                  </w:r>
                  <w:r>
                    <w:rPr>
                      <w:b/>
                      <w:bCs/>
                      <w:color w:val="auto"/>
                      <w:highlight w:val="none"/>
                    </w:rPr>
                    <w:t>）</w:t>
                  </w:r>
                </w:p>
              </w:tc>
            </w:tr>
            <w:tr w14:paraId="49363B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vMerge w:val="continue"/>
                  <w:noWrap w:val="0"/>
                  <w:vAlign w:val="center"/>
                </w:tcPr>
                <w:p w14:paraId="5D4A7646">
                  <w:pPr>
                    <w:pStyle w:val="220"/>
                    <w:rPr>
                      <w:b/>
                      <w:bCs/>
                      <w:color w:val="auto"/>
                      <w:highlight w:val="none"/>
                    </w:rPr>
                  </w:pPr>
                </w:p>
              </w:tc>
              <w:tc>
                <w:tcPr>
                  <w:tcW w:w="659" w:type="pct"/>
                  <w:noWrap w:val="0"/>
                  <w:vAlign w:val="center"/>
                </w:tcPr>
                <w:p w14:paraId="08025EF1">
                  <w:pPr>
                    <w:pStyle w:val="220"/>
                    <w:rPr>
                      <w:rFonts w:hint="eastAsia" w:eastAsia="宋体"/>
                      <w:b/>
                      <w:bCs/>
                      <w:color w:val="auto"/>
                      <w:highlight w:val="none"/>
                      <w:lang w:eastAsia="zh-CN"/>
                    </w:rPr>
                  </w:pPr>
                  <w:r>
                    <w:rPr>
                      <w:rFonts w:hint="eastAsia"/>
                      <w:b/>
                      <w:bCs/>
                      <w:color w:val="auto"/>
                      <w:highlight w:val="none"/>
                    </w:rPr>
                    <w:t>鱼卵和</w:t>
                  </w:r>
                  <w:r>
                    <w:rPr>
                      <w:rFonts w:hint="eastAsia"/>
                      <w:b/>
                      <w:bCs/>
                      <w:color w:val="auto"/>
                      <w:highlight w:val="none"/>
                      <w:lang w:eastAsia="zh-CN"/>
                    </w:rPr>
                    <w:t>仔稚鱼</w:t>
                  </w:r>
                </w:p>
              </w:tc>
              <w:tc>
                <w:tcPr>
                  <w:tcW w:w="965" w:type="pct"/>
                  <w:noWrap w:val="0"/>
                  <w:vAlign w:val="center"/>
                </w:tcPr>
                <w:p w14:paraId="5AA48AFD">
                  <w:pPr>
                    <w:pStyle w:val="220"/>
                    <w:rPr>
                      <w:b/>
                      <w:bCs/>
                      <w:color w:val="auto"/>
                      <w:highlight w:val="none"/>
                    </w:rPr>
                  </w:pPr>
                  <w:r>
                    <w:rPr>
                      <w:rFonts w:hint="eastAsia"/>
                      <w:b/>
                      <w:bCs/>
                      <w:color w:val="auto"/>
                      <w:highlight w:val="none"/>
                    </w:rPr>
                    <w:t>成体</w:t>
                  </w:r>
                </w:p>
              </w:tc>
              <w:tc>
                <w:tcPr>
                  <w:tcW w:w="970" w:type="pct"/>
                  <w:noWrap w:val="0"/>
                  <w:vAlign w:val="center"/>
                </w:tcPr>
                <w:p w14:paraId="0BB367A1">
                  <w:pPr>
                    <w:pStyle w:val="220"/>
                    <w:rPr>
                      <w:b/>
                      <w:bCs/>
                      <w:color w:val="auto"/>
                      <w:highlight w:val="none"/>
                    </w:rPr>
                  </w:pPr>
                  <w:r>
                    <w:rPr>
                      <w:rFonts w:hint="eastAsia"/>
                      <w:b/>
                      <w:bCs/>
                      <w:color w:val="auto"/>
                      <w:highlight w:val="none"/>
                    </w:rPr>
                    <w:t>浮游动物</w:t>
                  </w:r>
                </w:p>
              </w:tc>
              <w:tc>
                <w:tcPr>
                  <w:tcW w:w="977" w:type="pct"/>
                  <w:noWrap w:val="0"/>
                  <w:vAlign w:val="center"/>
                </w:tcPr>
                <w:p w14:paraId="1A3EFD7A">
                  <w:pPr>
                    <w:pStyle w:val="220"/>
                    <w:rPr>
                      <w:b/>
                      <w:bCs/>
                      <w:color w:val="auto"/>
                      <w:highlight w:val="none"/>
                    </w:rPr>
                  </w:pPr>
                  <w:r>
                    <w:rPr>
                      <w:rFonts w:hint="eastAsia"/>
                      <w:b/>
                      <w:bCs/>
                      <w:color w:val="auto"/>
                      <w:highlight w:val="none"/>
                    </w:rPr>
                    <w:t>浮游植物</w:t>
                  </w:r>
                </w:p>
              </w:tc>
            </w:tr>
            <w:tr w14:paraId="25F43F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noWrap w:val="0"/>
                  <w:vAlign w:val="center"/>
                </w:tcPr>
                <w:p w14:paraId="4BC5AB97">
                  <w:pPr>
                    <w:pStyle w:val="220"/>
                    <w:rPr>
                      <w:color w:val="auto"/>
                      <w:highlight w:val="none"/>
                    </w:rPr>
                  </w:pPr>
                  <w:r>
                    <w:rPr>
                      <w:rFonts w:hint="eastAsia"/>
                      <w:color w:val="auto"/>
                      <w:highlight w:val="none"/>
                    </w:rPr>
                    <w:t>B</w:t>
                  </w:r>
                  <w:r>
                    <w:rPr>
                      <w:rFonts w:hint="eastAsia"/>
                      <w:color w:val="auto"/>
                      <w:highlight w:val="none"/>
                      <w:vertAlign w:val="subscript"/>
                    </w:rPr>
                    <w:t>i</w:t>
                  </w:r>
                  <w:r>
                    <w:rPr>
                      <w:rFonts w:hint="eastAsia"/>
                      <w:color w:val="auto"/>
                      <w:highlight w:val="none"/>
                    </w:rPr>
                    <w:t>≤1倍</w:t>
                  </w:r>
                </w:p>
              </w:tc>
              <w:tc>
                <w:tcPr>
                  <w:tcW w:w="659" w:type="pct"/>
                  <w:noWrap w:val="0"/>
                  <w:vAlign w:val="center"/>
                </w:tcPr>
                <w:p w14:paraId="4D4CF86B">
                  <w:pPr>
                    <w:pStyle w:val="220"/>
                    <w:rPr>
                      <w:color w:val="auto"/>
                      <w:highlight w:val="none"/>
                    </w:rPr>
                  </w:pPr>
                  <w:r>
                    <w:rPr>
                      <w:rFonts w:hint="eastAsia"/>
                      <w:color w:val="auto"/>
                      <w:highlight w:val="none"/>
                    </w:rPr>
                    <w:t>5</w:t>
                  </w:r>
                </w:p>
              </w:tc>
              <w:tc>
                <w:tcPr>
                  <w:tcW w:w="965" w:type="pct"/>
                  <w:noWrap w:val="0"/>
                  <w:vAlign w:val="center"/>
                </w:tcPr>
                <w:p w14:paraId="239517C2">
                  <w:pPr>
                    <w:pStyle w:val="220"/>
                    <w:rPr>
                      <w:color w:val="auto"/>
                      <w:highlight w:val="none"/>
                    </w:rPr>
                  </w:pPr>
                  <w:r>
                    <w:rPr>
                      <w:rFonts w:hint="eastAsia"/>
                      <w:color w:val="auto"/>
                      <w:highlight w:val="none"/>
                    </w:rPr>
                    <w:t>＜1</w:t>
                  </w:r>
                </w:p>
              </w:tc>
              <w:tc>
                <w:tcPr>
                  <w:tcW w:w="970" w:type="pct"/>
                  <w:noWrap w:val="0"/>
                  <w:vAlign w:val="center"/>
                </w:tcPr>
                <w:p w14:paraId="475A8068">
                  <w:pPr>
                    <w:pStyle w:val="220"/>
                    <w:rPr>
                      <w:color w:val="auto"/>
                      <w:highlight w:val="none"/>
                    </w:rPr>
                  </w:pPr>
                  <w:r>
                    <w:rPr>
                      <w:rFonts w:hint="eastAsia"/>
                      <w:color w:val="auto"/>
                      <w:highlight w:val="none"/>
                    </w:rPr>
                    <w:t>5</w:t>
                  </w:r>
                </w:p>
              </w:tc>
              <w:tc>
                <w:tcPr>
                  <w:tcW w:w="977" w:type="pct"/>
                  <w:noWrap w:val="0"/>
                  <w:vAlign w:val="center"/>
                </w:tcPr>
                <w:p w14:paraId="02234C74">
                  <w:pPr>
                    <w:pStyle w:val="220"/>
                    <w:rPr>
                      <w:color w:val="auto"/>
                      <w:highlight w:val="none"/>
                    </w:rPr>
                  </w:pPr>
                  <w:r>
                    <w:rPr>
                      <w:rFonts w:hint="eastAsia"/>
                      <w:color w:val="auto"/>
                      <w:highlight w:val="none"/>
                    </w:rPr>
                    <w:t>5</w:t>
                  </w:r>
                </w:p>
              </w:tc>
            </w:tr>
            <w:tr w14:paraId="53FB6B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noWrap w:val="0"/>
                  <w:vAlign w:val="center"/>
                </w:tcPr>
                <w:p w14:paraId="28C88567">
                  <w:pPr>
                    <w:pStyle w:val="220"/>
                    <w:rPr>
                      <w:color w:val="auto"/>
                      <w:highlight w:val="none"/>
                    </w:rPr>
                  </w:pPr>
                  <w:r>
                    <w:rPr>
                      <w:rFonts w:hint="eastAsia"/>
                      <w:color w:val="auto"/>
                      <w:highlight w:val="none"/>
                    </w:rPr>
                    <w:t>1＜B</w:t>
                  </w:r>
                  <w:r>
                    <w:rPr>
                      <w:rFonts w:hint="eastAsia"/>
                      <w:color w:val="auto"/>
                      <w:highlight w:val="none"/>
                      <w:vertAlign w:val="subscript"/>
                    </w:rPr>
                    <w:t>i</w:t>
                  </w:r>
                  <w:r>
                    <w:rPr>
                      <w:rFonts w:hint="eastAsia"/>
                      <w:color w:val="auto"/>
                      <w:highlight w:val="none"/>
                    </w:rPr>
                    <w:t>≤4倍</w:t>
                  </w:r>
                </w:p>
              </w:tc>
              <w:tc>
                <w:tcPr>
                  <w:tcW w:w="659" w:type="pct"/>
                  <w:noWrap w:val="0"/>
                  <w:vAlign w:val="center"/>
                </w:tcPr>
                <w:p w14:paraId="5C25D611">
                  <w:pPr>
                    <w:pStyle w:val="220"/>
                    <w:rPr>
                      <w:color w:val="auto"/>
                      <w:highlight w:val="none"/>
                    </w:rPr>
                  </w:pPr>
                  <w:r>
                    <w:rPr>
                      <w:rFonts w:hint="eastAsia"/>
                      <w:color w:val="auto"/>
                      <w:highlight w:val="none"/>
                    </w:rPr>
                    <w:t>5~30</w:t>
                  </w:r>
                </w:p>
              </w:tc>
              <w:tc>
                <w:tcPr>
                  <w:tcW w:w="965" w:type="pct"/>
                  <w:noWrap w:val="0"/>
                  <w:vAlign w:val="center"/>
                </w:tcPr>
                <w:p w14:paraId="609703A2">
                  <w:pPr>
                    <w:pStyle w:val="220"/>
                    <w:rPr>
                      <w:color w:val="auto"/>
                      <w:highlight w:val="none"/>
                    </w:rPr>
                  </w:pPr>
                  <w:r>
                    <w:rPr>
                      <w:rFonts w:hint="eastAsia"/>
                      <w:color w:val="auto"/>
                      <w:highlight w:val="none"/>
                    </w:rPr>
                    <w:t>1~10</w:t>
                  </w:r>
                </w:p>
              </w:tc>
              <w:tc>
                <w:tcPr>
                  <w:tcW w:w="970" w:type="pct"/>
                  <w:noWrap w:val="0"/>
                  <w:vAlign w:val="center"/>
                </w:tcPr>
                <w:p w14:paraId="333F0D9C">
                  <w:pPr>
                    <w:pStyle w:val="220"/>
                    <w:rPr>
                      <w:color w:val="auto"/>
                      <w:highlight w:val="none"/>
                    </w:rPr>
                  </w:pPr>
                  <w:r>
                    <w:rPr>
                      <w:rFonts w:hint="eastAsia"/>
                      <w:color w:val="auto"/>
                      <w:highlight w:val="none"/>
                    </w:rPr>
                    <w:t>10~30</w:t>
                  </w:r>
                </w:p>
              </w:tc>
              <w:tc>
                <w:tcPr>
                  <w:tcW w:w="977" w:type="pct"/>
                  <w:noWrap w:val="0"/>
                  <w:vAlign w:val="center"/>
                </w:tcPr>
                <w:p w14:paraId="576A6499">
                  <w:pPr>
                    <w:pStyle w:val="220"/>
                    <w:rPr>
                      <w:color w:val="auto"/>
                      <w:highlight w:val="none"/>
                    </w:rPr>
                  </w:pPr>
                  <w:r>
                    <w:rPr>
                      <w:rFonts w:hint="eastAsia"/>
                      <w:color w:val="auto"/>
                      <w:highlight w:val="none"/>
                    </w:rPr>
                    <w:t>10~30</w:t>
                  </w:r>
                </w:p>
              </w:tc>
            </w:tr>
            <w:tr w14:paraId="3333B1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noWrap w:val="0"/>
                  <w:vAlign w:val="center"/>
                </w:tcPr>
                <w:p w14:paraId="7AAF69F4">
                  <w:pPr>
                    <w:pStyle w:val="220"/>
                    <w:rPr>
                      <w:color w:val="auto"/>
                      <w:highlight w:val="none"/>
                    </w:rPr>
                  </w:pPr>
                  <w:r>
                    <w:rPr>
                      <w:rFonts w:hint="eastAsia"/>
                      <w:color w:val="auto"/>
                      <w:highlight w:val="none"/>
                    </w:rPr>
                    <w:t>4＜B</w:t>
                  </w:r>
                  <w:r>
                    <w:rPr>
                      <w:rFonts w:hint="eastAsia"/>
                      <w:color w:val="auto"/>
                      <w:highlight w:val="none"/>
                      <w:vertAlign w:val="subscript"/>
                    </w:rPr>
                    <w:t>i</w:t>
                  </w:r>
                  <w:r>
                    <w:rPr>
                      <w:rFonts w:hint="eastAsia"/>
                      <w:color w:val="auto"/>
                      <w:highlight w:val="none"/>
                    </w:rPr>
                    <w:t>≤9倍</w:t>
                  </w:r>
                </w:p>
              </w:tc>
              <w:tc>
                <w:tcPr>
                  <w:tcW w:w="659" w:type="pct"/>
                  <w:noWrap w:val="0"/>
                  <w:vAlign w:val="center"/>
                </w:tcPr>
                <w:p w14:paraId="2093308B">
                  <w:pPr>
                    <w:pStyle w:val="220"/>
                    <w:rPr>
                      <w:color w:val="auto"/>
                      <w:highlight w:val="none"/>
                    </w:rPr>
                  </w:pPr>
                  <w:r>
                    <w:rPr>
                      <w:rFonts w:hint="eastAsia"/>
                      <w:color w:val="auto"/>
                      <w:highlight w:val="none"/>
                    </w:rPr>
                    <w:t>30~50</w:t>
                  </w:r>
                </w:p>
              </w:tc>
              <w:tc>
                <w:tcPr>
                  <w:tcW w:w="965" w:type="pct"/>
                  <w:noWrap w:val="0"/>
                  <w:vAlign w:val="center"/>
                </w:tcPr>
                <w:p w14:paraId="78C11ACF">
                  <w:pPr>
                    <w:pStyle w:val="220"/>
                    <w:rPr>
                      <w:color w:val="auto"/>
                      <w:highlight w:val="none"/>
                    </w:rPr>
                  </w:pPr>
                  <w:r>
                    <w:rPr>
                      <w:rFonts w:hint="eastAsia"/>
                      <w:color w:val="auto"/>
                      <w:highlight w:val="none"/>
                    </w:rPr>
                    <w:t>10~20</w:t>
                  </w:r>
                </w:p>
              </w:tc>
              <w:tc>
                <w:tcPr>
                  <w:tcW w:w="970" w:type="pct"/>
                  <w:noWrap w:val="0"/>
                  <w:vAlign w:val="center"/>
                </w:tcPr>
                <w:p w14:paraId="0A3FE65C">
                  <w:pPr>
                    <w:pStyle w:val="220"/>
                    <w:rPr>
                      <w:color w:val="auto"/>
                      <w:highlight w:val="none"/>
                    </w:rPr>
                  </w:pPr>
                  <w:r>
                    <w:rPr>
                      <w:rFonts w:hint="eastAsia"/>
                      <w:color w:val="auto"/>
                      <w:highlight w:val="none"/>
                    </w:rPr>
                    <w:t>30~50</w:t>
                  </w:r>
                </w:p>
              </w:tc>
              <w:tc>
                <w:tcPr>
                  <w:tcW w:w="977" w:type="pct"/>
                  <w:noWrap w:val="0"/>
                  <w:vAlign w:val="center"/>
                </w:tcPr>
                <w:p w14:paraId="58DD94AE">
                  <w:pPr>
                    <w:pStyle w:val="220"/>
                    <w:rPr>
                      <w:color w:val="auto"/>
                      <w:highlight w:val="none"/>
                    </w:rPr>
                  </w:pPr>
                  <w:r>
                    <w:rPr>
                      <w:rFonts w:hint="eastAsia"/>
                      <w:color w:val="auto"/>
                      <w:highlight w:val="none"/>
                    </w:rPr>
                    <w:t>30~50</w:t>
                  </w:r>
                </w:p>
              </w:tc>
            </w:tr>
            <w:tr w14:paraId="1DB738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1428" w:type="pct"/>
                  <w:noWrap w:val="0"/>
                  <w:vAlign w:val="center"/>
                </w:tcPr>
                <w:p w14:paraId="288602FD">
                  <w:pPr>
                    <w:pStyle w:val="220"/>
                    <w:rPr>
                      <w:color w:val="auto"/>
                      <w:highlight w:val="none"/>
                    </w:rPr>
                  </w:pPr>
                  <w:r>
                    <w:rPr>
                      <w:rFonts w:hint="eastAsia"/>
                      <w:color w:val="auto"/>
                      <w:highlight w:val="none"/>
                    </w:rPr>
                    <w:t>B</w:t>
                  </w:r>
                  <w:r>
                    <w:rPr>
                      <w:rFonts w:hint="eastAsia"/>
                      <w:color w:val="auto"/>
                      <w:highlight w:val="none"/>
                      <w:vertAlign w:val="subscript"/>
                    </w:rPr>
                    <w:t>i</w:t>
                  </w:r>
                  <w:r>
                    <w:rPr>
                      <w:rFonts w:hint="eastAsia"/>
                      <w:color w:val="auto"/>
                      <w:highlight w:val="none"/>
                    </w:rPr>
                    <w:t>≥9倍</w:t>
                  </w:r>
                </w:p>
              </w:tc>
              <w:tc>
                <w:tcPr>
                  <w:tcW w:w="659" w:type="pct"/>
                  <w:noWrap w:val="0"/>
                  <w:vAlign w:val="center"/>
                </w:tcPr>
                <w:p w14:paraId="03B22B8A">
                  <w:pPr>
                    <w:pStyle w:val="220"/>
                    <w:rPr>
                      <w:color w:val="auto"/>
                      <w:highlight w:val="none"/>
                    </w:rPr>
                  </w:pPr>
                  <w:r>
                    <w:rPr>
                      <w:rFonts w:hint="eastAsia"/>
                      <w:color w:val="auto"/>
                      <w:highlight w:val="none"/>
                    </w:rPr>
                    <w:t>≥50</w:t>
                  </w:r>
                </w:p>
              </w:tc>
              <w:tc>
                <w:tcPr>
                  <w:tcW w:w="965" w:type="pct"/>
                  <w:noWrap w:val="0"/>
                  <w:vAlign w:val="center"/>
                </w:tcPr>
                <w:p w14:paraId="7FE0B74D">
                  <w:pPr>
                    <w:pStyle w:val="220"/>
                    <w:rPr>
                      <w:color w:val="auto"/>
                      <w:highlight w:val="none"/>
                    </w:rPr>
                  </w:pPr>
                  <w:r>
                    <w:rPr>
                      <w:rFonts w:hint="eastAsia"/>
                      <w:color w:val="auto"/>
                      <w:highlight w:val="none"/>
                    </w:rPr>
                    <w:t>≥20</w:t>
                  </w:r>
                </w:p>
              </w:tc>
              <w:tc>
                <w:tcPr>
                  <w:tcW w:w="970" w:type="pct"/>
                  <w:noWrap w:val="0"/>
                  <w:vAlign w:val="center"/>
                </w:tcPr>
                <w:p w14:paraId="0CEEE2F3">
                  <w:pPr>
                    <w:pStyle w:val="220"/>
                    <w:rPr>
                      <w:color w:val="auto"/>
                      <w:highlight w:val="none"/>
                    </w:rPr>
                  </w:pPr>
                  <w:r>
                    <w:rPr>
                      <w:rFonts w:hint="eastAsia"/>
                      <w:color w:val="auto"/>
                      <w:highlight w:val="none"/>
                    </w:rPr>
                    <w:t>≥50</w:t>
                  </w:r>
                </w:p>
              </w:tc>
              <w:tc>
                <w:tcPr>
                  <w:tcW w:w="977" w:type="pct"/>
                  <w:noWrap w:val="0"/>
                  <w:vAlign w:val="center"/>
                </w:tcPr>
                <w:p w14:paraId="55B97933">
                  <w:pPr>
                    <w:pStyle w:val="220"/>
                    <w:rPr>
                      <w:color w:val="auto"/>
                      <w:highlight w:val="none"/>
                    </w:rPr>
                  </w:pPr>
                  <w:r>
                    <w:rPr>
                      <w:rFonts w:hint="eastAsia"/>
                      <w:color w:val="auto"/>
                      <w:highlight w:val="none"/>
                    </w:rPr>
                    <w:t>≥50</w:t>
                  </w:r>
                </w:p>
              </w:tc>
            </w:tr>
            <w:tr w14:paraId="10E04A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5000" w:type="pct"/>
                  <w:gridSpan w:val="5"/>
                  <w:noWrap w:val="0"/>
                  <w:vAlign w:val="center"/>
                </w:tcPr>
                <w:p w14:paraId="0E99EAAB">
                  <w:pPr>
                    <w:pStyle w:val="220"/>
                    <w:rPr>
                      <w:color w:val="auto"/>
                      <w:highlight w:val="none"/>
                    </w:rPr>
                  </w:pPr>
                  <w:r>
                    <w:rPr>
                      <w:color w:val="auto"/>
                      <w:highlight w:val="none"/>
                    </w:rPr>
                    <w:t>注：本表列出污染物i的超标倍数（B</w:t>
                  </w:r>
                  <w:r>
                    <w:rPr>
                      <w:color w:val="auto"/>
                      <w:highlight w:val="none"/>
                      <w:vertAlign w:val="subscript"/>
                    </w:rPr>
                    <w:t>i</w:t>
                  </w:r>
                  <w:r>
                    <w:rPr>
                      <w:color w:val="auto"/>
                      <w:highlight w:val="none"/>
                    </w:rPr>
                    <w:t>）是指超《渔业水质标准》的倍数。</w:t>
                  </w:r>
                </w:p>
              </w:tc>
            </w:tr>
          </w:tbl>
          <w:p w14:paraId="04EEFE5C">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表4.1-8 疏浚物影响面积汇总表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1812"/>
              <w:gridCol w:w="1812"/>
              <w:gridCol w:w="1465"/>
              <w:gridCol w:w="1375"/>
            </w:tblGrid>
            <w:tr w14:paraId="7532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top"/>
                </w:tcPr>
                <w:p w14:paraId="03DC43CF">
                  <w:pPr>
                    <w:pStyle w:val="218"/>
                    <w:numPr>
                      <w:ilvl w:val="0"/>
                      <w:numId w:val="0"/>
                    </w:numPr>
                    <w:tabs>
                      <w:tab w:val="left" w:pos="0"/>
                    </w:tabs>
                    <w:jc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sz w:val="21"/>
                      <w:szCs w:val="21"/>
                      <w:highlight w:val="none"/>
                    </w:rPr>
                    <w:t>污染物i的超标倍数（B</w:t>
                  </w:r>
                  <w:r>
                    <w:rPr>
                      <w:rFonts w:hint="eastAsia" w:ascii="宋体" w:hAnsi="宋体" w:eastAsia="宋体" w:cs="宋体"/>
                      <w:b/>
                      <w:bCs/>
                      <w:color w:val="auto"/>
                      <w:sz w:val="21"/>
                      <w:szCs w:val="21"/>
                      <w:highlight w:val="none"/>
                      <w:vertAlign w:val="subscript"/>
                    </w:rPr>
                    <w:t>i</w:t>
                  </w:r>
                  <w:r>
                    <w:rPr>
                      <w:rFonts w:hint="eastAsia" w:ascii="宋体" w:hAnsi="宋体" w:eastAsia="宋体" w:cs="宋体"/>
                      <w:b/>
                      <w:bCs/>
                      <w:color w:val="auto"/>
                      <w:sz w:val="21"/>
                      <w:szCs w:val="21"/>
                      <w:highlight w:val="none"/>
                    </w:rPr>
                    <w:t>）</w:t>
                  </w:r>
                </w:p>
              </w:tc>
              <w:tc>
                <w:tcPr>
                  <w:tcW w:w="987" w:type="pct"/>
                  <w:noWrap w:val="0"/>
                  <w:vAlign w:val="top"/>
                </w:tcPr>
                <w:p w14:paraId="24F3F69B">
                  <w:pPr>
                    <w:pStyle w:val="218"/>
                    <w:numPr>
                      <w:ilvl w:val="0"/>
                      <w:numId w:val="0"/>
                    </w:numPr>
                    <w:tabs>
                      <w:tab w:val="left" w:pos="0"/>
                    </w:tabs>
                    <w:jc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浓度范围mg/L</w:t>
                  </w:r>
                </w:p>
              </w:tc>
              <w:tc>
                <w:tcPr>
                  <w:tcW w:w="987" w:type="pct"/>
                  <w:noWrap w:val="0"/>
                  <w:vAlign w:val="center"/>
                </w:tcPr>
                <w:p w14:paraId="2A8A653B">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超标面积hm</w:t>
                  </w:r>
                  <w:r>
                    <w:rPr>
                      <w:rFonts w:hint="eastAsia" w:ascii="宋体" w:hAnsi="宋体" w:eastAsia="宋体" w:cs="宋体"/>
                      <w:b/>
                      <w:bCs/>
                      <w:i w:val="0"/>
                      <w:iCs w:val="0"/>
                      <w:color w:val="auto"/>
                      <w:kern w:val="0"/>
                      <w:sz w:val="21"/>
                      <w:szCs w:val="21"/>
                      <w:highlight w:val="none"/>
                      <w:u w:val="none"/>
                      <w:vertAlign w:val="superscript"/>
                      <w:lang w:val="en-US" w:eastAsia="zh-CN" w:bidi="ar"/>
                    </w:rPr>
                    <w:t>2</w:t>
                  </w:r>
                </w:p>
              </w:tc>
              <w:tc>
                <w:tcPr>
                  <w:tcW w:w="798" w:type="pct"/>
                  <w:noWrap w:val="0"/>
                  <w:vAlign w:val="center"/>
                </w:tcPr>
                <w:p w14:paraId="5D99BAE2">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Style w:val="225"/>
                      <w:rFonts w:hint="eastAsia" w:ascii="宋体" w:hAnsi="宋体" w:eastAsia="宋体" w:cs="宋体"/>
                      <w:b/>
                      <w:bCs/>
                      <w:color w:val="auto"/>
                      <w:sz w:val="21"/>
                      <w:szCs w:val="21"/>
                      <w:highlight w:val="none"/>
                      <w:lang w:val="en-US" w:eastAsia="zh-CN" w:bidi="ar"/>
                    </w:rPr>
                    <w:t>平均水深</w:t>
                  </w:r>
                  <w:r>
                    <w:rPr>
                      <w:rStyle w:val="226"/>
                      <w:rFonts w:hint="eastAsia" w:ascii="宋体" w:hAnsi="宋体" w:eastAsia="宋体" w:cs="宋体"/>
                      <w:b/>
                      <w:bCs/>
                      <w:color w:val="auto"/>
                      <w:sz w:val="21"/>
                      <w:szCs w:val="21"/>
                      <w:highlight w:val="none"/>
                      <w:lang w:val="en-US" w:eastAsia="zh-CN" w:bidi="ar"/>
                    </w:rPr>
                    <w:t>m</w:t>
                  </w:r>
                </w:p>
              </w:tc>
              <w:tc>
                <w:tcPr>
                  <w:tcW w:w="749" w:type="pct"/>
                  <w:noWrap w:val="0"/>
                  <w:vAlign w:val="center"/>
                </w:tcPr>
                <w:p w14:paraId="14237CC4">
                  <w:pPr>
                    <w:keepNext w:val="0"/>
                    <w:keepLines w:val="0"/>
                    <w:widowControl/>
                    <w:suppressLineNumbers w:val="0"/>
                    <w:jc w:val="center"/>
                    <w:textAlignment w:val="center"/>
                    <w:rPr>
                      <w:rFonts w:hint="eastAsia" w:ascii="宋体" w:hAnsi="宋体" w:eastAsia="宋体" w:cs="宋体"/>
                      <w:b/>
                      <w:bCs/>
                      <w:color w:val="auto"/>
                      <w:kern w:val="2"/>
                      <w:sz w:val="21"/>
                      <w:szCs w:val="21"/>
                      <w:highlight w:val="none"/>
                      <w:vertAlign w:val="baseline"/>
                      <w:lang w:val="en-US" w:eastAsia="zh-CN" w:bidi="ar-SA"/>
                    </w:rPr>
                  </w:pPr>
                  <w:r>
                    <w:rPr>
                      <w:rStyle w:val="225"/>
                      <w:rFonts w:hint="eastAsia" w:ascii="宋体" w:hAnsi="宋体" w:eastAsia="宋体" w:cs="宋体"/>
                      <w:b/>
                      <w:bCs/>
                      <w:color w:val="auto"/>
                      <w:sz w:val="21"/>
                      <w:szCs w:val="21"/>
                      <w:highlight w:val="none"/>
                      <w:lang w:val="en-US" w:eastAsia="zh-CN" w:bidi="ar"/>
                    </w:rPr>
                    <w:t>超标体积</w:t>
                  </w:r>
                  <w:r>
                    <w:rPr>
                      <w:rStyle w:val="226"/>
                      <w:rFonts w:hint="eastAsia" w:ascii="宋体" w:hAnsi="宋体" w:eastAsia="宋体" w:cs="宋体"/>
                      <w:b/>
                      <w:bCs/>
                      <w:color w:val="auto"/>
                      <w:sz w:val="21"/>
                      <w:szCs w:val="21"/>
                      <w:highlight w:val="none"/>
                      <w:lang w:val="en-US" w:eastAsia="zh-CN" w:bidi="ar"/>
                    </w:rPr>
                    <w:t>m</w:t>
                  </w:r>
                  <w:r>
                    <w:rPr>
                      <w:rStyle w:val="226"/>
                      <w:rFonts w:hint="eastAsia" w:ascii="宋体" w:hAnsi="宋体" w:eastAsia="宋体" w:cs="宋体"/>
                      <w:b/>
                      <w:bCs/>
                      <w:color w:val="auto"/>
                      <w:sz w:val="21"/>
                      <w:szCs w:val="21"/>
                      <w:highlight w:val="none"/>
                      <w:vertAlign w:val="superscript"/>
                      <w:lang w:val="en-US" w:eastAsia="zh-CN" w:bidi="ar"/>
                    </w:rPr>
                    <w:t>3</w:t>
                  </w:r>
                </w:p>
              </w:tc>
            </w:tr>
            <w:tr w14:paraId="3BE7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36AB77F7">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≤1倍</w:t>
                  </w:r>
                </w:p>
              </w:tc>
              <w:tc>
                <w:tcPr>
                  <w:tcW w:w="987" w:type="pct"/>
                  <w:noWrap w:val="0"/>
                  <w:vAlign w:val="top"/>
                </w:tcPr>
                <w:p w14:paraId="1E7AA8BA">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10~20</w:t>
                  </w:r>
                </w:p>
              </w:tc>
              <w:tc>
                <w:tcPr>
                  <w:tcW w:w="987" w:type="pct"/>
                  <w:noWrap w:val="0"/>
                  <w:vAlign w:val="center"/>
                </w:tcPr>
                <w:p w14:paraId="3362FFBB">
                  <w:pPr>
                    <w:pStyle w:val="22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46</w:t>
                  </w:r>
                </w:p>
              </w:tc>
              <w:tc>
                <w:tcPr>
                  <w:tcW w:w="798" w:type="pct"/>
                  <w:noWrap w:val="0"/>
                  <w:vAlign w:val="center"/>
                </w:tcPr>
                <w:p w14:paraId="068549D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268" w:type="dxa"/>
                  <w:noWrap w:val="0"/>
                  <w:vAlign w:val="center"/>
                </w:tcPr>
                <w:p w14:paraId="4778E12D">
                  <w:pPr>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5198000 </w:t>
                  </w:r>
                </w:p>
              </w:tc>
            </w:tr>
            <w:tr w14:paraId="7B7A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47B624A0">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1＜</w:t>
                  </w:r>
                  <w:r>
                    <w:rPr>
                      <w:rFonts w:hint="default" w:ascii="Times New Roman" w:hAnsi="Times New Roman" w:eastAsia="宋体" w:cs="Times New Roman"/>
                      <w:i/>
                      <w:iCs/>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≤4倍</w:t>
                  </w:r>
                </w:p>
              </w:tc>
              <w:tc>
                <w:tcPr>
                  <w:tcW w:w="987" w:type="pct"/>
                  <w:noWrap w:val="0"/>
                  <w:vAlign w:val="top"/>
                </w:tcPr>
                <w:p w14:paraId="595BE995">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20~50</w:t>
                  </w:r>
                </w:p>
              </w:tc>
              <w:tc>
                <w:tcPr>
                  <w:tcW w:w="987" w:type="pct"/>
                  <w:noWrap w:val="0"/>
                  <w:vAlign w:val="center"/>
                </w:tcPr>
                <w:p w14:paraId="1A0575E9">
                  <w:pPr>
                    <w:pStyle w:val="22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133</w:t>
                  </w:r>
                </w:p>
              </w:tc>
              <w:tc>
                <w:tcPr>
                  <w:tcW w:w="798" w:type="pct"/>
                  <w:noWrap w:val="0"/>
                  <w:vAlign w:val="center"/>
                </w:tcPr>
                <w:p w14:paraId="054CBAB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268" w:type="dxa"/>
                  <w:noWrap w:val="0"/>
                  <w:vAlign w:val="center"/>
                </w:tcPr>
                <w:p w14:paraId="4403D997">
                  <w:pPr>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15029000 </w:t>
                  </w:r>
                </w:p>
              </w:tc>
            </w:tr>
            <w:tr w14:paraId="0694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18CF650E">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4＜</w:t>
                  </w:r>
                  <w:r>
                    <w:rPr>
                      <w:rFonts w:hint="default" w:ascii="Times New Roman" w:hAnsi="Times New Roman" w:eastAsia="宋体" w:cs="Times New Roman"/>
                      <w:i/>
                      <w:iCs/>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≤9倍</w:t>
                  </w:r>
                </w:p>
              </w:tc>
              <w:tc>
                <w:tcPr>
                  <w:tcW w:w="987" w:type="pct"/>
                  <w:noWrap w:val="0"/>
                  <w:vAlign w:val="top"/>
                </w:tcPr>
                <w:p w14:paraId="1B212A57">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50~100</w:t>
                  </w:r>
                </w:p>
              </w:tc>
              <w:tc>
                <w:tcPr>
                  <w:tcW w:w="987" w:type="pct"/>
                  <w:noWrap w:val="0"/>
                  <w:vAlign w:val="center"/>
                </w:tcPr>
                <w:p w14:paraId="37FA93D3">
                  <w:pPr>
                    <w:pStyle w:val="22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75</w:t>
                  </w:r>
                </w:p>
              </w:tc>
              <w:tc>
                <w:tcPr>
                  <w:tcW w:w="798" w:type="pct"/>
                  <w:noWrap w:val="0"/>
                  <w:vAlign w:val="center"/>
                </w:tcPr>
                <w:p w14:paraId="4D0996E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268" w:type="dxa"/>
                  <w:noWrap w:val="0"/>
                  <w:vAlign w:val="center"/>
                </w:tcPr>
                <w:p w14:paraId="0E446CE1">
                  <w:pPr>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8475000 </w:t>
                  </w:r>
                </w:p>
              </w:tc>
            </w:tr>
            <w:tr w14:paraId="202E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noWrap w:val="0"/>
                  <w:vAlign w:val="center"/>
                </w:tcPr>
                <w:p w14:paraId="38F28119">
                  <w:pPr>
                    <w:pStyle w:val="22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u w:val="none"/>
                    </w:rPr>
                    <w:t>B</w:t>
                  </w:r>
                  <w:r>
                    <w:rPr>
                      <w:rFonts w:hint="default" w:ascii="Times New Roman" w:hAnsi="Times New Roman" w:eastAsia="宋体" w:cs="Times New Roman"/>
                      <w:i/>
                      <w:iCs/>
                      <w:color w:val="auto"/>
                      <w:sz w:val="21"/>
                      <w:szCs w:val="21"/>
                      <w:highlight w:val="none"/>
                      <w:u w:val="none"/>
                      <w:vertAlign w:val="subscript"/>
                    </w:rPr>
                    <w:t>i</w:t>
                  </w:r>
                  <w:r>
                    <w:rPr>
                      <w:rFonts w:hint="default" w:ascii="Times New Roman" w:hAnsi="Times New Roman" w:eastAsia="宋体" w:cs="Times New Roman"/>
                      <w:color w:val="auto"/>
                      <w:sz w:val="21"/>
                      <w:szCs w:val="21"/>
                      <w:highlight w:val="none"/>
                      <w:u w:val="none"/>
                    </w:rPr>
                    <w:t>＞9倍</w:t>
                  </w:r>
                </w:p>
              </w:tc>
              <w:tc>
                <w:tcPr>
                  <w:tcW w:w="987" w:type="pct"/>
                  <w:noWrap w:val="0"/>
                  <w:vAlign w:val="top"/>
                </w:tcPr>
                <w:p w14:paraId="023EDC9E">
                  <w:pPr>
                    <w:pStyle w:val="22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987" w:type="pct"/>
                  <w:noWrap w:val="0"/>
                  <w:vAlign w:val="center"/>
                </w:tcPr>
                <w:p w14:paraId="5ADC5ED6">
                  <w:pPr>
                    <w:pStyle w:val="220"/>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26</w:t>
                  </w:r>
                </w:p>
              </w:tc>
              <w:tc>
                <w:tcPr>
                  <w:tcW w:w="798" w:type="pct"/>
                  <w:noWrap w:val="0"/>
                  <w:vAlign w:val="center"/>
                </w:tcPr>
                <w:p w14:paraId="3212ADC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268" w:type="dxa"/>
                  <w:noWrap w:val="0"/>
                  <w:vAlign w:val="center"/>
                </w:tcPr>
                <w:p w14:paraId="36840BB6">
                  <w:pPr>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 xml:space="preserve">2930644 </w:t>
                  </w:r>
                </w:p>
              </w:tc>
            </w:tr>
          </w:tbl>
          <w:p w14:paraId="4D21E312">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p>
          <w:p w14:paraId="2239BF5D">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表4.1-9 施工悬浮物造成的海洋资源损失量</w:t>
            </w:r>
          </w:p>
          <w:tbl>
            <w:tblPr>
              <w:tblStyle w:val="45"/>
              <w:tblW w:w="4998"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07"/>
              <w:gridCol w:w="1648"/>
              <w:gridCol w:w="1610"/>
              <w:gridCol w:w="1111"/>
              <w:gridCol w:w="2373"/>
              <w:gridCol w:w="1823"/>
            </w:tblGrid>
            <w:tr w14:paraId="0815F1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31" w:type="pct"/>
                  <w:noWrap w:val="0"/>
                  <w:vAlign w:val="center"/>
                </w:tcPr>
                <w:p w14:paraId="08734A45">
                  <w:pPr>
                    <w:pStyle w:val="220"/>
                    <w:rPr>
                      <w:rFonts w:hint="default" w:eastAsia="宋体"/>
                      <w:b/>
                      <w:bCs/>
                      <w:color w:val="auto"/>
                      <w:highlight w:val="none"/>
                      <w:u w:val="none"/>
                      <w:lang w:val="en-US" w:eastAsia="zh-CN"/>
                    </w:rPr>
                  </w:pPr>
                  <w:r>
                    <w:rPr>
                      <w:rFonts w:hint="eastAsia"/>
                      <w:b/>
                      <w:bCs/>
                      <w:color w:val="auto"/>
                      <w:highlight w:val="none"/>
                      <w:u w:val="none"/>
                      <w:lang w:val="en-US" w:eastAsia="zh-CN"/>
                    </w:rPr>
                    <w:t>资源</w:t>
                  </w:r>
                </w:p>
              </w:tc>
              <w:tc>
                <w:tcPr>
                  <w:tcW w:w="898" w:type="pct"/>
                  <w:noWrap w:val="0"/>
                  <w:vAlign w:val="center"/>
                </w:tcPr>
                <w:p w14:paraId="08D1D91E">
                  <w:pPr>
                    <w:pStyle w:val="220"/>
                    <w:rPr>
                      <w:b/>
                      <w:bCs/>
                      <w:color w:val="auto"/>
                      <w:highlight w:val="none"/>
                      <w:u w:val="none"/>
                    </w:rPr>
                  </w:pPr>
                  <w:r>
                    <w:rPr>
                      <w:b/>
                      <w:bCs/>
                      <w:color w:val="auto"/>
                      <w:highlight w:val="none"/>
                      <w:u w:val="none"/>
                    </w:rPr>
                    <w:t>M</w:t>
                  </w:r>
                </w:p>
              </w:tc>
              <w:tc>
                <w:tcPr>
                  <w:tcW w:w="877" w:type="pct"/>
                  <w:noWrap w:val="0"/>
                  <w:vAlign w:val="center"/>
                </w:tcPr>
                <w:p w14:paraId="056E745C">
                  <w:pPr>
                    <w:pStyle w:val="220"/>
                    <w:rPr>
                      <w:rFonts w:hint="default" w:eastAsia="宋体"/>
                      <w:b/>
                      <w:bCs/>
                      <w:color w:val="auto"/>
                      <w:highlight w:val="none"/>
                      <w:u w:val="none"/>
                      <w:lang w:val="en-US" w:eastAsia="zh-CN"/>
                    </w:rPr>
                  </w:pPr>
                  <w:r>
                    <w:rPr>
                      <w:rFonts w:hint="eastAsia"/>
                      <w:b/>
                      <w:bCs/>
                      <w:color w:val="auto"/>
                      <w:highlight w:val="none"/>
                      <w:u w:val="none"/>
                      <w:lang w:eastAsia="zh-CN"/>
                    </w:rPr>
                    <w:t>密度</w:t>
                  </w:r>
                  <w:r>
                    <w:rPr>
                      <w:rFonts w:hint="eastAsia"/>
                      <w:b/>
                      <w:bCs/>
                      <w:color w:val="auto"/>
                      <w:highlight w:val="none"/>
                      <w:u w:val="none"/>
                      <w:lang w:val="en-US" w:eastAsia="zh-CN"/>
                    </w:rPr>
                    <w:t>/生物量</w:t>
                  </w:r>
                </w:p>
              </w:tc>
              <w:tc>
                <w:tcPr>
                  <w:tcW w:w="605" w:type="pct"/>
                  <w:noWrap w:val="0"/>
                  <w:vAlign w:val="center"/>
                </w:tcPr>
                <w:p w14:paraId="7361B608">
                  <w:pPr>
                    <w:pStyle w:val="220"/>
                    <w:rPr>
                      <w:b/>
                      <w:bCs/>
                      <w:color w:val="auto"/>
                      <w:highlight w:val="none"/>
                      <w:u w:val="none"/>
                    </w:rPr>
                  </w:pPr>
                  <w:r>
                    <w:rPr>
                      <w:b/>
                      <w:bCs/>
                      <w:color w:val="auto"/>
                      <w:highlight w:val="none"/>
                      <w:u w:val="none"/>
                    </w:rPr>
                    <w:t>损失率（%</w:t>
                  </w:r>
                  <w:r>
                    <w:rPr>
                      <w:rFonts w:hint="eastAsia" w:ascii="宋体" w:hAnsi="宋体"/>
                      <w:b/>
                      <w:bCs/>
                      <w:color w:val="auto"/>
                      <w:highlight w:val="none"/>
                      <w:u w:val="none"/>
                    </w:rPr>
                    <w:t>）</w:t>
                  </w:r>
                </w:p>
              </w:tc>
              <w:tc>
                <w:tcPr>
                  <w:tcW w:w="1293" w:type="pct"/>
                  <w:noWrap w:val="0"/>
                  <w:vAlign w:val="center"/>
                </w:tcPr>
                <w:p w14:paraId="04078612">
                  <w:pPr>
                    <w:pStyle w:val="220"/>
                    <w:rPr>
                      <w:b/>
                      <w:bCs/>
                      <w:color w:val="auto"/>
                      <w:highlight w:val="none"/>
                      <w:u w:val="none"/>
                    </w:rPr>
                  </w:pPr>
                  <w:r>
                    <w:rPr>
                      <w:b/>
                      <w:bCs/>
                      <w:color w:val="auto"/>
                      <w:highlight w:val="none"/>
                      <w:u w:val="none"/>
                    </w:rPr>
                    <w:t>损失量</w:t>
                  </w:r>
                </w:p>
              </w:tc>
              <w:tc>
                <w:tcPr>
                  <w:tcW w:w="993" w:type="pct"/>
                  <w:noWrap w:val="0"/>
                  <w:vAlign w:val="center"/>
                </w:tcPr>
                <w:p w14:paraId="18DC91DB">
                  <w:pPr>
                    <w:pStyle w:val="220"/>
                    <w:rPr>
                      <w:rFonts w:hint="eastAsia" w:eastAsia="宋体"/>
                      <w:b/>
                      <w:bCs/>
                      <w:color w:val="auto"/>
                      <w:highlight w:val="none"/>
                      <w:u w:val="none"/>
                      <w:lang w:eastAsia="zh-CN"/>
                    </w:rPr>
                  </w:pPr>
                  <w:r>
                    <w:rPr>
                      <w:rFonts w:hint="eastAsia"/>
                      <w:b/>
                      <w:bCs/>
                      <w:color w:val="auto"/>
                      <w:highlight w:val="none"/>
                      <w:u w:val="none"/>
                      <w:lang w:eastAsia="zh-CN"/>
                    </w:rPr>
                    <w:t>小计</w:t>
                  </w:r>
                </w:p>
              </w:tc>
            </w:tr>
            <w:tr w14:paraId="5B5436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31" w:type="pct"/>
                  <w:vMerge w:val="restart"/>
                  <w:noWrap w:val="0"/>
                  <w:vAlign w:val="center"/>
                </w:tcPr>
                <w:p w14:paraId="3776718A">
                  <w:pPr>
                    <w:pStyle w:val="220"/>
                    <w:jc w:val="both"/>
                    <w:rPr>
                      <w:rFonts w:hint="eastAsia" w:eastAsia="宋体"/>
                      <w:color w:val="auto"/>
                      <w:highlight w:val="none"/>
                      <w:u w:val="none"/>
                      <w:lang w:eastAsia="zh-CN"/>
                    </w:rPr>
                  </w:pPr>
                  <w:r>
                    <w:rPr>
                      <w:rFonts w:hint="eastAsia"/>
                      <w:color w:val="auto"/>
                      <w:highlight w:val="none"/>
                      <w:u w:val="none"/>
                      <w:lang w:eastAsia="zh-CN"/>
                    </w:rPr>
                    <w:t>浮游植物</w:t>
                  </w:r>
                </w:p>
              </w:tc>
              <w:tc>
                <w:tcPr>
                  <w:tcW w:w="898" w:type="pct"/>
                  <w:noWrap w:val="0"/>
                  <w:vAlign w:val="center"/>
                </w:tcPr>
                <w:p w14:paraId="2104C52A">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1</w:t>
                  </w:r>
                  <w:r>
                    <w:rPr>
                      <w:rFonts w:hint="eastAsia" w:ascii="宋体" w:hAnsi="宋体"/>
                      <w:color w:val="auto"/>
                      <w:highlight w:val="none"/>
                      <w:u w:val="none"/>
                    </w:rPr>
                    <w:t>倍</w:t>
                  </w:r>
                </w:p>
              </w:tc>
              <w:tc>
                <w:tcPr>
                  <w:tcW w:w="877" w:type="pct"/>
                  <w:vMerge w:val="restart"/>
                  <w:noWrap w:val="0"/>
                  <w:vAlign w:val="center"/>
                </w:tcPr>
                <w:p w14:paraId="158A4C56">
                  <w:pPr>
                    <w:pStyle w:val="220"/>
                    <w:rPr>
                      <w:color w:val="auto"/>
                      <w:highlight w:val="none"/>
                      <w:u w:val="single"/>
                    </w:rPr>
                  </w:pPr>
                  <w:r>
                    <w:rPr>
                      <w:rFonts w:hint="eastAsia" w:cs="Times New Roman"/>
                      <w:color w:val="auto"/>
                      <w:sz w:val="21"/>
                      <w:szCs w:val="21"/>
                      <w:highlight w:val="none"/>
                      <w:u w:val="single"/>
                      <w:shd w:val="clear" w:color="auto" w:fill="auto"/>
                      <w:lang w:val="en-US" w:eastAsia="zh-CN"/>
                    </w:rPr>
                    <w:t>1.73</w:t>
                  </w:r>
                  <w:r>
                    <w:rPr>
                      <w:rFonts w:hint="default" w:ascii="Times New Roman" w:hAnsi="Times New Roman" w:eastAsia="宋体" w:cs="Times New Roman"/>
                      <w:color w:val="auto"/>
                      <w:sz w:val="21"/>
                      <w:szCs w:val="21"/>
                      <w:highlight w:val="none"/>
                      <w:u w:val="single"/>
                      <w:shd w:val="clear" w:color="auto" w:fill="auto"/>
                    </w:rPr>
                    <w:t>×10</w:t>
                  </w:r>
                  <w:r>
                    <w:rPr>
                      <w:rFonts w:hint="default" w:ascii="Times New Roman" w:hAnsi="Times New Roman" w:eastAsia="宋体" w:cs="Times New Roman"/>
                      <w:color w:val="auto"/>
                      <w:sz w:val="21"/>
                      <w:szCs w:val="21"/>
                      <w:highlight w:val="none"/>
                      <w:u w:val="single"/>
                      <w:shd w:val="clear" w:color="auto" w:fill="auto"/>
                      <w:vertAlign w:val="superscript"/>
                      <w:lang w:val="en-US" w:eastAsia="zh-CN"/>
                    </w:rPr>
                    <w:t>6</w:t>
                  </w:r>
                  <w:r>
                    <w:rPr>
                      <w:rFonts w:hint="default" w:ascii="Times New Roman" w:hAnsi="Times New Roman" w:eastAsia="宋体" w:cs="Times New Roman"/>
                      <w:color w:val="auto"/>
                      <w:sz w:val="21"/>
                      <w:szCs w:val="21"/>
                      <w:highlight w:val="none"/>
                      <w:u w:val="single"/>
                      <w:shd w:val="clear" w:color="auto" w:fill="auto"/>
                      <w:lang w:val="en-US" w:eastAsia="zh-CN"/>
                    </w:rPr>
                    <w:t>个/m</w:t>
                  </w:r>
                  <w:r>
                    <w:rPr>
                      <w:rFonts w:hint="default" w:ascii="Times New Roman" w:hAnsi="Times New Roman" w:eastAsia="宋体" w:cs="Times New Roman"/>
                      <w:color w:val="auto"/>
                      <w:sz w:val="21"/>
                      <w:szCs w:val="21"/>
                      <w:highlight w:val="none"/>
                      <w:u w:val="single"/>
                      <w:shd w:val="clear" w:color="auto" w:fill="auto"/>
                      <w:vertAlign w:val="superscript"/>
                      <w:lang w:val="en-US" w:eastAsia="zh-CN"/>
                    </w:rPr>
                    <w:t>3</w:t>
                  </w:r>
                </w:p>
              </w:tc>
              <w:tc>
                <w:tcPr>
                  <w:tcW w:w="605" w:type="pct"/>
                  <w:noWrap w:val="0"/>
                  <w:vAlign w:val="center"/>
                </w:tcPr>
                <w:p w14:paraId="7E82C6C7">
                  <w:pPr>
                    <w:pStyle w:val="22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5</w:t>
                  </w:r>
                </w:p>
              </w:tc>
              <w:tc>
                <w:tcPr>
                  <w:tcW w:w="1293" w:type="pct"/>
                  <w:noWrap w:val="0"/>
                  <w:vAlign w:val="center"/>
                </w:tcPr>
                <w:p w14:paraId="3B17F817">
                  <w:pPr>
                    <w:keepNext w:val="0"/>
                    <w:keepLines w:val="0"/>
                    <w:widowControl/>
                    <w:suppressLineNumbers w:val="0"/>
                    <w:jc w:val="center"/>
                    <w:textAlignment w:val="center"/>
                    <w:rPr>
                      <w:rFonts w:ascii="Times New Roman" w:hAnsi="Times New Roman" w:eastAsia="宋体" w:cs="Times New Roman"/>
                      <w:color w:val="auto"/>
                      <w:highlight w:val="none"/>
                      <w:u w:val="single"/>
                    </w:rPr>
                  </w:pPr>
                  <w:r>
                    <w:rPr>
                      <w:rFonts w:hint="eastAsia" w:eastAsia="等线" w:cs="Times New Roman"/>
                      <w:i w:val="0"/>
                      <w:iCs w:val="0"/>
                      <w:color w:val="auto"/>
                      <w:kern w:val="0"/>
                      <w:sz w:val="21"/>
                      <w:szCs w:val="21"/>
                      <w:highlight w:val="none"/>
                      <w:u w:val="single"/>
                      <w:lang w:val="en-US" w:eastAsia="zh-CN" w:bidi="ar"/>
                    </w:rPr>
                    <w:t>0.45</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p>
              </w:tc>
              <w:tc>
                <w:tcPr>
                  <w:tcW w:w="993" w:type="pct"/>
                  <w:vMerge w:val="restart"/>
                  <w:noWrap w:val="0"/>
                  <w:vAlign w:val="center"/>
                </w:tcPr>
                <w:p w14:paraId="50C710EB">
                  <w:pPr>
                    <w:keepNext w:val="0"/>
                    <w:keepLines w:val="0"/>
                    <w:widowControl/>
                    <w:suppressLineNumbers w:val="0"/>
                    <w:jc w:val="right"/>
                    <w:textAlignment w:val="center"/>
                    <w:rPr>
                      <w:rFonts w:ascii="等线" w:hAnsi="等线" w:eastAsia="等线" w:cs="等线"/>
                      <w:i w:val="0"/>
                      <w:iCs w:val="0"/>
                      <w:color w:val="auto"/>
                      <w:kern w:val="2"/>
                      <w:sz w:val="22"/>
                      <w:szCs w:val="22"/>
                      <w:highlight w:val="none"/>
                      <w:u w:val="none"/>
                      <w:lang w:val="en-US" w:eastAsia="zh-CN" w:bidi="ar-SA"/>
                    </w:rPr>
                  </w:pPr>
                  <w:r>
                    <w:rPr>
                      <w:rFonts w:hint="eastAsia" w:cs="Times New Roman"/>
                      <w:color w:val="auto"/>
                      <w:kern w:val="2"/>
                      <w:sz w:val="21"/>
                      <w:szCs w:val="21"/>
                      <w:highlight w:val="none"/>
                      <w:u w:val="single"/>
                      <w:lang w:val="en-US" w:eastAsia="zh-CN" w:bidi="ar-SA"/>
                    </w:rPr>
                    <w:t>14.07</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p>
              </w:tc>
            </w:tr>
            <w:tr w14:paraId="11A18A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0348405">
                  <w:pPr>
                    <w:pStyle w:val="220"/>
                    <w:rPr>
                      <w:color w:val="auto"/>
                      <w:highlight w:val="none"/>
                      <w:u w:val="none"/>
                    </w:rPr>
                  </w:pPr>
                </w:p>
              </w:tc>
              <w:tc>
                <w:tcPr>
                  <w:tcW w:w="898" w:type="pct"/>
                  <w:noWrap w:val="0"/>
                  <w:vAlign w:val="center"/>
                </w:tcPr>
                <w:p w14:paraId="527EDAA8">
                  <w:pPr>
                    <w:pStyle w:val="220"/>
                    <w:rPr>
                      <w:color w:val="auto"/>
                      <w:highlight w:val="none"/>
                      <w:u w:val="none"/>
                    </w:rPr>
                  </w:pPr>
                  <w:r>
                    <w:rPr>
                      <w:color w:val="auto"/>
                      <w:highlight w:val="none"/>
                      <w:u w:val="none"/>
                    </w:rPr>
                    <w:t>1</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4</w:t>
                  </w:r>
                  <w:r>
                    <w:rPr>
                      <w:rFonts w:hint="eastAsia" w:ascii="宋体" w:hAnsi="宋体"/>
                      <w:color w:val="auto"/>
                      <w:highlight w:val="none"/>
                      <w:u w:val="none"/>
                    </w:rPr>
                    <w:t>倍</w:t>
                  </w:r>
                </w:p>
              </w:tc>
              <w:tc>
                <w:tcPr>
                  <w:tcW w:w="877" w:type="pct"/>
                  <w:vMerge w:val="continue"/>
                  <w:noWrap w:val="0"/>
                  <w:vAlign w:val="center"/>
                </w:tcPr>
                <w:p w14:paraId="124AB43D">
                  <w:pPr>
                    <w:pStyle w:val="220"/>
                    <w:rPr>
                      <w:color w:val="auto"/>
                      <w:highlight w:val="none"/>
                      <w:u w:val="single"/>
                    </w:rPr>
                  </w:pPr>
                </w:p>
              </w:tc>
              <w:tc>
                <w:tcPr>
                  <w:tcW w:w="605" w:type="pct"/>
                  <w:noWrap w:val="0"/>
                  <w:vAlign w:val="center"/>
                </w:tcPr>
                <w:p w14:paraId="32346BD9">
                  <w:pPr>
                    <w:pStyle w:val="220"/>
                    <w:rPr>
                      <w:color w:val="auto"/>
                      <w:highlight w:val="none"/>
                      <w:u w:val="none"/>
                    </w:rPr>
                  </w:pPr>
                  <w:r>
                    <w:rPr>
                      <w:color w:val="auto"/>
                      <w:highlight w:val="none"/>
                      <w:u w:val="none"/>
                    </w:rPr>
                    <w:t>20</w:t>
                  </w:r>
                </w:p>
              </w:tc>
              <w:tc>
                <w:tcPr>
                  <w:tcW w:w="1293" w:type="pct"/>
                  <w:noWrap w:val="0"/>
                  <w:vAlign w:val="center"/>
                </w:tcPr>
                <w:p w14:paraId="56994D8B">
                  <w:pPr>
                    <w:keepNext w:val="0"/>
                    <w:keepLines w:val="0"/>
                    <w:widowControl/>
                    <w:suppressLineNumbers w:val="0"/>
                    <w:jc w:val="center"/>
                    <w:textAlignment w:val="center"/>
                    <w:rPr>
                      <w:rFonts w:ascii="Times New Roman" w:hAnsi="Times New Roman" w:eastAsia="宋体" w:cs="Times New Roman"/>
                      <w:color w:val="auto"/>
                      <w:highlight w:val="none"/>
                      <w:u w:val="single"/>
                    </w:rPr>
                  </w:pPr>
                  <w:r>
                    <w:rPr>
                      <w:rFonts w:hint="eastAsia" w:eastAsia="等线" w:cs="Times New Roman"/>
                      <w:i w:val="0"/>
                      <w:iCs w:val="0"/>
                      <w:color w:val="auto"/>
                      <w:kern w:val="0"/>
                      <w:sz w:val="21"/>
                      <w:szCs w:val="21"/>
                      <w:highlight w:val="none"/>
                      <w:u w:val="single"/>
                      <w:lang w:val="en-US" w:eastAsia="zh-CN" w:bidi="ar"/>
                    </w:rPr>
                    <w:t>5.21</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p>
              </w:tc>
              <w:tc>
                <w:tcPr>
                  <w:tcW w:w="993" w:type="pct"/>
                  <w:vMerge w:val="continue"/>
                  <w:noWrap w:val="0"/>
                  <w:vAlign w:val="center"/>
                </w:tcPr>
                <w:p w14:paraId="1FFA0D8A">
                  <w:pPr>
                    <w:jc w:val="center"/>
                    <w:rPr>
                      <w:rFonts w:eastAsia="等线"/>
                      <w:color w:val="auto"/>
                      <w:sz w:val="21"/>
                      <w:szCs w:val="21"/>
                      <w:highlight w:val="none"/>
                      <w:u w:val="none"/>
                    </w:rPr>
                  </w:pPr>
                </w:p>
              </w:tc>
            </w:tr>
            <w:tr w14:paraId="0CAAB4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39019B4D">
                  <w:pPr>
                    <w:pStyle w:val="220"/>
                    <w:rPr>
                      <w:color w:val="auto"/>
                      <w:highlight w:val="none"/>
                      <w:u w:val="none"/>
                    </w:rPr>
                  </w:pPr>
                </w:p>
              </w:tc>
              <w:tc>
                <w:tcPr>
                  <w:tcW w:w="898" w:type="pct"/>
                  <w:noWrap w:val="0"/>
                  <w:vAlign w:val="center"/>
                </w:tcPr>
                <w:p w14:paraId="27548E81">
                  <w:pPr>
                    <w:pStyle w:val="220"/>
                    <w:rPr>
                      <w:color w:val="auto"/>
                      <w:highlight w:val="none"/>
                      <w:u w:val="none"/>
                    </w:rPr>
                  </w:pPr>
                  <w:r>
                    <w:rPr>
                      <w:color w:val="auto"/>
                      <w:highlight w:val="none"/>
                      <w:u w:val="none"/>
                    </w:rPr>
                    <w:t>4</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6CF3E278">
                  <w:pPr>
                    <w:pStyle w:val="220"/>
                    <w:rPr>
                      <w:color w:val="auto"/>
                      <w:highlight w:val="none"/>
                      <w:u w:val="single"/>
                    </w:rPr>
                  </w:pPr>
                </w:p>
              </w:tc>
              <w:tc>
                <w:tcPr>
                  <w:tcW w:w="605" w:type="pct"/>
                  <w:noWrap w:val="0"/>
                  <w:vAlign w:val="center"/>
                </w:tcPr>
                <w:p w14:paraId="12B1CA65">
                  <w:pPr>
                    <w:pStyle w:val="220"/>
                    <w:rPr>
                      <w:color w:val="auto"/>
                      <w:highlight w:val="none"/>
                      <w:u w:val="none"/>
                    </w:rPr>
                  </w:pPr>
                  <w:r>
                    <w:rPr>
                      <w:color w:val="auto"/>
                      <w:highlight w:val="none"/>
                      <w:u w:val="none"/>
                    </w:rPr>
                    <w:t>40</w:t>
                  </w:r>
                </w:p>
              </w:tc>
              <w:tc>
                <w:tcPr>
                  <w:tcW w:w="1293" w:type="pct"/>
                  <w:noWrap w:val="0"/>
                  <w:vAlign w:val="center"/>
                </w:tcPr>
                <w:p w14:paraId="5D2BE073">
                  <w:pPr>
                    <w:keepNext w:val="0"/>
                    <w:keepLines w:val="0"/>
                    <w:widowControl/>
                    <w:suppressLineNumbers w:val="0"/>
                    <w:jc w:val="center"/>
                    <w:textAlignment w:val="center"/>
                    <w:rPr>
                      <w:rFonts w:ascii="Times New Roman" w:hAnsi="Times New Roman" w:eastAsia="宋体" w:cs="Times New Roman"/>
                      <w:color w:val="auto"/>
                      <w:highlight w:val="none"/>
                      <w:u w:val="single"/>
                    </w:rPr>
                  </w:pPr>
                  <w:r>
                    <w:rPr>
                      <w:rFonts w:hint="eastAsia" w:eastAsia="等线" w:cs="Times New Roman"/>
                      <w:i w:val="0"/>
                      <w:iCs w:val="0"/>
                      <w:color w:val="auto"/>
                      <w:kern w:val="0"/>
                      <w:sz w:val="21"/>
                      <w:szCs w:val="21"/>
                      <w:highlight w:val="none"/>
                      <w:u w:val="single"/>
                      <w:lang w:val="en-US" w:eastAsia="zh-CN" w:bidi="ar"/>
                    </w:rPr>
                    <w:t>5.87</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p>
              </w:tc>
              <w:tc>
                <w:tcPr>
                  <w:tcW w:w="993" w:type="pct"/>
                  <w:vMerge w:val="continue"/>
                  <w:noWrap w:val="0"/>
                  <w:vAlign w:val="center"/>
                </w:tcPr>
                <w:p w14:paraId="5FF34E3B">
                  <w:pPr>
                    <w:jc w:val="center"/>
                    <w:rPr>
                      <w:rFonts w:eastAsia="等线"/>
                      <w:color w:val="auto"/>
                      <w:sz w:val="21"/>
                      <w:szCs w:val="21"/>
                      <w:highlight w:val="none"/>
                      <w:u w:val="none"/>
                    </w:rPr>
                  </w:pPr>
                </w:p>
              </w:tc>
            </w:tr>
            <w:tr w14:paraId="0B9E50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21EFD78">
                  <w:pPr>
                    <w:pStyle w:val="220"/>
                    <w:rPr>
                      <w:color w:val="auto"/>
                      <w:highlight w:val="none"/>
                      <w:u w:val="none"/>
                    </w:rPr>
                  </w:pPr>
                </w:p>
              </w:tc>
              <w:tc>
                <w:tcPr>
                  <w:tcW w:w="898" w:type="pct"/>
                  <w:noWrap w:val="0"/>
                  <w:vAlign w:val="center"/>
                </w:tcPr>
                <w:p w14:paraId="3CA309C1">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51E2584A">
                  <w:pPr>
                    <w:pStyle w:val="220"/>
                    <w:rPr>
                      <w:color w:val="auto"/>
                      <w:highlight w:val="none"/>
                      <w:u w:val="single"/>
                    </w:rPr>
                  </w:pPr>
                </w:p>
              </w:tc>
              <w:tc>
                <w:tcPr>
                  <w:tcW w:w="605" w:type="pct"/>
                  <w:noWrap w:val="0"/>
                  <w:vAlign w:val="center"/>
                </w:tcPr>
                <w:p w14:paraId="751E703B">
                  <w:pPr>
                    <w:pStyle w:val="220"/>
                    <w:rPr>
                      <w:color w:val="auto"/>
                      <w:highlight w:val="none"/>
                      <w:u w:val="none"/>
                    </w:rPr>
                  </w:pPr>
                  <w:r>
                    <w:rPr>
                      <w:color w:val="auto"/>
                      <w:highlight w:val="none"/>
                      <w:u w:val="none"/>
                    </w:rPr>
                    <w:t>50</w:t>
                  </w:r>
                </w:p>
              </w:tc>
              <w:tc>
                <w:tcPr>
                  <w:tcW w:w="1293" w:type="pct"/>
                  <w:noWrap w:val="0"/>
                  <w:vAlign w:val="center"/>
                </w:tcPr>
                <w:p w14:paraId="4E1BFD31">
                  <w:pPr>
                    <w:keepNext w:val="0"/>
                    <w:keepLines w:val="0"/>
                    <w:widowControl/>
                    <w:suppressLineNumbers w:val="0"/>
                    <w:jc w:val="center"/>
                    <w:textAlignment w:val="center"/>
                    <w:rPr>
                      <w:rFonts w:ascii="Times New Roman" w:hAnsi="Times New Roman" w:eastAsia="宋体" w:cs="Times New Roman"/>
                      <w:color w:val="auto"/>
                      <w:highlight w:val="none"/>
                      <w:u w:val="single"/>
                    </w:rPr>
                  </w:pPr>
                  <w:r>
                    <w:rPr>
                      <w:rFonts w:hint="eastAsia" w:cs="Times New Roman"/>
                      <w:color w:val="auto"/>
                      <w:sz w:val="21"/>
                      <w:szCs w:val="21"/>
                      <w:highlight w:val="none"/>
                      <w:u w:val="single"/>
                      <w:shd w:val="clear" w:color="auto" w:fill="auto"/>
                      <w:lang w:val="en-US" w:eastAsia="zh-CN"/>
                    </w:rPr>
                    <w:t>2.54</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p>
              </w:tc>
              <w:tc>
                <w:tcPr>
                  <w:tcW w:w="993" w:type="pct"/>
                  <w:vMerge w:val="continue"/>
                  <w:noWrap w:val="0"/>
                  <w:vAlign w:val="center"/>
                </w:tcPr>
                <w:p w14:paraId="1F41E18E">
                  <w:pPr>
                    <w:jc w:val="center"/>
                    <w:rPr>
                      <w:rFonts w:eastAsia="等线"/>
                      <w:color w:val="auto"/>
                      <w:sz w:val="21"/>
                      <w:szCs w:val="21"/>
                      <w:highlight w:val="none"/>
                      <w:u w:val="none"/>
                    </w:rPr>
                  </w:pPr>
                </w:p>
              </w:tc>
            </w:tr>
            <w:tr w14:paraId="571BE2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331" w:type="pct"/>
                  <w:vMerge w:val="restart"/>
                  <w:noWrap w:val="0"/>
                  <w:vAlign w:val="center"/>
                </w:tcPr>
                <w:p w14:paraId="404F98A5">
                  <w:pPr>
                    <w:pStyle w:val="220"/>
                    <w:rPr>
                      <w:rFonts w:hint="eastAsia" w:eastAsia="宋体"/>
                      <w:color w:val="auto"/>
                      <w:highlight w:val="none"/>
                      <w:lang w:eastAsia="zh-CN"/>
                    </w:rPr>
                  </w:pPr>
                  <w:bookmarkStart w:id="41" w:name="RANGE!A29"/>
                  <w:r>
                    <w:rPr>
                      <w:rFonts w:hint="eastAsia"/>
                      <w:color w:val="auto"/>
                      <w:highlight w:val="none"/>
                      <w:lang w:eastAsia="zh-CN"/>
                    </w:rPr>
                    <w:t>浮游动物</w:t>
                  </w:r>
                </w:p>
              </w:tc>
              <w:tc>
                <w:tcPr>
                  <w:tcW w:w="898" w:type="pct"/>
                  <w:noWrap w:val="0"/>
                  <w:vAlign w:val="center"/>
                </w:tcPr>
                <w:p w14:paraId="5C77CFA5">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1</w:t>
                  </w:r>
                  <w:r>
                    <w:rPr>
                      <w:rFonts w:hint="eastAsia" w:ascii="宋体" w:hAnsi="宋体"/>
                      <w:color w:val="auto"/>
                      <w:highlight w:val="none"/>
                    </w:rPr>
                    <w:t>倍</w:t>
                  </w:r>
                  <w:bookmarkEnd w:id="41"/>
                </w:p>
              </w:tc>
              <w:tc>
                <w:tcPr>
                  <w:tcW w:w="877" w:type="pct"/>
                  <w:vMerge w:val="restart"/>
                  <w:noWrap w:val="0"/>
                  <w:vAlign w:val="center"/>
                </w:tcPr>
                <w:p w14:paraId="62F2F0E0">
                  <w:pPr>
                    <w:widowControl/>
                    <w:jc w:val="center"/>
                    <w:rPr>
                      <w:rFonts w:eastAsia="等线"/>
                      <w:color w:val="auto"/>
                      <w:sz w:val="21"/>
                      <w:szCs w:val="21"/>
                      <w:highlight w:val="none"/>
                      <w:u w:val="single"/>
                    </w:rPr>
                  </w:pPr>
                  <w:r>
                    <w:rPr>
                      <w:rFonts w:hint="eastAsia" w:eastAsia="等线"/>
                      <w:color w:val="auto"/>
                      <w:sz w:val="21"/>
                      <w:szCs w:val="21"/>
                      <w:highlight w:val="none"/>
                      <w:u w:val="single"/>
                      <w:lang w:val="en-US" w:eastAsia="zh-CN"/>
                    </w:rPr>
                    <w:t>106.75</w:t>
                  </w:r>
                  <w:r>
                    <w:rPr>
                      <w:rFonts w:hint="eastAsia" w:eastAsia="等线"/>
                      <w:color w:val="auto"/>
                      <w:sz w:val="21"/>
                      <w:szCs w:val="21"/>
                      <w:highlight w:val="none"/>
                      <w:u w:val="single"/>
                    </w:rPr>
                    <w:t>mg/m</w:t>
                  </w:r>
                  <w:r>
                    <w:rPr>
                      <w:rFonts w:hint="eastAsia" w:eastAsia="等线"/>
                      <w:color w:val="auto"/>
                      <w:sz w:val="21"/>
                      <w:szCs w:val="21"/>
                      <w:highlight w:val="none"/>
                      <w:u w:val="single"/>
                      <w:vertAlign w:val="superscript"/>
                    </w:rPr>
                    <w:t>3</w:t>
                  </w:r>
                </w:p>
              </w:tc>
              <w:tc>
                <w:tcPr>
                  <w:tcW w:w="605" w:type="pct"/>
                  <w:noWrap w:val="0"/>
                  <w:vAlign w:val="center"/>
                </w:tcPr>
                <w:p w14:paraId="31BBD7AC">
                  <w:pPr>
                    <w:pStyle w:val="220"/>
                    <w:rPr>
                      <w:rFonts w:ascii="Times New Roman" w:hAnsi="Times New Roman" w:eastAsia="宋体" w:cs="Times New Roman"/>
                      <w:color w:val="auto"/>
                      <w:highlight w:val="none"/>
                      <w:u w:val="none"/>
                    </w:rPr>
                  </w:pPr>
                  <w:r>
                    <w:rPr>
                      <w:rFonts w:ascii="Times New Roman" w:hAnsi="Times New Roman" w:eastAsia="宋体" w:cs="Times New Roman"/>
                      <w:color w:val="auto"/>
                      <w:highlight w:val="none"/>
                      <w:u w:val="none"/>
                    </w:rPr>
                    <w:t>5</w:t>
                  </w:r>
                </w:p>
              </w:tc>
              <w:tc>
                <w:tcPr>
                  <w:tcW w:w="2189" w:type="dxa"/>
                  <w:noWrap w:val="0"/>
                  <w:vAlign w:val="center"/>
                </w:tcPr>
                <w:p w14:paraId="24ED378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single"/>
                      <w:lang w:val="en-US" w:eastAsia="zh-CN" w:bidi="ar"/>
                    </w:rPr>
                  </w:pPr>
                  <w:r>
                    <w:rPr>
                      <w:rFonts w:hint="eastAsia" w:eastAsia="等线" w:cs="Times New Roman"/>
                      <w:i w:val="0"/>
                      <w:iCs w:val="0"/>
                      <w:color w:val="auto"/>
                      <w:kern w:val="0"/>
                      <w:sz w:val="21"/>
                      <w:szCs w:val="21"/>
                      <w:highlight w:val="none"/>
                      <w:u w:val="single"/>
                      <w:lang w:val="en-US" w:eastAsia="zh-CN" w:bidi="ar"/>
                    </w:rPr>
                    <w:t>27.75</w:t>
                  </w:r>
                  <w:r>
                    <w:rPr>
                      <w:rFonts w:hint="eastAsia" w:ascii="Times New Roman" w:hAnsi="Times New Roman" w:eastAsia="等线" w:cs="Times New Roman"/>
                      <w:i w:val="0"/>
                      <w:iCs w:val="0"/>
                      <w:color w:val="auto"/>
                      <w:kern w:val="0"/>
                      <w:sz w:val="21"/>
                      <w:szCs w:val="21"/>
                      <w:highlight w:val="none"/>
                      <w:u w:val="single"/>
                      <w:lang w:val="en-US" w:eastAsia="zh-CN" w:bidi="ar"/>
                    </w:rPr>
                    <w:t>kg</w:t>
                  </w:r>
                </w:p>
              </w:tc>
              <w:tc>
                <w:tcPr>
                  <w:tcW w:w="993" w:type="pct"/>
                  <w:vMerge w:val="restart"/>
                  <w:noWrap w:val="0"/>
                  <w:vAlign w:val="center"/>
                </w:tcPr>
                <w:p w14:paraId="48D7A22F">
                  <w:pPr>
                    <w:widowControl/>
                    <w:jc w:val="center"/>
                    <w:rPr>
                      <w:rFonts w:hint="default" w:eastAsia="等线"/>
                      <w:color w:val="auto"/>
                      <w:sz w:val="21"/>
                      <w:szCs w:val="21"/>
                      <w:highlight w:val="none"/>
                      <w:u w:val="single"/>
                      <w:lang w:val="en-US" w:eastAsia="zh-CN"/>
                    </w:rPr>
                  </w:pPr>
                  <w:r>
                    <w:rPr>
                      <w:rFonts w:hint="eastAsia" w:eastAsia="等线"/>
                      <w:color w:val="auto"/>
                      <w:sz w:val="21"/>
                      <w:szCs w:val="21"/>
                      <w:highlight w:val="none"/>
                      <w:u w:val="single"/>
                      <w:lang w:val="en-US" w:eastAsia="zh-CN"/>
                    </w:rPr>
                    <w:t>0.867t</w:t>
                  </w:r>
                </w:p>
              </w:tc>
            </w:tr>
            <w:tr w14:paraId="13F24E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63D925B4">
                  <w:pPr>
                    <w:pStyle w:val="220"/>
                    <w:rPr>
                      <w:color w:val="auto"/>
                      <w:highlight w:val="none"/>
                    </w:rPr>
                  </w:pPr>
                </w:p>
              </w:tc>
              <w:tc>
                <w:tcPr>
                  <w:tcW w:w="898" w:type="pct"/>
                  <w:noWrap w:val="0"/>
                  <w:vAlign w:val="center"/>
                </w:tcPr>
                <w:p w14:paraId="6710A9DE">
                  <w:pPr>
                    <w:pStyle w:val="220"/>
                    <w:rPr>
                      <w:color w:val="auto"/>
                      <w:highlight w:val="none"/>
                    </w:rPr>
                  </w:pPr>
                  <w:r>
                    <w:rPr>
                      <w:color w:val="auto"/>
                      <w:highlight w:val="none"/>
                    </w:rPr>
                    <w:t>1</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4</w:t>
                  </w:r>
                  <w:r>
                    <w:rPr>
                      <w:rFonts w:hint="eastAsia" w:ascii="宋体" w:hAnsi="宋体"/>
                      <w:color w:val="auto"/>
                      <w:highlight w:val="none"/>
                    </w:rPr>
                    <w:t>倍</w:t>
                  </w:r>
                </w:p>
              </w:tc>
              <w:tc>
                <w:tcPr>
                  <w:tcW w:w="877" w:type="pct"/>
                  <w:vMerge w:val="continue"/>
                  <w:noWrap w:val="0"/>
                  <w:vAlign w:val="center"/>
                </w:tcPr>
                <w:p w14:paraId="2EBB24D5">
                  <w:pPr>
                    <w:widowControl/>
                    <w:jc w:val="center"/>
                    <w:rPr>
                      <w:rFonts w:eastAsia="等线"/>
                      <w:color w:val="auto"/>
                      <w:sz w:val="21"/>
                      <w:szCs w:val="21"/>
                      <w:highlight w:val="none"/>
                      <w:u w:val="single"/>
                    </w:rPr>
                  </w:pPr>
                </w:p>
              </w:tc>
              <w:tc>
                <w:tcPr>
                  <w:tcW w:w="605" w:type="pct"/>
                  <w:noWrap w:val="0"/>
                  <w:vAlign w:val="center"/>
                </w:tcPr>
                <w:p w14:paraId="5A032635">
                  <w:pPr>
                    <w:pStyle w:val="220"/>
                    <w:rPr>
                      <w:rFonts w:ascii="Times New Roman" w:hAnsi="Times New Roman" w:eastAsia="宋体" w:cs="Times New Roman"/>
                      <w:color w:val="auto"/>
                      <w:highlight w:val="none"/>
                      <w:u w:val="none"/>
                    </w:rPr>
                  </w:pPr>
                  <w:r>
                    <w:rPr>
                      <w:color w:val="auto"/>
                      <w:highlight w:val="none"/>
                      <w:u w:val="none"/>
                    </w:rPr>
                    <w:t>20</w:t>
                  </w:r>
                </w:p>
              </w:tc>
              <w:tc>
                <w:tcPr>
                  <w:tcW w:w="2189" w:type="dxa"/>
                  <w:noWrap w:val="0"/>
                  <w:vAlign w:val="center"/>
                </w:tcPr>
                <w:p w14:paraId="4CE0534D">
                  <w:pPr>
                    <w:keepNext w:val="0"/>
                    <w:keepLines w:val="0"/>
                    <w:widowControl/>
                    <w:suppressLineNumbers w:val="0"/>
                    <w:jc w:val="center"/>
                    <w:textAlignment w:val="center"/>
                    <w:rPr>
                      <w:rFonts w:eastAsia="等线"/>
                      <w:color w:val="auto"/>
                      <w:sz w:val="21"/>
                      <w:szCs w:val="21"/>
                      <w:highlight w:val="none"/>
                      <w:u w:val="single"/>
                    </w:rPr>
                  </w:pPr>
                  <w:r>
                    <w:rPr>
                      <w:rFonts w:hint="eastAsia" w:eastAsia="等线" w:cs="Times New Roman"/>
                      <w:i w:val="0"/>
                      <w:iCs w:val="0"/>
                      <w:color w:val="auto"/>
                      <w:kern w:val="0"/>
                      <w:sz w:val="21"/>
                      <w:szCs w:val="21"/>
                      <w:highlight w:val="none"/>
                      <w:u w:val="single"/>
                      <w:lang w:val="en-US" w:eastAsia="zh-CN" w:bidi="ar"/>
                    </w:rPr>
                    <w:t>320.87</w:t>
                  </w:r>
                  <w:r>
                    <w:rPr>
                      <w:rFonts w:hint="eastAsia" w:ascii="Times New Roman" w:hAnsi="Times New Roman" w:eastAsia="等线" w:cs="Times New Roman"/>
                      <w:i w:val="0"/>
                      <w:iCs w:val="0"/>
                      <w:color w:val="auto"/>
                      <w:kern w:val="0"/>
                      <w:sz w:val="21"/>
                      <w:szCs w:val="21"/>
                      <w:highlight w:val="none"/>
                      <w:u w:val="single"/>
                      <w:lang w:val="en-US" w:eastAsia="zh-CN" w:bidi="ar"/>
                    </w:rPr>
                    <w:t>kg</w:t>
                  </w:r>
                </w:p>
              </w:tc>
              <w:tc>
                <w:tcPr>
                  <w:tcW w:w="993" w:type="pct"/>
                  <w:vMerge w:val="continue"/>
                  <w:noWrap w:val="0"/>
                  <w:vAlign w:val="center"/>
                </w:tcPr>
                <w:p w14:paraId="3644B801">
                  <w:pPr>
                    <w:widowControl/>
                    <w:jc w:val="center"/>
                    <w:rPr>
                      <w:rFonts w:eastAsia="等线"/>
                      <w:color w:val="auto"/>
                      <w:sz w:val="21"/>
                      <w:szCs w:val="21"/>
                      <w:highlight w:val="none"/>
                      <w:u w:val="single"/>
                    </w:rPr>
                  </w:pPr>
                </w:p>
              </w:tc>
            </w:tr>
            <w:tr w14:paraId="2F7187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6D4AE1FD">
                  <w:pPr>
                    <w:pStyle w:val="220"/>
                    <w:rPr>
                      <w:color w:val="auto"/>
                      <w:highlight w:val="none"/>
                    </w:rPr>
                  </w:pPr>
                </w:p>
              </w:tc>
              <w:tc>
                <w:tcPr>
                  <w:tcW w:w="898" w:type="pct"/>
                  <w:noWrap w:val="0"/>
                  <w:vAlign w:val="center"/>
                </w:tcPr>
                <w:p w14:paraId="796BFD34">
                  <w:pPr>
                    <w:pStyle w:val="220"/>
                    <w:rPr>
                      <w:color w:val="auto"/>
                      <w:highlight w:val="none"/>
                    </w:rPr>
                  </w:pPr>
                  <w:r>
                    <w:rPr>
                      <w:color w:val="auto"/>
                      <w:highlight w:val="none"/>
                    </w:rPr>
                    <w:t>4</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652E9A4E">
                  <w:pPr>
                    <w:widowControl/>
                    <w:jc w:val="center"/>
                    <w:rPr>
                      <w:rFonts w:eastAsia="等线"/>
                      <w:color w:val="auto"/>
                      <w:sz w:val="21"/>
                      <w:szCs w:val="21"/>
                      <w:highlight w:val="none"/>
                      <w:u w:val="single"/>
                    </w:rPr>
                  </w:pPr>
                </w:p>
              </w:tc>
              <w:tc>
                <w:tcPr>
                  <w:tcW w:w="605" w:type="pct"/>
                  <w:noWrap w:val="0"/>
                  <w:vAlign w:val="center"/>
                </w:tcPr>
                <w:p w14:paraId="48FCE771">
                  <w:pPr>
                    <w:pStyle w:val="220"/>
                    <w:rPr>
                      <w:rFonts w:ascii="Times New Roman" w:hAnsi="Times New Roman" w:eastAsia="宋体" w:cs="Times New Roman"/>
                      <w:color w:val="auto"/>
                      <w:highlight w:val="none"/>
                      <w:u w:val="none"/>
                    </w:rPr>
                  </w:pPr>
                  <w:r>
                    <w:rPr>
                      <w:color w:val="auto"/>
                      <w:highlight w:val="none"/>
                      <w:u w:val="none"/>
                    </w:rPr>
                    <w:t>40</w:t>
                  </w:r>
                </w:p>
              </w:tc>
              <w:tc>
                <w:tcPr>
                  <w:tcW w:w="2189" w:type="dxa"/>
                  <w:noWrap w:val="0"/>
                  <w:vAlign w:val="center"/>
                </w:tcPr>
                <w:p w14:paraId="56D3898D">
                  <w:pPr>
                    <w:keepNext w:val="0"/>
                    <w:keepLines w:val="0"/>
                    <w:widowControl/>
                    <w:suppressLineNumbers w:val="0"/>
                    <w:jc w:val="center"/>
                    <w:textAlignment w:val="center"/>
                    <w:rPr>
                      <w:rFonts w:eastAsia="等线"/>
                      <w:color w:val="auto"/>
                      <w:sz w:val="21"/>
                      <w:szCs w:val="21"/>
                      <w:highlight w:val="none"/>
                      <w:u w:val="single"/>
                    </w:rPr>
                  </w:pPr>
                  <w:r>
                    <w:rPr>
                      <w:rFonts w:hint="eastAsia" w:eastAsia="等线" w:cs="Times New Roman"/>
                      <w:i w:val="0"/>
                      <w:iCs w:val="0"/>
                      <w:color w:val="auto"/>
                      <w:kern w:val="0"/>
                      <w:sz w:val="21"/>
                      <w:szCs w:val="21"/>
                      <w:highlight w:val="none"/>
                      <w:u w:val="single"/>
                      <w:lang w:val="en-US" w:eastAsia="zh-CN" w:bidi="ar"/>
                    </w:rPr>
                    <w:t>361.89</w:t>
                  </w:r>
                  <w:r>
                    <w:rPr>
                      <w:rFonts w:hint="eastAsia" w:ascii="Times New Roman" w:hAnsi="Times New Roman" w:eastAsia="等线" w:cs="Times New Roman"/>
                      <w:i w:val="0"/>
                      <w:iCs w:val="0"/>
                      <w:color w:val="auto"/>
                      <w:kern w:val="0"/>
                      <w:sz w:val="21"/>
                      <w:szCs w:val="21"/>
                      <w:highlight w:val="none"/>
                      <w:u w:val="single"/>
                      <w:lang w:val="en-US" w:eastAsia="zh-CN" w:bidi="ar"/>
                    </w:rPr>
                    <w:t>kg</w:t>
                  </w:r>
                </w:p>
              </w:tc>
              <w:tc>
                <w:tcPr>
                  <w:tcW w:w="993" w:type="pct"/>
                  <w:vMerge w:val="continue"/>
                  <w:noWrap w:val="0"/>
                  <w:vAlign w:val="center"/>
                </w:tcPr>
                <w:p w14:paraId="37547DDD">
                  <w:pPr>
                    <w:widowControl/>
                    <w:jc w:val="center"/>
                    <w:rPr>
                      <w:rFonts w:eastAsia="等线"/>
                      <w:color w:val="auto"/>
                      <w:sz w:val="21"/>
                      <w:szCs w:val="21"/>
                      <w:highlight w:val="none"/>
                      <w:u w:val="single"/>
                    </w:rPr>
                  </w:pPr>
                </w:p>
              </w:tc>
            </w:tr>
            <w:tr w14:paraId="73DD6A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18438F75">
                  <w:pPr>
                    <w:pStyle w:val="220"/>
                    <w:rPr>
                      <w:color w:val="auto"/>
                      <w:highlight w:val="none"/>
                    </w:rPr>
                  </w:pPr>
                </w:p>
              </w:tc>
              <w:tc>
                <w:tcPr>
                  <w:tcW w:w="898" w:type="pct"/>
                  <w:noWrap w:val="0"/>
                  <w:vAlign w:val="center"/>
                </w:tcPr>
                <w:p w14:paraId="467116FB">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4C9F3013">
                  <w:pPr>
                    <w:widowControl/>
                    <w:jc w:val="center"/>
                    <w:rPr>
                      <w:rFonts w:eastAsia="等线"/>
                      <w:color w:val="auto"/>
                      <w:sz w:val="21"/>
                      <w:szCs w:val="21"/>
                      <w:highlight w:val="none"/>
                      <w:u w:val="single"/>
                    </w:rPr>
                  </w:pPr>
                </w:p>
              </w:tc>
              <w:tc>
                <w:tcPr>
                  <w:tcW w:w="605" w:type="pct"/>
                  <w:noWrap w:val="0"/>
                  <w:vAlign w:val="center"/>
                </w:tcPr>
                <w:p w14:paraId="43765644">
                  <w:pPr>
                    <w:pStyle w:val="220"/>
                    <w:rPr>
                      <w:rFonts w:ascii="Times New Roman" w:hAnsi="Times New Roman" w:eastAsia="宋体" w:cs="Times New Roman"/>
                      <w:color w:val="auto"/>
                      <w:highlight w:val="none"/>
                      <w:u w:val="none"/>
                    </w:rPr>
                  </w:pPr>
                  <w:r>
                    <w:rPr>
                      <w:color w:val="auto"/>
                      <w:highlight w:val="none"/>
                      <w:u w:val="none"/>
                    </w:rPr>
                    <w:t>50</w:t>
                  </w:r>
                </w:p>
              </w:tc>
              <w:tc>
                <w:tcPr>
                  <w:tcW w:w="2189" w:type="dxa"/>
                  <w:noWrap w:val="0"/>
                  <w:vAlign w:val="center"/>
                </w:tcPr>
                <w:p w14:paraId="646882A5">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eastAsia" w:eastAsia="等线" w:cs="Times New Roman"/>
                      <w:i w:val="0"/>
                      <w:iCs w:val="0"/>
                      <w:color w:val="auto"/>
                      <w:kern w:val="0"/>
                      <w:sz w:val="21"/>
                      <w:szCs w:val="21"/>
                      <w:highlight w:val="none"/>
                      <w:u w:val="single"/>
                      <w:lang w:val="en-US" w:eastAsia="zh-CN" w:bidi="ar"/>
                    </w:rPr>
                    <w:t>156.43</w:t>
                  </w:r>
                  <w:r>
                    <w:rPr>
                      <w:rFonts w:hint="eastAsia" w:ascii="Times New Roman" w:hAnsi="Times New Roman" w:eastAsia="等线" w:cs="Times New Roman"/>
                      <w:i w:val="0"/>
                      <w:iCs w:val="0"/>
                      <w:color w:val="auto"/>
                      <w:kern w:val="0"/>
                      <w:sz w:val="21"/>
                      <w:szCs w:val="21"/>
                      <w:highlight w:val="none"/>
                      <w:u w:val="single"/>
                      <w:lang w:val="en-US" w:eastAsia="zh-CN" w:bidi="ar"/>
                    </w:rPr>
                    <w:t>kg</w:t>
                  </w:r>
                </w:p>
              </w:tc>
              <w:tc>
                <w:tcPr>
                  <w:tcW w:w="993" w:type="pct"/>
                  <w:vMerge w:val="continue"/>
                  <w:noWrap w:val="0"/>
                  <w:vAlign w:val="center"/>
                </w:tcPr>
                <w:p w14:paraId="7CB271C0">
                  <w:pPr>
                    <w:widowControl/>
                    <w:jc w:val="center"/>
                    <w:rPr>
                      <w:rFonts w:eastAsia="等线"/>
                      <w:color w:val="auto"/>
                      <w:sz w:val="21"/>
                      <w:szCs w:val="21"/>
                      <w:highlight w:val="none"/>
                      <w:u w:val="single"/>
                    </w:rPr>
                  </w:pPr>
                </w:p>
              </w:tc>
            </w:tr>
            <w:tr w14:paraId="54188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331" w:type="pct"/>
                  <w:vMerge w:val="restart"/>
                  <w:noWrap w:val="0"/>
                  <w:vAlign w:val="center"/>
                </w:tcPr>
                <w:p w14:paraId="2C8BBC1C">
                  <w:pPr>
                    <w:pStyle w:val="220"/>
                    <w:rPr>
                      <w:color w:val="auto"/>
                      <w:highlight w:val="none"/>
                    </w:rPr>
                  </w:pPr>
                  <w:r>
                    <w:rPr>
                      <w:rFonts w:hint="eastAsia"/>
                      <w:color w:val="auto"/>
                      <w:highlight w:val="none"/>
                      <w:lang w:eastAsia="zh-CN"/>
                    </w:rPr>
                    <w:t>鱼卵</w:t>
                  </w:r>
                </w:p>
              </w:tc>
              <w:tc>
                <w:tcPr>
                  <w:tcW w:w="898" w:type="pct"/>
                  <w:noWrap w:val="0"/>
                  <w:vAlign w:val="center"/>
                </w:tcPr>
                <w:p w14:paraId="760B8CCE">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1</w:t>
                  </w:r>
                  <w:r>
                    <w:rPr>
                      <w:rFonts w:hint="eastAsia" w:ascii="宋体" w:hAnsi="宋体"/>
                      <w:color w:val="auto"/>
                      <w:highlight w:val="none"/>
                      <w:u w:val="none"/>
                    </w:rPr>
                    <w:t>倍</w:t>
                  </w:r>
                </w:p>
              </w:tc>
              <w:tc>
                <w:tcPr>
                  <w:tcW w:w="877" w:type="pct"/>
                  <w:vMerge w:val="restart"/>
                  <w:noWrap w:val="0"/>
                  <w:vAlign w:val="center"/>
                </w:tcPr>
                <w:p w14:paraId="33DD5102">
                  <w:pPr>
                    <w:widowControl/>
                    <w:jc w:val="center"/>
                    <w:rPr>
                      <w:rFonts w:hint="default" w:ascii="Times New Roman" w:hAnsi="Times New Roman" w:eastAsia="等线"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0.0113</w:t>
                  </w:r>
                  <w:r>
                    <w:rPr>
                      <w:rFonts w:hint="default" w:ascii="Times New Roman" w:hAnsi="Times New Roman" w:eastAsia="宋体" w:cs="Times New Roman"/>
                      <w:b w:val="0"/>
                      <w:bCs w:val="0"/>
                      <w:color w:val="auto"/>
                      <w:sz w:val="21"/>
                      <w:szCs w:val="21"/>
                      <w:highlight w:val="none"/>
                      <w:u w:val="single"/>
                      <w:lang w:val="en-US" w:eastAsia="zh-CN"/>
                    </w:rPr>
                    <w:t xml:space="preserve"> ind/m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605" w:type="pct"/>
                  <w:noWrap w:val="0"/>
                  <w:vAlign w:val="center"/>
                </w:tcPr>
                <w:p w14:paraId="22B9277B">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5</w:t>
                  </w:r>
                </w:p>
              </w:tc>
              <w:tc>
                <w:tcPr>
                  <w:tcW w:w="2189" w:type="dxa"/>
                  <w:noWrap w:val="0"/>
                  <w:vAlign w:val="center"/>
                </w:tcPr>
                <w:p w14:paraId="520466B9">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lang w:val="en-US"/>
                    </w:rPr>
                  </w:pPr>
                  <w:r>
                    <w:rPr>
                      <w:rFonts w:hint="default" w:ascii="Times New Roman" w:hAnsi="Times New Roman" w:eastAsia="等线" w:cs="Times New Roman"/>
                      <w:i w:val="0"/>
                      <w:iCs w:val="0"/>
                      <w:color w:val="auto"/>
                      <w:kern w:val="0"/>
                      <w:sz w:val="21"/>
                      <w:szCs w:val="21"/>
                      <w:highlight w:val="none"/>
                      <w:u w:val="none"/>
                      <w:lang w:val="en-US" w:eastAsia="zh-CN" w:bidi="ar"/>
                    </w:rPr>
                    <w:t>2937</w:t>
                  </w:r>
                  <w:r>
                    <w:rPr>
                      <w:rFonts w:hint="eastAsia" w:ascii="Times New Roman" w:hAnsi="Times New Roman" w:eastAsia="宋体" w:cs="Times New Roman"/>
                      <w:color w:val="auto"/>
                      <w:sz w:val="21"/>
                      <w:szCs w:val="21"/>
                      <w:highlight w:val="none"/>
                      <w:u w:val="single"/>
                      <w:lang w:val="en-US" w:eastAsia="zh-CN"/>
                    </w:rPr>
                    <w:t>粒</w:t>
                  </w:r>
                </w:p>
              </w:tc>
              <w:tc>
                <w:tcPr>
                  <w:tcW w:w="993" w:type="pct"/>
                  <w:vMerge w:val="restart"/>
                  <w:noWrap w:val="0"/>
                  <w:vAlign w:val="center"/>
                </w:tcPr>
                <w:p w14:paraId="382FF07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single"/>
                      <w:lang w:val="en-US" w:eastAsia="zh-CN" w:bidi="ar-SA"/>
                    </w:rPr>
                  </w:pPr>
                  <w:r>
                    <w:rPr>
                      <w:rFonts w:hint="eastAsia" w:cs="Times New Roman"/>
                      <w:color w:val="auto"/>
                      <w:sz w:val="21"/>
                      <w:szCs w:val="21"/>
                      <w:highlight w:val="none"/>
                      <w:u w:val="single"/>
                      <w:lang w:val="en-US" w:eastAsia="zh-CN"/>
                    </w:rPr>
                    <w:t>86589</w:t>
                  </w:r>
                  <w:r>
                    <w:rPr>
                      <w:rFonts w:hint="eastAsia" w:ascii="Times New Roman" w:hAnsi="Times New Roman" w:eastAsia="宋体" w:cs="Times New Roman"/>
                      <w:color w:val="auto"/>
                      <w:sz w:val="21"/>
                      <w:szCs w:val="21"/>
                      <w:highlight w:val="none"/>
                      <w:u w:val="single"/>
                      <w:lang w:val="en-US" w:eastAsia="zh-CN"/>
                    </w:rPr>
                    <w:t>粒</w:t>
                  </w:r>
                </w:p>
              </w:tc>
            </w:tr>
            <w:tr w14:paraId="5DA717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331" w:type="pct"/>
                  <w:vMerge w:val="continue"/>
                  <w:noWrap w:val="0"/>
                  <w:vAlign w:val="center"/>
                </w:tcPr>
                <w:p w14:paraId="6D37C8D1">
                  <w:pPr>
                    <w:pStyle w:val="220"/>
                    <w:rPr>
                      <w:color w:val="auto"/>
                      <w:highlight w:val="none"/>
                    </w:rPr>
                  </w:pPr>
                </w:p>
              </w:tc>
              <w:tc>
                <w:tcPr>
                  <w:tcW w:w="898" w:type="pct"/>
                  <w:noWrap w:val="0"/>
                  <w:vAlign w:val="center"/>
                </w:tcPr>
                <w:p w14:paraId="54617C98">
                  <w:pPr>
                    <w:pStyle w:val="220"/>
                    <w:rPr>
                      <w:color w:val="auto"/>
                      <w:highlight w:val="none"/>
                      <w:u w:val="none"/>
                    </w:rPr>
                  </w:pPr>
                  <w:r>
                    <w:rPr>
                      <w:color w:val="auto"/>
                      <w:highlight w:val="none"/>
                      <w:u w:val="none"/>
                    </w:rPr>
                    <w:t>1</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4</w:t>
                  </w:r>
                  <w:r>
                    <w:rPr>
                      <w:rFonts w:hint="eastAsia" w:ascii="宋体" w:hAnsi="宋体"/>
                      <w:color w:val="auto"/>
                      <w:highlight w:val="none"/>
                      <w:u w:val="none"/>
                    </w:rPr>
                    <w:t>倍</w:t>
                  </w:r>
                </w:p>
              </w:tc>
              <w:tc>
                <w:tcPr>
                  <w:tcW w:w="877" w:type="pct"/>
                  <w:vMerge w:val="continue"/>
                  <w:noWrap w:val="0"/>
                  <w:vAlign w:val="center"/>
                </w:tcPr>
                <w:p w14:paraId="420093D6">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2DFC062E">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w:t>
                  </w:r>
                </w:p>
              </w:tc>
              <w:tc>
                <w:tcPr>
                  <w:tcW w:w="2189" w:type="dxa"/>
                  <w:noWrap w:val="0"/>
                  <w:vAlign w:val="center"/>
                </w:tcPr>
                <w:p w14:paraId="54F5AF5D">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highlight w:val="none"/>
                      <w:u w:val="none"/>
                      <w:lang w:val="en-US" w:eastAsia="zh-CN" w:bidi="ar"/>
                    </w:rPr>
                    <w:t>25475</w:t>
                  </w:r>
                  <w:r>
                    <w:rPr>
                      <w:rFonts w:hint="eastAsia" w:ascii="Times New Roman" w:hAnsi="Times New Roman" w:eastAsia="宋体" w:cs="Times New Roman"/>
                      <w:color w:val="auto"/>
                      <w:sz w:val="21"/>
                      <w:szCs w:val="21"/>
                      <w:highlight w:val="none"/>
                      <w:u w:val="single"/>
                      <w:lang w:val="en-US" w:eastAsia="zh-CN"/>
                    </w:rPr>
                    <w:t>粒</w:t>
                  </w:r>
                </w:p>
              </w:tc>
              <w:tc>
                <w:tcPr>
                  <w:tcW w:w="993" w:type="pct"/>
                  <w:vMerge w:val="continue"/>
                  <w:noWrap w:val="0"/>
                  <w:vAlign w:val="center"/>
                </w:tcPr>
                <w:p w14:paraId="4D9E21C5">
                  <w:pPr>
                    <w:widowControl/>
                    <w:jc w:val="center"/>
                    <w:rPr>
                      <w:rFonts w:eastAsia="等线"/>
                      <w:color w:val="auto"/>
                      <w:sz w:val="21"/>
                      <w:szCs w:val="21"/>
                      <w:highlight w:val="none"/>
                      <w:u w:val="single"/>
                    </w:rPr>
                  </w:pPr>
                </w:p>
              </w:tc>
            </w:tr>
            <w:tr w14:paraId="2C7AEF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31" w:type="pct"/>
                  <w:vMerge w:val="continue"/>
                  <w:noWrap w:val="0"/>
                  <w:vAlign w:val="center"/>
                </w:tcPr>
                <w:p w14:paraId="3F78F99B">
                  <w:pPr>
                    <w:pStyle w:val="220"/>
                    <w:rPr>
                      <w:color w:val="auto"/>
                      <w:highlight w:val="none"/>
                    </w:rPr>
                  </w:pPr>
                </w:p>
              </w:tc>
              <w:tc>
                <w:tcPr>
                  <w:tcW w:w="898" w:type="pct"/>
                  <w:noWrap w:val="0"/>
                  <w:vAlign w:val="center"/>
                </w:tcPr>
                <w:p w14:paraId="5DFF6C58">
                  <w:pPr>
                    <w:pStyle w:val="220"/>
                    <w:rPr>
                      <w:color w:val="auto"/>
                      <w:highlight w:val="none"/>
                      <w:u w:val="none"/>
                    </w:rPr>
                  </w:pPr>
                  <w:r>
                    <w:rPr>
                      <w:color w:val="auto"/>
                      <w:highlight w:val="none"/>
                      <w:u w:val="none"/>
                    </w:rPr>
                    <w:t>4</w:t>
                  </w:r>
                  <w:r>
                    <w:rPr>
                      <w:rFonts w:hint="eastAsia" w:ascii="宋体" w:hAnsi="宋体"/>
                      <w:color w:val="auto"/>
                      <w:highlight w:val="none"/>
                      <w:u w:val="none"/>
                    </w:rPr>
                    <w:t>＜</w:t>
                  </w:r>
                  <w:r>
                    <w:rPr>
                      <w:i/>
                      <w:iCs/>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55A8EED6">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0B560D4A">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40</w:t>
                  </w:r>
                </w:p>
              </w:tc>
              <w:tc>
                <w:tcPr>
                  <w:tcW w:w="2189" w:type="dxa"/>
                  <w:noWrap w:val="0"/>
                  <w:vAlign w:val="center"/>
                </w:tcPr>
                <w:p w14:paraId="515C74FA">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highlight w:val="none"/>
                      <w:u w:val="none"/>
                      <w:lang w:val="en-US" w:eastAsia="zh-CN" w:bidi="ar"/>
                    </w:rPr>
                    <w:t>38307</w:t>
                  </w:r>
                  <w:r>
                    <w:rPr>
                      <w:rFonts w:hint="eastAsia" w:ascii="Times New Roman" w:hAnsi="Times New Roman" w:eastAsia="宋体" w:cs="Times New Roman"/>
                      <w:color w:val="auto"/>
                      <w:sz w:val="21"/>
                      <w:szCs w:val="21"/>
                      <w:highlight w:val="none"/>
                      <w:u w:val="single"/>
                      <w:lang w:val="en-US" w:eastAsia="zh-CN"/>
                    </w:rPr>
                    <w:t>粒</w:t>
                  </w:r>
                </w:p>
              </w:tc>
              <w:tc>
                <w:tcPr>
                  <w:tcW w:w="993" w:type="pct"/>
                  <w:vMerge w:val="continue"/>
                  <w:noWrap w:val="0"/>
                  <w:vAlign w:val="center"/>
                </w:tcPr>
                <w:p w14:paraId="1AB370CD">
                  <w:pPr>
                    <w:widowControl/>
                    <w:jc w:val="center"/>
                    <w:rPr>
                      <w:rFonts w:eastAsia="等线"/>
                      <w:color w:val="auto"/>
                      <w:sz w:val="21"/>
                      <w:szCs w:val="21"/>
                      <w:highlight w:val="none"/>
                      <w:u w:val="single"/>
                    </w:rPr>
                  </w:pPr>
                </w:p>
              </w:tc>
            </w:tr>
            <w:tr w14:paraId="41EB8C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3BE6C81C">
                  <w:pPr>
                    <w:pStyle w:val="220"/>
                    <w:rPr>
                      <w:color w:val="auto"/>
                      <w:highlight w:val="none"/>
                    </w:rPr>
                  </w:pPr>
                </w:p>
              </w:tc>
              <w:tc>
                <w:tcPr>
                  <w:tcW w:w="898" w:type="pct"/>
                  <w:noWrap w:val="0"/>
                  <w:vAlign w:val="center"/>
                </w:tcPr>
                <w:p w14:paraId="740B6924">
                  <w:pPr>
                    <w:pStyle w:val="220"/>
                    <w:rPr>
                      <w:color w:val="auto"/>
                      <w:highlight w:val="none"/>
                      <w:u w:val="none"/>
                    </w:rPr>
                  </w:pPr>
                  <w:r>
                    <w:rPr>
                      <w:color w:val="auto"/>
                      <w:highlight w:val="none"/>
                      <w:u w:val="none"/>
                    </w:rPr>
                    <w:t>B</w:t>
                  </w:r>
                  <w:r>
                    <w:rPr>
                      <w:i/>
                      <w:iCs/>
                      <w:color w:val="auto"/>
                      <w:highlight w:val="none"/>
                      <w:u w:val="none"/>
                      <w:vertAlign w:val="subscript"/>
                    </w:rPr>
                    <w:t>i</w:t>
                  </w:r>
                  <w:r>
                    <w:rPr>
                      <w:rFonts w:hint="eastAsia" w:ascii="宋体" w:hAnsi="宋体"/>
                      <w:color w:val="auto"/>
                      <w:highlight w:val="none"/>
                      <w:u w:val="none"/>
                    </w:rPr>
                    <w:t>＞</w:t>
                  </w:r>
                  <w:r>
                    <w:rPr>
                      <w:color w:val="auto"/>
                      <w:highlight w:val="none"/>
                      <w:u w:val="none"/>
                    </w:rPr>
                    <w:t>9</w:t>
                  </w:r>
                  <w:r>
                    <w:rPr>
                      <w:rFonts w:hint="eastAsia" w:ascii="宋体" w:hAnsi="宋体"/>
                      <w:color w:val="auto"/>
                      <w:highlight w:val="none"/>
                      <w:u w:val="none"/>
                    </w:rPr>
                    <w:t>倍</w:t>
                  </w:r>
                </w:p>
              </w:tc>
              <w:tc>
                <w:tcPr>
                  <w:tcW w:w="877" w:type="pct"/>
                  <w:vMerge w:val="continue"/>
                  <w:noWrap w:val="0"/>
                  <w:vAlign w:val="center"/>
                </w:tcPr>
                <w:p w14:paraId="1BB5A867">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62557438">
                  <w:pPr>
                    <w:pStyle w:val="220"/>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60</w:t>
                  </w:r>
                </w:p>
              </w:tc>
              <w:tc>
                <w:tcPr>
                  <w:tcW w:w="2189" w:type="dxa"/>
                  <w:noWrap w:val="0"/>
                  <w:vAlign w:val="center"/>
                </w:tcPr>
                <w:p w14:paraId="48109F85">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none"/>
                      <w:u w:val="single"/>
                    </w:rPr>
                  </w:pPr>
                  <w:r>
                    <w:rPr>
                      <w:rFonts w:hint="default" w:ascii="Times New Roman" w:hAnsi="Times New Roman" w:eastAsia="等线" w:cs="Times New Roman"/>
                      <w:i w:val="0"/>
                      <w:iCs w:val="0"/>
                      <w:color w:val="auto"/>
                      <w:kern w:val="0"/>
                      <w:sz w:val="21"/>
                      <w:szCs w:val="21"/>
                      <w:highlight w:val="none"/>
                      <w:u w:val="none"/>
                      <w:lang w:val="en-US" w:eastAsia="zh-CN" w:bidi="ar"/>
                    </w:rPr>
                    <w:t>19870</w:t>
                  </w:r>
                  <w:r>
                    <w:rPr>
                      <w:rFonts w:hint="eastAsia" w:ascii="Times New Roman" w:hAnsi="Times New Roman" w:eastAsia="宋体" w:cs="Times New Roman"/>
                      <w:color w:val="auto"/>
                      <w:sz w:val="21"/>
                      <w:szCs w:val="21"/>
                      <w:highlight w:val="none"/>
                      <w:u w:val="single"/>
                      <w:lang w:val="en-US" w:eastAsia="zh-CN"/>
                    </w:rPr>
                    <w:t>粒</w:t>
                  </w:r>
                </w:p>
              </w:tc>
              <w:tc>
                <w:tcPr>
                  <w:tcW w:w="993" w:type="pct"/>
                  <w:vMerge w:val="continue"/>
                  <w:noWrap w:val="0"/>
                  <w:vAlign w:val="center"/>
                </w:tcPr>
                <w:p w14:paraId="2F76DD2B">
                  <w:pPr>
                    <w:widowControl/>
                    <w:jc w:val="center"/>
                    <w:rPr>
                      <w:rFonts w:eastAsia="等线"/>
                      <w:color w:val="auto"/>
                      <w:sz w:val="21"/>
                      <w:szCs w:val="21"/>
                      <w:highlight w:val="none"/>
                      <w:u w:val="single"/>
                    </w:rPr>
                  </w:pPr>
                </w:p>
              </w:tc>
            </w:tr>
            <w:tr w14:paraId="2D698C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31" w:type="pct"/>
                  <w:vMerge w:val="restart"/>
                  <w:noWrap w:val="0"/>
                  <w:vAlign w:val="center"/>
                </w:tcPr>
                <w:p w14:paraId="0CD84112">
                  <w:pPr>
                    <w:pStyle w:val="220"/>
                    <w:rPr>
                      <w:rFonts w:hint="eastAsia" w:eastAsia="宋体"/>
                      <w:color w:val="auto"/>
                      <w:highlight w:val="none"/>
                      <w:lang w:eastAsia="zh-CN"/>
                    </w:rPr>
                  </w:pPr>
                  <w:r>
                    <w:rPr>
                      <w:rFonts w:hint="eastAsia"/>
                      <w:color w:val="auto"/>
                      <w:highlight w:val="none"/>
                      <w:lang w:eastAsia="zh-CN"/>
                    </w:rPr>
                    <w:t>鱼仔</w:t>
                  </w:r>
                </w:p>
              </w:tc>
              <w:tc>
                <w:tcPr>
                  <w:tcW w:w="898" w:type="pct"/>
                  <w:noWrap w:val="0"/>
                  <w:vAlign w:val="center"/>
                </w:tcPr>
                <w:p w14:paraId="29177889">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1</w:t>
                  </w:r>
                  <w:r>
                    <w:rPr>
                      <w:rFonts w:hint="eastAsia" w:ascii="宋体" w:hAnsi="宋体"/>
                      <w:color w:val="auto"/>
                      <w:highlight w:val="none"/>
                    </w:rPr>
                    <w:t>倍</w:t>
                  </w:r>
                </w:p>
              </w:tc>
              <w:tc>
                <w:tcPr>
                  <w:tcW w:w="877" w:type="pct"/>
                  <w:vMerge w:val="restart"/>
                  <w:noWrap w:val="0"/>
                  <w:vAlign w:val="center"/>
                </w:tcPr>
                <w:p w14:paraId="755C7B46">
                  <w:pPr>
                    <w:widowControl/>
                    <w:jc w:val="center"/>
                    <w:rPr>
                      <w:rFonts w:hint="default" w:ascii="Times New Roman" w:hAnsi="Times New Roman" w:eastAsia="等线" w:cs="Times New Roman"/>
                      <w:color w:val="auto"/>
                      <w:sz w:val="21"/>
                      <w:szCs w:val="21"/>
                      <w:highlight w:val="none"/>
                      <w:u w:val="single"/>
                    </w:rPr>
                  </w:pPr>
                  <w:r>
                    <w:rPr>
                      <w:rFonts w:hint="eastAsia" w:cs="Times New Roman"/>
                      <w:b w:val="0"/>
                      <w:bCs w:val="0"/>
                      <w:color w:val="auto"/>
                      <w:sz w:val="21"/>
                      <w:szCs w:val="21"/>
                      <w:highlight w:val="none"/>
                      <w:u w:val="single"/>
                      <w:lang w:val="en-US" w:eastAsia="zh-CN"/>
                    </w:rPr>
                    <w:t>0.021</w:t>
                  </w:r>
                  <w:r>
                    <w:rPr>
                      <w:rFonts w:hint="default" w:ascii="Times New Roman" w:hAnsi="Times New Roman" w:eastAsia="宋体" w:cs="Times New Roman"/>
                      <w:b w:val="0"/>
                      <w:bCs w:val="0"/>
                      <w:color w:val="auto"/>
                      <w:sz w:val="21"/>
                      <w:szCs w:val="21"/>
                      <w:highlight w:val="none"/>
                      <w:u w:val="single"/>
                      <w:lang w:val="en-US" w:eastAsia="zh-CN"/>
                    </w:rPr>
                    <w:t>ind/m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605" w:type="pct"/>
                  <w:noWrap w:val="0"/>
                  <w:vAlign w:val="center"/>
                </w:tcPr>
                <w:p w14:paraId="157D2E11">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5</w:t>
                  </w:r>
                </w:p>
              </w:tc>
              <w:tc>
                <w:tcPr>
                  <w:tcW w:w="2189" w:type="dxa"/>
                  <w:noWrap w:val="0"/>
                  <w:vAlign w:val="center"/>
                </w:tcPr>
                <w:p w14:paraId="3AD6AC0F">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singl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5458</w:t>
                  </w:r>
                  <w:r>
                    <w:rPr>
                      <w:rFonts w:hint="eastAsia" w:ascii="Times New Roman" w:hAnsi="Times New Roman" w:eastAsia="宋体" w:cs="Times New Roman"/>
                      <w:color w:val="auto"/>
                      <w:sz w:val="21"/>
                      <w:szCs w:val="21"/>
                      <w:highlight w:val="none"/>
                      <w:u w:val="single"/>
                      <w:lang w:val="en-US" w:eastAsia="zh-CN"/>
                    </w:rPr>
                    <w:t>尾</w:t>
                  </w:r>
                </w:p>
              </w:tc>
              <w:tc>
                <w:tcPr>
                  <w:tcW w:w="993" w:type="pct"/>
                  <w:vMerge w:val="restart"/>
                  <w:noWrap w:val="0"/>
                  <w:vAlign w:val="center"/>
                </w:tcPr>
                <w:p w14:paraId="363F8903">
                  <w:pPr>
                    <w:keepNext w:val="0"/>
                    <w:keepLines w:val="0"/>
                    <w:widowControl/>
                    <w:suppressLineNumbers w:val="0"/>
                    <w:jc w:val="center"/>
                    <w:textAlignment w:val="center"/>
                    <w:rPr>
                      <w:rFonts w:hint="default" w:ascii="等线" w:hAnsi="等线" w:eastAsia="等线" w:cs="等线"/>
                      <w:i w:val="0"/>
                      <w:iCs w:val="0"/>
                      <w:color w:val="auto"/>
                      <w:kern w:val="2"/>
                      <w:sz w:val="22"/>
                      <w:szCs w:val="22"/>
                      <w:highlight w:val="none"/>
                      <w:u w:val="single"/>
                      <w:lang w:val="en-US" w:eastAsia="zh-CN" w:bidi="ar-SA"/>
                    </w:rPr>
                  </w:pPr>
                  <w:r>
                    <w:rPr>
                      <w:rFonts w:hint="eastAsia" w:eastAsia="等线" w:cs="Times New Roman"/>
                      <w:color w:val="auto"/>
                      <w:sz w:val="21"/>
                      <w:szCs w:val="21"/>
                      <w:highlight w:val="none"/>
                      <w:u w:val="single"/>
                      <w:lang w:val="en-US" w:eastAsia="zh-CN"/>
                    </w:rPr>
                    <w:t>160915</w:t>
                  </w:r>
                  <w:r>
                    <w:rPr>
                      <w:rFonts w:hint="eastAsia" w:ascii="Times New Roman" w:hAnsi="Times New Roman" w:eastAsia="宋体" w:cs="Times New Roman"/>
                      <w:color w:val="auto"/>
                      <w:sz w:val="21"/>
                      <w:szCs w:val="21"/>
                      <w:highlight w:val="none"/>
                      <w:u w:val="single"/>
                      <w:lang w:val="en-US" w:eastAsia="zh-CN"/>
                    </w:rPr>
                    <w:t>尾</w:t>
                  </w:r>
                </w:p>
              </w:tc>
            </w:tr>
            <w:tr w14:paraId="1B086C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331" w:type="pct"/>
                  <w:vMerge w:val="continue"/>
                  <w:noWrap w:val="0"/>
                  <w:vAlign w:val="center"/>
                </w:tcPr>
                <w:p w14:paraId="7AAFDA43">
                  <w:pPr>
                    <w:pStyle w:val="220"/>
                    <w:rPr>
                      <w:color w:val="auto"/>
                      <w:highlight w:val="none"/>
                    </w:rPr>
                  </w:pPr>
                </w:p>
              </w:tc>
              <w:tc>
                <w:tcPr>
                  <w:tcW w:w="898" w:type="pct"/>
                  <w:noWrap w:val="0"/>
                  <w:vAlign w:val="center"/>
                </w:tcPr>
                <w:p w14:paraId="29F8ED53">
                  <w:pPr>
                    <w:pStyle w:val="220"/>
                    <w:rPr>
                      <w:color w:val="auto"/>
                      <w:highlight w:val="none"/>
                    </w:rPr>
                  </w:pPr>
                  <w:r>
                    <w:rPr>
                      <w:color w:val="auto"/>
                      <w:highlight w:val="none"/>
                    </w:rPr>
                    <w:t>1</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4</w:t>
                  </w:r>
                  <w:r>
                    <w:rPr>
                      <w:rFonts w:hint="eastAsia" w:ascii="宋体" w:hAnsi="宋体"/>
                      <w:color w:val="auto"/>
                      <w:highlight w:val="none"/>
                    </w:rPr>
                    <w:t>倍</w:t>
                  </w:r>
                </w:p>
              </w:tc>
              <w:tc>
                <w:tcPr>
                  <w:tcW w:w="877" w:type="pct"/>
                  <w:vMerge w:val="continue"/>
                  <w:noWrap w:val="0"/>
                  <w:vAlign w:val="center"/>
                </w:tcPr>
                <w:p w14:paraId="49F84B62">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5B20B265">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20</w:t>
                  </w:r>
                </w:p>
              </w:tc>
              <w:tc>
                <w:tcPr>
                  <w:tcW w:w="2189" w:type="dxa"/>
                  <w:noWrap w:val="0"/>
                  <w:vAlign w:val="center"/>
                </w:tcPr>
                <w:p w14:paraId="053338A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singl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47341</w:t>
                  </w:r>
                  <w:r>
                    <w:rPr>
                      <w:rFonts w:hint="eastAsia" w:ascii="Times New Roman" w:hAnsi="Times New Roman" w:eastAsia="宋体" w:cs="Times New Roman"/>
                      <w:color w:val="auto"/>
                      <w:sz w:val="21"/>
                      <w:szCs w:val="21"/>
                      <w:highlight w:val="none"/>
                      <w:u w:val="single"/>
                      <w:lang w:val="en-US" w:eastAsia="zh-CN"/>
                    </w:rPr>
                    <w:t>尾</w:t>
                  </w:r>
                </w:p>
              </w:tc>
              <w:tc>
                <w:tcPr>
                  <w:tcW w:w="993" w:type="pct"/>
                  <w:vMerge w:val="continue"/>
                  <w:noWrap w:val="0"/>
                  <w:vAlign w:val="center"/>
                </w:tcPr>
                <w:p w14:paraId="12874374">
                  <w:pPr>
                    <w:widowControl/>
                    <w:jc w:val="center"/>
                    <w:rPr>
                      <w:rFonts w:eastAsia="等线"/>
                      <w:color w:val="auto"/>
                      <w:sz w:val="21"/>
                      <w:szCs w:val="21"/>
                      <w:highlight w:val="none"/>
                      <w:u w:val="single"/>
                    </w:rPr>
                  </w:pPr>
                </w:p>
              </w:tc>
            </w:tr>
            <w:tr w14:paraId="3D08F2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1" w:type="pct"/>
                  <w:vMerge w:val="continue"/>
                  <w:noWrap w:val="0"/>
                  <w:vAlign w:val="center"/>
                </w:tcPr>
                <w:p w14:paraId="0A90BEE2">
                  <w:pPr>
                    <w:pStyle w:val="220"/>
                    <w:rPr>
                      <w:color w:val="auto"/>
                      <w:highlight w:val="none"/>
                    </w:rPr>
                  </w:pPr>
                </w:p>
              </w:tc>
              <w:tc>
                <w:tcPr>
                  <w:tcW w:w="898" w:type="pct"/>
                  <w:noWrap w:val="0"/>
                  <w:vAlign w:val="center"/>
                </w:tcPr>
                <w:p w14:paraId="1C19C9C9">
                  <w:pPr>
                    <w:pStyle w:val="220"/>
                    <w:rPr>
                      <w:color w:val="auto"/>
                      <w:highlight w:val="none"/>
                    </w:rPr>
                  </w:pPr>
                  <w:r>
                    <w:rPr>
                      <w:color w:val="auto"/>
                      <w:highlight w:val="none"/>
                    </w:rPr>
                    <w:t>4</w:t>
                  </w:r>
                  <w:r>
                    <w:rPr>
                      <w:rFonts w:hint="eastAsia" w:ascii="宋体" w:hAnsi="宋体"/>
                      <w:color w:val="auto"/>
                      <w:highlight w:val="none"/>
                    </w:rPr>
                    <w:t>＜</w:t>
                  </w:r>
                  <w:r>
                    <w:rPr>
                      <w:i/>
                      <w:iCs/>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22DBF9F9">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692A387F">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40</w:t>
                  </w:r>
                </w:p>
              </w:tc>
              <w:tc>
                <w:tcPr>
                  <w:tcW w:w="2189" w:type="dxa"/>
                  <w:noWrap w:val="0"/>
                  <w:vAlign w:val="center"/>
                </w:tcPr>
                <w:p w14:paraId="0C3FCBE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singl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71190</w:t>
                  </w:r>
                  <w:r>
                    <w:rPr>
                      <w:rFonts w:hint="eastAsia" w:ascii="Times New Roman" w:hAnsi="Times New Roman" w:eastAsia="宋体" w:cs="Times New Roman"/>
                      <w:color w:val="auto"/>
                      <w:sz w:val="21"/>
                      <w:szCs w:val="21"/>
                      <w:highlight w:val="none"/>
                      <w:u w:val="single"/>
                      <w:lang w:val="en-US" w:eastAsia="zh-CN"/>
                    </w:rPr>
                    <w:t>尾</w:t>
                  </w:r>
                  <w:r>
                    <w:rPr>
                      <w:rFonts w:hint="default" w:ascii="Times New Roman" w:hAnsi="Times New Roman" w:eastAsia="等线" w:cs="Times New Roman"/>
                      <w:i w:val="0"/>
                      <w:iCs w:val="0"/>
                      <w:color w:val="auto"/>
                      <w:kern w:val="0"/>
                      <w:sz w:val="21"/>
                      <w:szCs w:val="21"/>
                      <w:highlight w:val="none"/>
                      <w:u w:val="none"/>
                      <w:lang w:val="en-US" w:eastAsia="zh-CN" w:bidi="ar"/>
                    </w:rPr>
                    <w:t xml:space="preserve"> </w:t>
                  </w:r>
                </w:p>
              </w:tc>
              <w:tc>
                <w:tcPr>
                  <w:tcW w:w="993" w:type="pct"/>
                  <w:vMerge w:val="continue"/>
                  <w:noWrap w:val="0"/>
                  <w:vAlign w:val="center"/>
                </w:tcPr>
                <w:p w14:paraId="73FE9845">
                  <w:pPr>
                    <w:widowControl/>
                    <w:jc w:val="center"/>
                    <w:rPr>
                      <w:rFonts w:eastAsia="等线"/>
                      <w:color w:val="auto"/>
                      <w:sz w:val="21"/>
                      <w:szCs w:val="21"/>
                      <w:highlight w:val="none"/>
                      <w:u w:val="single"/>
                    </w:rPr>
                  </w:pPr>
                </w:p>
              </w:tc>
            </w:tr>
            <w:tr w14:paraId="07E9B0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31" w:type="pct"/>
                  <w:vMerge w:val="continue"/>
                  <w:noWrap w:val="0"/>
                  <w:vAlign w:val="center"/>
                </w:tcPr>
                <w:p w14:paraId="79EC2C7A">
                  <w:pPr>
                    <w:pStyle w:val="220"/>
                    <w:rPr>
                      <w:color w:val="auto"/>
                      <w:highlight w:val="none"/>
                    </w:rPr>
                  </w:pPr>
                </w:p>
              </w:tc>
              <w:tc>
                <w:tcPr>
                  <w:tcW w:w="898" w:type="pct"/>
                  <w:noWrap w:val="0"/>
                  <w:vAlign w:val="center"/>
                </w:tcPr>
                <w:p w14:paraId="25E3F341">
                  <w:pPr>
                    <w:pStyle w:val="220"/>
                    <w:rPr>
                      <w:color w:val="auto"/>
                      <w:highlight w:val="none"/>
                    </w:rPr>
                  </w:pPr>
                  <w:r>
                    <w:rPr>
                      <w:color w:val="auto"/>
                      <w:highlight w:val="none"/>
                    </w:rPr>
                    <w:t>B</w:t>
                  </w:r>
                  <w:r>
                    <w:rPr>
                      <w:i/>
                      <w:iCs/>
                      <w:color w:val="auto"/>
                      <w:highlight w:val="none"/>
                      <w:vertAlign w:val="subscript"/>
                    </w:rPr>
                    <w:t>i</w:t>
                  </w:r>
                  <w:r>
                    <w:rPr>
                      <w:rFonts w:hint="eastAsia" w:ascii="宋体" w:hAnsi="宋体"/>
                      <w:color w:val="auto"/>
                      <w:highlight w:val="none"/>
                    </w:rPr>
                    <w:t>＞</w:t>
                  </w:r>
                  <w:r>
                    <w:rPr>
                      <w:color w:val="auto"/>
                      <w:highlight w:val="none"/>
                    </w:rPr>
                    <w:t>9</w:t>
                  </w:r>
                  <w:r>
                    <w:rPr>
                      <w:rFonts w:hint="eastAsia" w:ascii="宋体" w:hAnsi="宋体"/>
                      <w:color w:val="auto"/>
                      <w:highlight w:val="none"/>
                    </w:rPr>
                    <w:t>倍</w:t>
                  </w:r>
                </w:p>
              </w:tc>
              <w:tc>
                <w:tcPr>
                  <w:tcW w:w="877" w:type="pct"/>
                  <w:vMerge w:val="continue"/>
                  <w:noWrap w:val="0"/>
                  <w:vAlign w:val="center"/>
                </w:tcPr>
                <w:p w14:paraId="2A0D9C02">
                  <w:pPr>
                    <w:widowControl/>
                    <w:jc w:val="center"/>
                    <w:rPr>
                      <w:rFonts w:hint="default" w:ascii="Times New Roman" w:hAnsi="Times New Roman" w:eastAsia="等线" w:cs="Times New Roman"/>
                      <w:color w:val="auto"/>
                      <w:sz w:val="21"/>
                      <w:szCs w:val="21"/>
                      <w:highlight w:val="none"/>
                      <w:u w:val="single"/>
                    </w:rPr>
                  </w:pPr>
                </w:p>
              </w:tc>
              <w:tc>
                <w:tcPr>
                  <w:tcW w:w="605" w:type="pct"/>
                  <w:noWrap w:val="0"/>
                  <w:vAlign w:val="center"/>
                </w:tcPr>
                <w:p w14:paraId="7273151B">
                  <w:pPr>
                    <w:pStyle w:val="22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60</w:t>
                  </w:r>
                </w:p>
              </w:tc>
              <w:tc>
                <w:tcPr>
                  <w:tcW w:w="2189" w:type="dxa"/>
                  <w:noWrap w:val="0"/>
                  <w:vAlign w:val="center"/>
                </w:tcPr>
                <w:p w14:paraId="117D85C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singl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36926</w:t>
                  </w:r>
                  <w:r>
                    <w:rPr>
                      <w:rFonts w:hint="eastAsia" w:ascii="Times New Roman" w:hAnsi="Times New Roman" w:eastAsia="宋体" w:cs="Times New Roman"/>
                      <w:color w:val="auto"/>
                      <w:sz w:val="21"/>
                      <w:szCs w:val="21"/>
                      <w:highlight w:val="none"/>
                      <w:u w:val="single"/>
                      <w:lang w:val="en-US" w:eastAsia="zh-CN"/>
                    </w:rPr>
                    <w:t>尾</w:t>
                  </w:r>
                  <w:r>
                    <w:rPr>
                      <w:rFonts w:hint="default" w:ascii="Times New Roman" w:hAnsi="Times New Roman" w:eastAsia="等线" w:cs="Times New Roman"/>
                      <w:i w:val="0"/>
                      <w:iCs w:val="0"/>
                      <w:color w:val="auto"/>
                      <w:kern w:val="0"/>
                      <w:sz w:val="21"/>
                      <w:szCs w:val="21"/>
                      <w:highlight w:val="none"/>
                      <w:u w:val="none"/>
                      <w:lang w:val="en-US" w:eastAsia="zh-CN" w:bidi="ar"/>
                    </w:rPr>
                    <w:t xml:space="preserve"> </w:t>
                  </w:r>
                </w:p>
              </w:tc>
              <w:tc>
                <w:tcPr>
                  <w:tcW w:w="993" w:type="pct"/>
                  <w:vMerge w:val="continue"/>
                  <w:noWrap w:val="0"/>
                  <w:vAlign w:val="center"/>
                </w:tcPr>
                <w:p w14:paraId="6FD7E46A">
                  <w:pPr>
                    <w:widowControl/>
                    <w:jc w:val="center"/>
                    <w:rPr>
                      <w:rFonts w:eastAsia="等线"/>
                      <w:color w:val="auto"/>
                      <w:sz w:val="21"/>
                      <w:szCs w:val="21"/>
                      <w:highlight w:val="none"/>
                      <w:u w:val="single"/>
                    </w:rPr>
                  </w:pPr>
                </w:p>
              </w:tc>
            </w:tr>
          </w:tbl>
          <w:p w14:paraId="5D1B74F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③海洋生物资源损失计算汇总</w:t>
            </w:r>
          </w:p>
          <w:p w14:paraId="56840FCB">
            <w:pPr>
              <w:pStyle w:val="20"/>
              <w:spacing w:line="360" w:lineRule="auto"/>
              <w:ind w:firstLine="480" w:firstLineChars="200"/>
              <w:rPr>
                <w:rFonts w:hint="default"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本工程建设疏浚直接破坏和悬浮泥沙损害的海洋生物资源量汇总如下。</w:t>
            </w:r>
          </w:p>
          <w:p w14:paraId="118895F1">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表4.1-10疏浚施工造成的海洋资源损失量汇总表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2293"/>
              <w:gridCol w:w="2294"/>
              <w:gridCol w:w="2294"/>
            </w:tblGrid>
            <w:tr w14:paraId="6C01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517A0E9E">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生物类型</w:t>
                  </w:r>
                </w:p>
              </w:tc>
              <w:tc>
                <w:tcPr>
                  <w:tcW w:w="1250" w:type="pct"/>
                  <w:noWrap w:val="0"/>
                  <w:vAlign w:val="center"/>
                </w:tcPr>
                <w:p w14:paraId="7149DC81">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疏浚占用</w:t>
                  </w:r>
                </w:p>
              </w:tc>
              <w:tc>
                <w:tcPr>
                  <w:tcW w:w="1250" w:type="pct"/>
                  <w:noWrap w:val="0"/>
                  <w:vAlign w:val="center"/>
                </w:tcPr>
                <w:p w14:paraId="7C759C9A">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悬浮泥沙</w:t>
                  </w:r>
                </w:p>
              </w:tc>
              <w:tc>
                <w:tcPr>
                  <w:tcW w:w="1250" w:type="pct"/>
                  <w:noWrap w:val="0"/>
                  <w:vAlign w:val="center"/>
                </w:tcPr>
                <w:p w14:paraId="2701E312">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合计</w:t>
                  </w:r>
                </w:p>
              </w:tc>
            </w:tr>
            <w:tr w14:paraId="1DEA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25EDC17D">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底栖生物（t）</w:t>
                  </w:r>
                </w:p>
              </w:tc>
              <w:tc>
                <w:tcPr>
                  <w:tcW w:w="1250" w:type="pct"/>
                  <w:noWrap w:val="0"/>
                  <w:vAlign w:val="center"/>
                </w:tcPr>
                <w:p w14:paraId="39413C9F">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4.3047</w:t>
                  </w:r>
                </w:p>
              </w:tc>
              <w:tc>
                <w:tcPr>
                  <w:tcW w:w="1250" w:type="pct"/>
                  <w:noWrap w:val="0"/>
                  <w:vAlign w:val="center"/>
                </w:tcPr>
                <w:p w14:paraId="27971961">
                  <w:pPr>
                    <w:pStyle w:val="20"/>
                    <w:spacing w:line="36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w:t>
                  </w:r>
                </w:p>
              </w:tc>
              <w:tc>
                <w:tcPr>
                  <w:tcW w:w="2142" w:type="dxa"/>
                  <w:noWrap w:val="0"/>
                  <w:vAlign w:val="center"/>
                </w:tcPr>
                <w:p w14:paraId="1E73AD1E">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4.3047</w:t>
                  </w:r>
                </w:p>
              </w:tc>
            </w:tr>
            <w:tr w14:paraId="521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4D70C6F9">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u w:val="none"/>
                      <w:lang w:eastAsia="zh-CN"/>
                    </w:rPr>
                    <w:t>浮游植物（</w:t>
                  </w:r>
                  <w:r>
                    <w:rPr>
                      <w:rFonts w:hint="default" w:ascii="Times New Roman" w:hAnsi="Times New Roman" w:eastAsia="宋体" w:cs="Times New Roman"/>
                      <w:color w:val="auto"/>
                      <w:sz w:val="21"/>
                      <w:szCs w:val="21"/>
                      <w:highlight w:val="none"/>
                      <w:u w:val="single"/>
                      <w:shd w:val="clear" w:color="auto" w:fill="auto"/>
                    </w:rPr>
                    <w:t>×10</w:t>
                  </w:r>
                  <w:r>
                    <w:rPr>
                      <w:rFonts w:hint="eastAsia" w:cs="Times New Roman"/>
                      <w:color w:val="auto"/>
                      <w:sz w:val="21"/>
                      <w:szCs w:val="21"/>
                      <w:highlight w:val="none"/>
                      <w:u w:val="single"/>
                      <w:shd w:val="clear" w:color="auto" w:fill="auto"/>
                      <w:vertAlign w:val="superscript"/>
                      <w:lang w:val="en-US" w:eastAsia="zh-CN"/>
                    </w:rPr>
                    <w:t>12</w:t>
                  </w:r>
                  <w:r>
                    <w:rPr>
                      <w:rFonts w:hint="default" w:ascii="Times New Roman" w:hAnsi="Times New Roman" w:eastAsia="宋体" w:cs="Times New Roman"/>
                      <w:color w:val="auto"/>
                      <w:sz w:val="21"/>
                      <w:szCs w:val="21"/>
                      <w:highlight w:val="none"/>
                      <w:u w:val="single"/>
                      <w:shd w:val="clear" w:color="auto" w:fill="auto"/>
                      <w:lang w:val="en-US" w:eastAsia="zh-CN"/>
                    </w:rPr>
                    <w:t>个</w:t>
                  </w:r>
                  <w:r>
                    <w:rPr>
                      <w:rFonts w:hint="default" w:ascii="Times New Roman" w:hAnsi="Times New Roman" w:cs="Times New Roman"/>
                      <w:color w:val="auto"/>
                      <w:highlight w:val="none"/>
                      <w:u w:val="none"/>
                      <w:lang w:eastAsia="zh-CN"/>
                    </w:rPr>
                    <w:t>）</w:t>
                  </w:r>
                </w:p>
              </w:tc>
              <w:tc>
                <w:tcPr>
                  <w:tcW w:w="1250" w:type="pct"/>
                  <w:noWrap w:val="0"/>
                  <w:vAlign w:val="center"/>
                </w:tcPr>
                <w:p w14:paraId="18C61492">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1250" w:type="pct"/>
                  <w:noWrap w:val="0"/>
                  <w:vAlign w:val="center"/>
                </w:tcPr>
                <w:p w14:paraId="6DD49AD1">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14.07</w:t>
                  </w:r>
                </w:p>
              </w:tc>
              <w:tc>
                <w:tcPr>
                  <w:tcW w:w="1994" w:type="dxa"/>
                  <w:noWrap w:val="0"/>
                  <w:vAlign w:val="center"/>
                </w:tcPr>
                <w:p w14:paraId="7AC8A543">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14.07</w:t>
                  </w:r>
                </w:p>
              </w:tc>
            </w:tr>
            <w:tr w14:paraId="56F9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715CE87B">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浮游动物（</w:t>
                  </w:r>
                  <w:r>
                    <w:rPr>
                      <w:rFonts w:hint="default" w:ascii="Times New Roman" w:hAnsi="Times New Roman" w:eastAsia="宋体" w:cs="Times New Roman"/>
                      <w:color w:val="auto"/>
                      <w:sz w:val="24"/>
                      <w:szCs w:val="24"/>
                      <w:highlight w:val="none"/>
                      <w:vertAlign w:val="baseline"/>
                      <w:lang w:val="en-US" w:eastAsia="zh-CN"/>
                    </w:rPr>
                    <w:t>t</w:t>
                  </w:r>
                  <w:r>
                    <w:rPr>
                      <w:rFonts w:hint="default" w:ascii="Times New Roman" w:hAnsi="Times New Roman" w:cs="Times New Roman"/>
                      <w:color w:val="auto"/>
                      <w:highlight w:val="none"/>
                      <w:lang w:eastAsia="zh-CN"/>
                    </w:rPr>
                    <w:t>）</w:t>
                  </w:r>
                </w:p>
              </w:tc>
              <w:tc>
                <w:tcPr>
                  <w:tcW w:w="1250" w:type="pct"/>
                  <w:noWrap w:val="0"/>
                  <w:vAlign w:val="center"/>
                </w:tcPr>
                <w:p w14:paraId="7C970278">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2142" w:type="dxa"/>
                  <w:noWrap w:val="0"/>
                  <w:vAlign w:val="center"/>
                </w:tcPr>
                <w:p w14:paraId="5C48160F">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0.867</w:t>
                  </w:r>
                </w:p>
              </w:tc>
              <w:tc>
                <w:tcPr>
                  <w:tcW w:w="1994" w:type="dxa"/>
                  <w:noWrap w:val="0"/>
                  <w:vAlign w:val="center"/>
                </w:tcPr>
                <w:p w14:paraId="05206858">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0.867</w:t>
                  </w:r>
                </w:p>
              </w:tc>
            </w:tr>
            <w:tr w14:paraId="3F9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00CEEC59">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鱼卵</w:t>
                  </w:r>
                  <w:r>
                    <w:rPr>
                      <w:rFonts w:hint="default" w:ascii="Times New Roman" w:hAnsi="Times New Roman" w:eastAsia="宋体" w:cs="Times New Roman"/>
                      <w:color w:val="auto"/>
                      <w:sz w:val="21"/>
                      <w:szCs w:val="21"/>
                      <w:highlight w:val="none"/>
                      <w:lang w:val="en-US" w:eastAsia="zh-CN"/>
                    </w:rPr>
                    <w:t>（粒）</w:t>
                  </w:r>
                </w:p>
              </w:tc>
              <w:tc>
                <w:tcPr>
                  <w:tcW w:w="1250" w:type="pct"/>
                  <w:noWrap w:val="0"/>
                  <w:vAlign w:val="center"/>
                </w:tcPr>
                <w:p w14:paraId="12034F96">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2142" w:type="dxa"/>
                  <w:noWrap w:val="0"/>
                  <w:vAlign w:val="center"/>
                </w:tcPr>
                <w:p w14:paraId="5D24A24B">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86589</w:t>
                  </w:r>
                </w:p>
              </w:tc>
              <w:tc>
                <w:tcPr>
                  <w:tcW w:w="1994" w:type="dxa"/>
                  <w:noWrap w:val="0"/>
                  <w:vAlign w:val="center"/>
                </w:tcPr>
                <w:p w14:paraId="7F0200C8">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86589</w:t>
                  </w:r>
                </w:p>
              </w:tc>
            </w:tr>
            <w:tr w14:paraId="4C9A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14:paraId="5C2C8165">
                  <w:pPr>
                    <w:pStyle w:val="22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highlight w:val="none"/>
                      <w:lang w:eastAsia="zh-CN"/>
                    </w:rPr>
                    <w:t>鱼仔（</w:t>
                  </w:r>
                  <w:r>
                    <w:rPr>
                      <w:rFonts w:hint="eastAsia" w:cs="Times New Roman"/>
                      <w:color w:val="auto"/>
                      <w:highlight w:val="none"/>
                      <w:lang w:val="en-US" w:eastAsia="zh-CN"/>
                    </w:rPr>
                    <w:t>尾</w:t>
                  </w:r>
                  <w:r>
                    <w:rPr>
                      <w:rFonts w:hint="default" w:ascii="Times New Roman" w:hAnsi="Times New Roman" w:cs="Times New Roman"/>
                      <w:color w:val="auto"/>
                      <w:highlight w:val="none"/>
                      <w:lang w:eastAsia="zh-CN"/>
                    </w:rPr>
                    <w:t>）</w:t>
                  </w:r>
                </w:p>
              </w:tc>
              <w:tc>
                <w:tcPr>
                  <w:tcW w:w="1250" w:type="pct"/>
                  <w:noWrap w:val="0"/>
                  <w:vAlign w:val="center"/>
                </w:tcPr>
                <w:p w14:paraId="08F811E5">
                  <w:pPr>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w:t>
                  </w:r>
                </w:p>
              </w:tc>
              <w:tc>
                <w:tcPr>
                  <w:tcW w:w="2142" w:type="dxa"/>
                  <w:noWrap w:val="0"/>
                  <w:vAlign w:val="center"/>
                </w:tcPr>
                <w:p w14:paraId="586E771B">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160915</w:t>
                  </w:r>
                </w:p>
              </w:tc>
              <w:tc>
                <w:tcPr>
                  <w:tcW w:w="1994" w:type="dxa"/>
                  <w:noWrap w:val="0"/>
                  <w:vAlign w:val="center"/>
                </w:tcPr>
                <w:p w14:paraId="41D57937">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160915</w:t>
                  </w:r>
                </w:p>
              </w:tc>
            </w:tr>
          </w:tbl>
          <w:p w14:paraId="5863DE7C">
            <w:pPr>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④海洋生物资源直接经济损失</w:t>
            </w:r>
          </w:p>
          <w:p w14:paraId="2D26EE4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eastAsia" w:ascii="宋体" w:hAnsi="Courier New" w:eastAsia="宋体" w:cs="Times New Roman"/>
                <w:color w:val="auto"/>
                <w:sz w:val="24"/>
                <w:szCs w:val="24"/>
                <w:highlight w:val="none"/>
                <w:lang w:val="en-US" w:eastAsia="zh-CN"/>
              </w:rPr>
              <w:t>鱼卵、仔稚鱼经济损失计算</w:t>
            </w:r>
          </w:p>
          <w:p w14:paraId="62FB1037">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鱼卵、仔稚鱼的经济价值应折算成鱼苗进行计算。鱼卵、仔稚鱼的经济价值按以下公式计算：</w:t>
            </w:r>
          </w:p>
          <w:p w14:paraId="25289C77">
            <w:pPr>
              <w:keepNext w:val="0"/>
              <w:keepLines w:val="0"/>
              <w:widowControl/>
              <w:suppressLineNumbers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M=W×P×E</w:t>
            </w:r>
          </w:p>
          <w:p w14:paraId="5A395D4F">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式中：</w:t>
            </w:r>
          </w:p>
          <w:p w14:paraId="5EBE6A1B">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M——鱼卵和仔稚鱼经济损失金额，元； </w:t>
            </w:r>
          </w:p>
          <w:p w14:paraId="65110B75">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W——鱼卵和仔稚鱼损失量；千克（kg）；</w:t>
            </w:r>
          </w:p>
          <w:p w14:paraId="679F2731">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P——鱼卵和仔稚鱼折算为鱼苗的换算比例，鱼卵生长到商品鱼苗按1%成活率计算，仔稚鱼生长到商品鱼苗按5%成活率计算，单位为百分比（%）；</w:t>
            </w:r>
          </w:p>
          <w:p w14:paraId="7AFA7C96">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E——鱼苗的商品价格，根据调查和询问物价部门得知商品鱼苗的平均价格按1.6元/尾计，元/kg；</w:t>
            </w:r>
          </w:p>
          <w:p w14:paraId="0DF08111">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B.补偿年限</w:t>
            </w:r>
          </w:p>
          <w:p w14:paraId="5F8B5EF7">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根据《建设项目对海洋生物资源影响评价技术规程》（SC/T9110-2007）：</w:t>
            </w:r>
          </w:p>
          <w:p w14:paraId="1E9EB443">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Ⅰ占用渔业水域的生物资源损害补偿，占用年限低于3年的，按3年补偿；占用年限3~20年的，按实际占用年限补偿；占用年限20年以上的，按不低于20年补偿。</w:t>
            </w:r>
          </w:p>
          <w:p w14:paraId="3213F9F0">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Ⅱ一次性生物资源的损害补偿为一次性损害额的3倍。</w:t>
            </w:r>
          </w:p>
          <w:p w14:paraId="107C69AB">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Ⅲ持续性生物资源损害的补偿，实际影响年限低于3年的，按3年补偿；实际影响年限3~20年的，按实际占用年限补偿；实际影响年限20年以上的，按不低于20年补偿。本工程实际影响年限低于3年，本次生态补偿按3年计。</w:t>
            </w:r>
          </w:p>
          <w:p w14:paraId="30A081F3">
            <w:pPr>
              <w:pStyle w:val="20"/>
              <w:numPr>
                <w:ilvl w:val="0"/>
                <w:numId w:val="18"/>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海洋生物资源补偿计算</w:t>
            </w:r>
          </w:p>
          <w:p w14:paraId="038851FE">
            <w:pPr>
              <w:pStyle w:val="2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建设阶段造成浮游动物、鱼卵、仔鱼、成鱼损失及底栖生物的价值如下表所示。鱼卵和仔稚鱼折算为鱼苗进行价值评估，按照《建设项目对海洋生物资源影响评价技术规程》（SC/T9110-2007），鱼卵生长到商品鱼苗按照1%成活率计算，仔稚鱼生长到商品鱼按5%成活率计算，浮游动物损失量按照营养级十分之一转化定律换算为渔业资源。参照《2024中国渔业统计年鉴》：2023年广西海洋捕捞经济总产值924076万元和海洋捕捞总产量475555吨，计算得出海洋水产品单价约1.94万元/t，因此，本报告对海洋生物等造成损失的货币化评估的单价均采用1.94万元/t。</w:t>
            </w:r>
          </w:p>
          <w:p w14:paraId="5BB2315C">
            <w:pPr>
              <w:pStyle w:val="218"/>
              <w:numPr>
                <w:ilvl w:val="0"/>
                <w:numId w:val="0"/>
              </w:numPr>
              <w:tabs>
                <w:tab w:val="left" w:pos="0"/>
              </w:tabs>
              <w:ind w:left="442" w:leftChars="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表4.1-</w:t>
            </w:r>
            <w:r>
              <w:rPr>
                <w:rFonts w:hint="eastAsia" w:ascii="Times New Roman" w:hAnsi="Times New Roman" w:eastAsia="宋体" w:cs="Times New Roman"/>
                <w:b w:val="0"/>
                <w:bCs w:val="0"/>
                <w:color w:val="auto"/>
                <w:kern w:val="2"/>
                <w:sz w:val="21"/>
                <w:szCs w:val="21"/>
                <w:highlight w:val="none"/>
                <w:lang w:val="en-US" w:eastAsia="zh-CN" w:bidi="ar-SA"/>
              </w:rPr>
              <w:t>11</w:t>
            </w:r>
            <w:r>
              <w:rPr>
                <w:rFonts w:hint="eastAsia" w:ascii="Times New Roman" w:hAnsi="Times New Roman" w:eastAsia="宋体" w:cs="Times New Roman"/>
                <w:b/>
                <w:bCs/>
                <w:color w:val="auto"/>
                <w:kern w:val="2"/>
                <w:sz w:val="21"/>
                <w:szCs w:val="21"/>
                <w:highlight w:val="none"/>
                <w:lang w:val="en-US" w:eastAsia="zh-CN" w:bidi="ar-SA"/>
              </w:rPr>
              <w:t>生物损失量及生态补偿金额</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084"/>
              <w:gridCol w:w="1094"/>
              <w:gridCol w:w="956"/>
              <w:gridCol w:w="1646"/>
              <w:gridCol w:w="1319"/>
              <w:gridCol w:w="1305"/>
            </w:tblGrid>
            <w:tr w14:paraId="6B6E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9" w:type="pct"/>
                  <w:noWrap w:val="0"/>
                  <w:vAlign w:val="center"/>
                </w:tcPr>
                <w:p w14:paraId="6CC69CC2">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工程类型</w:t>
                  </w:r>
                </w:p>
              </w:tc>
              <w:tc>
                <w:tcPr>
                  <w:tcW w:w="1136" w:type="pct"/>
                  <w:noWrap w:val="0"/>
                  <w:vAlign w:val="center"/>
                </w:tcPr>
                <w:p w14:paraId="1B1F8540">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生物种类</w:t>
                  </w:r>
                </w:p>
              </w:tc>
              <w:tc>
                <w:tcPr>
                  <w:tcW w:w="596" w:type="pct"/>
                  <w:noWrap w:val="0"/>
                  <w:vAlign w:val="center"/>
                </w:tcPr>
                <w:p w14:paraId="2FF8BB0C">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损失量</w:t>
                  </w:r>
                </w:p>
              </w:tc>
              <w:tc>
                <w:tcPr>
                  <w:tcW w:w="521" w:type="pct"/>
                  <w:noWrap w:val="0"/>
                  <w:vAlign w:val="center"/>
                </w:tcPr>
                <w:p w14:paraId="5F17E4EC">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转换系数</w:t>
                  </w:r>
                </w:p>
              </w:tc>
              <w:tc>
                <w:tcPr>
                  <w:tcW w:w="897" w:type="pct"/>
                  <w:noWrap w:val="0"/>
                  <w:vAlign w:val="center"/>
                </w:tcPr>
                <w:p w14:paraId="3BDDF451">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单价</w:t>
                  </w:r>
                </w:p>
              </w:tc>
              <w:tc>
                <w:tcPr>
                  <w:tcW w:w="718" w:type="pct"/>
                  <w:noWrap w:val="0"/>
                  <w:vAlign w:val="center"/>
                </w:tcPr>
                <w:p w14:paraId="0B16E2A4">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补偿年限/倍</w:t>
                  </w:r>
                </w:p>
              </w:tc>
              <w:tc>
                <w:tcPr>
                  <w:tcW w:w="711" w:type="pct"/>
                  <w:noWrap w:val="0"/>
                  <w:vAlign w:val="center"/>
                </w:tcPr>
                <w:p w14:paraId="1C256B38">
                  <w:pPr>
                    <w:pStyle w:val="20"/>
                    <w:keepNext w:val="0"/>
                    <w:keepLines w:val="0"/>
                    <w:pageBreakBefore w:val="0"/>
                    <w:numPr>
                      <w:ilvl w:val="0"/>
                      <w:numId w:val="0"/>
                    </w:numPr>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补偿金额（万元）</w:t>
                  </w:r>
                </w:p>
              </w:tc>
            </w:tr>
            <w:tr w14:paraId="2812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9" w:type="pct"/>
                  <w:vMerge w:val="restart"/>
                  <w:noWrap w:val="0"/>
                  <w:vAlign w:val="center"/>
                </w:tcPr>
                <w:p w14:paraId="110EBC25">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疏浚施工</w:t>
                  </w:r>
                </w:p>
              </w:tc>
              <w:tc>
                <w:tcPr>
                  <w:tcW w:w="1136" w:type="pct"/>
                  <w:noWrap w:val="0"/>
                  <w:vAlign w:val="center"/>
                </w:tcPr>
                <w:p w14:paraId="01F72D05">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底栖生物（t）</w:t>
                  </w:r>
                </w:p>
              </w:tc>
              <w:tc>
                <w:tcPr>
                  <w:tcW w:w="596" w:type="pct"/>
                  <w:noWrap w:val="0"/>
                  <w:vAlign w:val="center"/>
                </w:tcPr>
                <w:p w14:paraId="12AEAB0E">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4.3047</w:t>
                  </w:r>
                </w:p>
              </w:tc>
              <w:tc>
                <w:tcPr>
                  <w:tcW w:w="521" w:type="pct"/>
                  <w:noWrap w:val="0"/>
                  <w:vAlign w:val="center"/>
                </w:tcPr>
                <w:p w14:paraId="5FDA0870">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97" w:type="pct"/>
                  <w:noWrap w:val="0"/>
                  <w:vAlign w:val="center"/>
                </w:tcPr>
                <w:p w14:paraId="25E15E36">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万元/t</w:t>
                  </w:r>
                </w:p>
              </w:tc>
              <w:tc>
                <w:tcPr>
                  <w:tcW w:w="718" w:type="pct"/>
                  <w:vMerge w:val="restart"/>
                  <w:noWrap w:val="0"/>
                  <w:vAlign w:val="center"/>
                </w:tcPr>
                <w:p w14:paraId="0CA412AF">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711" w:type="pct"/>
                  <w:noWrap w:val="0"/>
                  <w:vAlign w:val="center"/>
                </w:tcPr>
                <w:p w14:paraId="747085E0">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 xml:space="preserve">25.05 </w:t>
                  </w:r>
                </w:p>
              </w:tc>
            </w:tr>
            <w:tr w14:paraId="2387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9" w:type="pct"/>
                  <w:vMerge w:val="continue"/>
                  <w:noWrap w:val="0"/>
                  <w:vAlign w:val="center"/>
                </w:tcPr>
                <w:p w14:paraId="6CF590D5">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25D887CA">
                  <w:pPr>
                    <w:pStyle w:val="2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浮游动物（</w:t>
                  </w:r>
                  <w:r>
                    <w:rPr>
                      <w:rFonts w:hint="default" w:ascii="Times New Roman" w:hAnsi="Times New Roman" w:eastAsia="宋体"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lang w:eastAsia="zh-CN"/>
                    </w:rPr>
                    <w:t>）</w:t>
                  </w:r>
                </w:p>
              </w:tc>
              <w:tc>
                <w:tcPr>
                  <w:tcW w:w="1094" w:type="dxa"/>
                  <w:noWrap w:val="0"/>
                  <w:vAlign w:val="center"/>
                </w:tcPr>
                <w:p w14:paraId="52D19DB2">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0.867</w:t>
                  </w:r>
                </w:p>
              </w:tc>
              <w:tc>
                <w:tcPr>
                  <w:tcW w:w="521" w:type="pct"/>
                  <w:noWrap w:val="0"/>
                  <w:vAlign w:val="center"/>
                </w:tcPr>
                <w:p w14:paraId="614B2DFF">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w:t>
                  </w:r>
                </w:p>
              </w:tc>
              <w:tc>
                <w:tcPr>
                  <w:tcW w:w="897" w:type="pct"/>
                  <w:noWrap w:val="0"/>
                  <w:vAlign w:val="center"/>
                </w:tcPr>
                <w:p w14:paraId="369159AF">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1.94万元/t</w:t>
                  </w:r>
                </w:p>
              </w:tc>
              <w:tc>
                <w:tcPr>
                  <w:tcW w:w="718" w:type="pct"/>
                  <w:vMerge w:val="continue"/>
                  <w:noWrap w:val="0"/>
                  <w:vAlign w:val="center"/>
                </w:tcPr>
                <w:p w14:paraId="4ED08928">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305" w:type="dxa"/>
                  <w:noWrap w:val="0"/>
                  <w:vAlign w:val="center"/>
                </w:tcPr>
                <w:p w14:paraId="2611184A">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0.50</w:t>
                  </w:r>
                </w:p>
              </w:tc>
            </w:tr>
            <w:tr w14:paraId="55B2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9" w:type="pct"/>
                  <w:vMerge w:val="continue"/>
                  <w:noWrap w:val="0"/>
                  <w:vAlign w:val="center"/>
                </w:tcPr>
                <w:p w14:paraId="5AF8BBF2">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7937ADE9">
                  <w:pPr>
                    <w:pStyle w:val="2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鱼卵（</w:t>
                  </w:r>
                  <w:r>
                    <w:rPr>
                      <w:rFonts w:hint="default" w:ascii="Times New Roman" w:hAnsi="Times New Roman" w:eastAsia="宋体" w:cs="Times New Roman"/>
                      <w:color w:val="auto"/>
                      <w:sz w:val="21"/>
                      <w:szCs w:val="21"/>
                      <w:highlight w:val="none"/>
                      <w:lang w:val="en-US" w:eastAsia="zh-CN"/>
                    </w:rPr>
                    <w:t>粒</w:t>
                  </w:r>
                  <w:r>
                    <w:rPr>
                      <w:rFonts w:hint="default" w:ascii="Times New Roman" w:hAnsi="Times New Roman" w:eastAsia="宋体" w:cs="Times New Roman"/>
                      <w:color w:val="auto"/>
                      <w:sz w:val="21"/>
                      <w:szCs w:val="21"/>
                      <w:highlight w:val="none"/>
                      <w:lang w:eastAsia="zh-CN"/>
                    </w:rPr>
                    <w:t>）</w:t>
                  </w:r>
                </w:p>
              </w:tc>
              <w:tc>
                <w:tcPr>
                  <w:tcW w:w="1094" w:type="dxa"/>
                  <w:noWrap w:val="0"/>
                  <w:vAlign w:val="center"/>
                </w:tcPr>
                <w:p w14:paraId="4A7FC9CB">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86589</w:t>
                  </w:r>
                </w:p>
              </w:tc>
              <w:tc>
                <w:tcPr>
                  <w:tcW w:w="521" w:type="pct"/>
                  <w:noWrap w:val="0"/>
                  <w:vAlign w:val="center"/>
                </w:tcPr>
                <w:p w14:paraId="15E43AB7">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w:t>
                  </w:r>
                </w:p>
              </w:tc>
              <w:tc>
                <w:tcPr>
                  <w:tcW w:w="897" w:type="pct"/>
                  <w:noWrap w:val="0"/>
                  <w:vAlign w:val="center"/>
                </w:tcPr>
                <w:p w14:paraId="60618161">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1.6元/尾</w:t>
                  </w:r>
                </w:p>
              </w:tc>
              <w:tc>
                <w:tcPr>
                  <w:tcW w:w="718" w:type="pct"/>
                  <w:vMerge w:val="continue"/>
                  <w:noWrap w:val="0"/>
                  <w:vAlign w:val="center"/>
                </w:tcPr>
                <w:p w14:paraId="726A9018">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305" w:type="dxa"/>
                  <w:noWrap w:val="0"/>
                  <w:vAlign w:val="center"/>
                </w:tcPr>
                <w:p w14:paraId="336EDC2D">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0.42</w:t>
                  </w:r>
                </w:p>
              </w:tc>
            </w:tr>
            <w:tr w14:paraId="3CD2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19" w:type="pct"/>
                  <w:vMerge w:val="continue"/>
                  <w:noWrap w:val="0"/>
                  <w:vAlign w:val="center"/>
                </w:tcPr>
                <w:p w14:paraId="68A3B51C">
                  <w:pPr>
                    <w:pStyle w:val="20"/>
                    <w:keepNext w:val="0"/>
                    <w:keepLines w:val="0"/>
                    <w:pageBreakBefore w:val="0"/>
                    <w:numPr>
                      <w:ilvl w:val="0"/>
                      <w:numId w:val="0"/>
                    </w:numPr>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136" w:type="pct"/>
                  <w:noWrap w:val="0"/>
                  <w:vAlign w:val="center"/>
                </w:tcPr>
                <w:p w14:paraId="5515B2BF">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鱼仔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尾</w:t>
                  </w:r>
                  <w:r>
                    <w:rPr>
                      <w:rFonts w:hint="default" w:ascii="Times New Roman" w:hAnsi="Times New Roman" w:eastAsia="宋体" w:cs="Times New Roman"/>
                      <w:color w:val="auto"/>
                      <w:sz w:val="21"/>
                      <w:szCs w:val="21"/>
                      <w:highlight w:val="none"/>
                      <w:lang w:eastAsia="zh-CN"/>
                    </w:rPr>
                    <w:t>）</w:t>
                  </w:r>
                </w:p>
              </w:tc>
              <w:tc>
                <w:tcPr>
                  <w:tcW w:w="1094" w:type="dxa"/>
                  <w:shd w:val="clear" w:color="auto" w:fill="auto"/>
                  <w:noWrap w:val="0"/>
                  <w:vAlign w:val="center"/>
                </w:tcPr>
                <w:p w14:paraId="2FB30AD0">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160915</w:t>
                  </w:r>
                </w:p>
              </w:tc>
              <w:tc>
                <w:tcPr>
                  <w:tcW w:w="521" w:type="pct"/>
                  <w:noWrap w:val="0"/>
                  <w:vAlign w:val="center"/>
                </w:tcPr>
                <w:p w14:paraId="555F9852">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0.05</w:t>
                  </w:r>
                </w:p>
              </w:tc>
              <w:tc>
                <w:tcPr>
                  <w:tcW w:w="897" w:type="pct"/>
                  <w:noWrap w:val="0"/>
                  <w:vAlign w:val="center"/>
                </w:tcPr>
                <w:p w14:paraId="0E617865">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1.6元/尾</w:t>
                  </w:r>
                </w:p>
              </w:tc>
              <w:tc>
                <w:tcPr>
                  <w:tcW w:w="718" w:type="pct"/>
                  <w:vMerge w:val="continue"/>
                  <w:noWrap w:val="0"/>
                  <w:vAlign w:val="center"/>
                </w:tcPr>
                <w:p w14:paraId="170A5838">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305" w:type="dxa"/>
                  <w:noWrap w:val="0"/>
                  <w:vAlign w:val="center"/>
                </w:tcPr>
                <w:p w14:paraId="168B6190">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3.86</w:t>
                  </w:r>
                </w:p>
              </w:tc>
            </w:tr>
            <w:tr w14:paraId="4C20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288" w:type="pct"/>
                  <w:gridSpan w:val="6"/>
                  <w:noWrap w:val="0"/>
                  <w:vAlign w:val="center"/>
                </w:tcPr>
                <w:p w14:paraId="7AD8786B">
                  <w:pPr>
                    <w:pStyle w:val="20"/>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合计</w:t>
                  </w:r>
                </w:p>
              </w:tc>
              <w:tc>
                <w:tcPr>
                  <w:tcW w:w="1305" w:type="dxa"/>
                  <w:noWrap w:val="0"/>
                  <w:vAlign w:val="center"/>
                </w:tcPr>
                <w:p w14:paraId="6312EADC">
                  <w:pPr>
                    <w:pStyle w:val="20"/>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29.84</w:t>
                  </w:r>
                </w:p>
              </w:tc>
            </w:tr>
          </w:tbl>
          <w:p w14:paraId="2312A542">
            <w:pPr>
              <w:pStyle w:val="20"/>
              <w:spacing w:line="360" w:lineRule="auto"/>
              <w:ind w:firstLine="480" w:firstLineChars="200"/>
              <w:rPr>
                <w:rFonts w:hint="eastAsia"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建设单位需投入生态补偿金额共计</w:t>
            </w:r>
            <w:r>
              <w:rPr>
                <w:rFonts w:hint="eastAsia" w:ascii="Times New Roman" w:hAnsi="Times New Roman" w:cs="Times New Roman"/>
                <w:color w:val="auto"/>
                <w:sz w:val="24"/>
                <w:szCs w:val="24"/>
                <w:highlight w:val="none"/>
                <w:u w:val="single"/>
                <w:lang w:val="en-US" w:eastAsia="zh-CN"/>
              </w:rPr>
              <w:t>29.84</w:t>
            </w:r>
            <w:r>
              <w:rPr>
                <w:rFonts w:hint="eastAsia" w:ascii="宋体" w:hAnsi="Courier New" w:eastAsia="宋体" w:cs="Times New Roman"/>
                <w:color w:val="auto"/>
                <w:sz w:val="24"/>
                <w:szCs w:val="24"/>
                <w:highlight w:val="none"/>
                <w:u w:val="single"/>
                <w:lang w:val="en-US" w:eastAsia="zh-CN"/>
              </w:rPr>
              <w:t>万元</w:t>
            </w:r>
            <w:r>
              <w:rPr>
                <w:rFonts w:hint="eastAsia" w:ascii="宋体" w:hAnsi="Courier New" w:eastAsia="宋体" w:cs="Times New Roman"/>
                <w:color w:val="auto"/>
                <w:sz w:val="24"/>
                <w:szCs w:val="24"/>
                <w:highlight w:val="none"/>
                <w:lang w:val="en-US" w:eastAsia="zh-CN"/>
              </w:rPr>
              <w:t>。补偿经费全部用于生态修复，并列入工程环境保护资源预算。</w:t>
            </w:r>
          </w:p>
          <w:p w14:paraId="0143D68B">
            <w:pPr>
              <w:pStyle w:val="20"/>
              <w:spacing w:line="360" w:lineRule="auto"/>
              <w:ind w:firstLine="480" w:firstLineChars="200"/>
              <w:rPr>
                <w:rFonts w:hint="default" w:cs="Times New Roman"/>
                <w:b/>
                <w:bCs/>
                <w:color w:val="auto"/>
                <w:sz w:val="24"/>
                <w:szCs w:val="24"/>
                <w:highlight w:val="none"/>
                <w:lang w:val="en-US" w:eastAsia="zh-CN"/>
              </w:rPr>
            </w:pPr>
            <w:r>
              <w:rPr>
                <w:rFonts w:hint="eastAsia" w:ascii="宋体" w:hAnsi="Courier New" w:eastAsia="宋体" w:cs="Times New Roman"/>
                <w:color w:val="auto"/>
                <w:sz w:val="24"/>
                <w:szCs w:val="24"/>
                <w:highlight w:val="none"/>
                <w:u w:val="single"/>
                <w:lang w:val="en-US" w:eastAsia="zh-CN"/>
              </w:rPr>
              <w:t>施工期产生的生态环境影响主要为疏浚对底栖生物、游泳生物、鱼卵、仔稚鱼等生物的影响；随着施工期结束，生态影响可逐渐恢复，结合增殖放流等生态恢复措施，项目施工期造成的生态影响是可控的。</w:t>
            </w:r>
          </w:p>
          <w:p w14:paraId="744E36C2">
            <w:pPr>
              <w:pStyle w:val="2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⑤生态损失补偿措施</w:t>
            </w:r>
          </w:p>
          <w:p w14:paraId="171F9B4E">
            <w:pPr>
              <w:pStyle w:val="20"/>
              <w:spacing w:line="360" w:lineRule="auto"/>
              <w:ind w:firstLine="480" w:firstLineChars="200"/>
              <w:rPr>
                <w:rFonts w:hint="eastAsia" w:ascii="宋体" w:hAnsi="Courier New" w:eastAsia="宋体" w:cs="Times New Roman"/>
                <w:color w:val="auto"/>
                <w:sz w:val="24"/>
                <w:szCs w:val="24"/>
                <w:highlight w:val="none"/>
                <w:u w:val="single"/>
                <w:lang w:val="en-US" w:eastAsia="zh-CN"/>
              </w:rPr>
            </w:pPr>
            <w:r>
              <w:rPr>
                <w:rFonts w:hint="eastAsia" w:ascii="宋体" w:eastAsia="宋体" w:cs="Times New Roman"/>
                <w:color w:val="auto"/>
                <w:sz w:val="24"/>
                <w:szCs w:val="24"/>
                <w:highlight w:val="none"/>
                <w:u w:val="single"/>
                <w:lang w:val="en-US" w:eastAsia="zh-CN"/>
              </w:rPr>
              <w:t>项目施工结束后，根据所造成生物资源损失量及特征，对项目施工造成的生态损失进行补偿，具体的放流种类、放流地点，建设单位应咨询当地渔业主管部门后确定。建设单位应做好增殖放流效果的跟踪监测、调查和评估工作。下一步建设单位应委托专业单位编制生态补偿实施方案，实施方案经充分论证后再实施。根据实施方案中的金额、要求，落实下一步的增殖放流等生态补偿措施。</w:t>
            </w:r>
          </w:p>
          <w:p w14:paraId="3E6012BB">
            <w:pPr>
              <w:numPr>
                <w:ilvl w:val="0"/>
                <w:numId w:val="0"/>
              </w:numPr>
              <w:spacing w:line="360" w:lineRule="auto"/>
              <w:ind w:left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4、生态系统服务功能价值</w:t>
            </w:r>
          </w:p>
          <w:p w14:paraId="613E2D3D">
            <w:pPr>
              <w:pStyle w:val="20"/>
              <w:spacing w:line="360" w:lineRule="auto"/>
              <w:ind w:firstLine="480" w:firstLineChars="200"/>
              <w:rPr>
                <w:rFonts w:hint="eastAsia" w:ascii="Times New Roman" w:hAnsi="Times New Roman" w:eastAsia="宋体" w:cs="Times New Roman"/>
                <w:b/>
                <w:bCs/>
                <w:color w:val="auto"/>
                <w:sz w:val="24"/>
                <w:highlight w:val="none"/>
                <w:lang w:val="en-US" w:eastAsia="zh-CN"/>
              </w:rPr>
            </w:pPr>
            <w:r>
              <w:rPr>
                <w:rFonts w:hint="eastAsia" w:ascii="宋体" w:hAnsi="Courier New" w:eastAsia="宋体" w:cs="Times New Roman"/>
                <w:color w:val="auto"/>
                <w:sz w:val="24"/>
                <w:szCs w:val="24"/>
                <w:highlight w:val="none"/>
                <w:lang w:val="en-US" w:eastAsia="zh-CN"/>
              </w:rPr>
              <w:t>根据《海</w:t>
            </w:r>
            <w:r>
              <w:rPr>
                <w:rFonts w:hint="default" w:ascii="Times New Roman" w:hAnsi="Times New Roman" w:eastAsia="宋体" w:cs="Times New Roman"/>
                <w:color w:val="auto"/>
                <w:sz w:val="24"/>
                <w:szCs w:val="24"/>
                <w:highlight w:val="none"/>
                <w:lang w:val="en-US" w:eastAsia="zh-CN"/>
              </w:rPr>
              <w:t>洋生态资本评估技术导则》（GB/T28058-2011）</w:t>
            </w:r>
            <w:r>
              <w:rPr>
                <w:rFonts w:hint="eastAsia" w:ascii="宋体" w:hAnsi="Courier New" w:eastAsia="宋体" w:cs="Times New Roman"/>
                <w:color w:val="auto"/>
                <w:sz w:val="24"/>
                <w:szCs w:val="24"/>
                <w:highlight w:val="none"/>
                <w:lang w:val="en-US" w:eastAsia="zh-CN"/>
              </w:rPr>
              <w:t>，海洋生态系统服务功能包括海洋供给服务评估、海洋调节服务评估、海洋文化服务评估、海洋支持服务评估等</w:t>
            </w:r>
            <w:r>
              <w:rPr>
                <w:rFonts w:hint="default" w:ascii="宋体" w:hAnsi="Courier New" w:eastAsia="宋体" w:cs="Times New Roman"/>
                <w:color w:val="auto"/>
                <w:sz w:val="24"/>
                <w:szCs w:val="24"/>
                <w:highlight w:val="none"/>
                <w:lang w:val="en-US" w:eastAsia="zh-CN"/>
              </w:rPr>
              <w:t>4</w:t>
            </w:r>
            <w:r>
              <w:rPr>
                <w:rFonts w:hint="eastAsia" w:ascii="宋体" w:hAnsi="Courier New" w:eastAsia="宋体" w:cs="Times New Roman"/>
                <w:color w:val="auto"/>
                <w:sz w:val="24"/>
                <w:szCs w:val="24"/>
                <w:highlight w:val="none"/>
                <w:lang w:val="en-US" w:eastAsia="zh-CN"/>
              </w:rPr>
              <w:t>大类。本工程为码头回旋水域疏浚工程，不损害疏浚施工区域的海洋生态系统服务功能，故无生态系统服务功能价值损害。</w:t>
            </w:r>
          </w:p>
          <w:p w14:paraId="33BD1904">
            <w:pPr>
              <w:pStyle w:val="20"/>
              <w:numPr>
                <w:ilvl w:val="0"/>
                <w:numId w:val="0"/>
              </w:numPr>
              <w:spacing w:line="360" w:lineRule="auto"/>
              <w:ind w:left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5、对红树林的影响分析</w:t>
            </w:r>
          </w:p>
          <w:p w14:paraId="34F85B1C">
            <w:pPr>
              <w:spacing w:line="360" w:lineRule="auto"/>
              <w:ind w:firstLine="48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lang w:val="en-US" w:eastAsia="zh-CN"/>
              </w:rPr>
              <w:t>项目不占用红树林，根据类比的悬浮物扩散预测结果</w:t>
            </w:r>
            <w:r>
              <w:rPr>
                <w:rFonts w:hint="eastAsia" w:ascii="Times New Roman" w:hAnsi="Times New Roman" w:eastAsia="宋体" w:cs="Times New Roman"/>
                <w:color w:val="auto"/>
                <w:sz w:val="24"/>
                <w:highlight w:val="none"/>
                <w:u w:val="single"/>
                <w:lang w:val="en-US" w:eastAsia="zh-CN"/>
              </w:rPr>
              <w:t>，1个潮周期内悬浮物浓度增量大于10mg/L的面积约为</w:t>
            </w:r>
            <w:r>
              <w:rPr>
                <w:rFonts w:hint="eastAsia" w:cs="Times New Roman"/>
                <w:color w:val="auto"/>
                <w:sz w:val="24"/>
                <w:highlight w:val="none"/>
                <w:u w:val="single"/>
                <w:lang w:val="en-US" w:eastAsia="zh-CN"/>
              </w:rPr>
              <w:t>2.71</w:t>
            </w:r>
            <w:r>
              <w:rPr>
                <w:rFonts w:hint="eastAsia"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，向南扩散的最远距离约</w:t>
            </w:r>
            <w:r>
              <w:rPr>
                <w:rFonts w:hint="eastAsia" w:cs="Times New Roman"/>
                <w:color w:val="auto"/>
                <w:sz w:val="24"/>
                <w:highlight w:val="none"/>
                <w:u w:val="single"/>
                <w:lang w:val="en-US" w:eastAsia="zh-CN"/>
              </w:rPr>
              <w:t>3.57</w:t>
            </w:r>
            <w:r>
              <w:rPr>
                <w:rFonts w:hint="eastAsia" w:ascii="Times New Roman" w:hAnsi="Times New Roman" w:eastAsia="宋体" w:cs="Times New Roman"/>
                <w:color w:val="auto"/>
                <w:sz w:val="24"/>
                <w:highlight w:val="none"/>
                <w:u w:val="single"/>
                <w:lang w:val="en-US" w:eastAsia="zh-CN"/>
              </w:rPr>
              <w:t>km，向北扩散的最远距离约</w:t>
            </w:r>
            <w:r>
              <w:rPr>
                <w:rFonts w:hint="eastAsia"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w:t>
            </w:r>
          </w:p>
          <w:p w14:paraId="194AB018">
            <w:pPr>
              <w:spacing w:line="360" w:lineRule="auto"/>
              <w:ind w:firstLine="48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项目北面约2.6km处分布有金鼓江上游红树林分布区，</w:t>
            </w:r>
            <w:r>
              <w:rPr>
                <w:rFonts w:hint="eastAsia" w:ascii="Times New Roman" w:hAnsi="Times New Roman" w:eastAsia="宋体" w:cs="Times New Roman"/>
                <w:color w:val="auto"/>
                <w:sz w:val="24"/>
                <w:highlight w:val="none"/>
                <w:u w:val="single"/>
                <w:lang w:val="en-US" w:eastAsia="zh-CN"/>
              </w:rPr>
              <w:t>距离10mg/L悬浮泥沙的最大包络线约800m，</w:t>
            </w:r>
            <w:r>
              <w:rPr>
                <w:rFonts w:hint="eastAsia" w:ascii="Times New Roman" w:hAnsi="Times New Roman" w:eastAsia="宋体" w:cs="Times New Roman"/>
                <w:color w:val="auto"/>
                <w:sz w:val="24"/>
                <w:highlight w:val="none"/>
                <w:lang w:val="en-US" w:eastAsia="zh-CN"/>
              </w:rPr>
              <w:t>项目最近的红树林位于项目所在岸线对岸的钦州湾沿岸浅滩零星的红树林资源，受船舶航行影响和潮汐水文影响，悬浮物扩散主要沿项目西侧的岸线扩散</w:t>
            </w:r>
            <w:r>
              <w:rPr>
                <w:rFonts w:hint="eastAsia" w:cs="Times New Roman"/>
                <w:color w:val="auto"/>
                <w:sz w:val="24"/>
                <w:highlight w:val="none"/>
                <w:lang w:val="en-US" w:eastAsia="zh-CN"/>
              </w:rPr>
              <w:t>。</w:t>
            </w:r>
          </w:p>
          <w:p w14:paraId="1DC4C2E5">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有研究表明，被石油污染的红树植物表现出落叶增多、叶变黑和卷曲、叶失 绿以及气生根受损害等症状，其中落叶是逆境胁迫下最常见的反应。较高浓度的含油废水使秋茄植株出现叶柄皱褶、叶缘有褐红色斑点和叶色失绿等受害症状，且浓度越高症状出现的时间越早、受害个体越多。较高浓度的含油废水导致植株个体死亡，油处理浓度越高死亡个数越多。</w:t>
            </w:r>
            <w:r>
              <w:rPr>
                <w:rFonts w:hint="default" w:ascii="Times New Roman" w:hAnsi="Times New Roman" w:eastAsia="宋体" w:cs="Times New Roman"/>
                <w:color w:val="auto"/>
                <w:sz w:val="24"/>
                <w:highlight w:val="none"/>
                <w:lang w:val="en-US" w:eastAsia="zh-CN"/>
              </w:rPr>
              <w:t>50mg/L</w:t>
            </w:r>
            <w:r>
              <w:rPr>
                <w:rFonts w:hint="eastAsia" w:ascii="Times New Roman" w:hAnsi="Times New Roman" w:eastAsia="宋体" w:cs="Times New Roman"/>
                <w:color w:val="auto"/>
                <w:sz w:val="24"/>
                <w:highlight w:val="none"/>
                <w:lang w:val="en-US" w:eastAsia="zh-CN"/>
              </w:rPr>
              <w:t>浓度油处理可刺激植株生物量增长；</w:t>
            </w:r>
            <w:r>
              <w:rPr>
                <w:rFonts w:hint="default" w:ascii="Times New Roman" w:hAnsi="Times New Roman" w:eastAsia="宋体" w:cs="Times New Roman"/>
                <w:color w:val="auto"/>
                <w:sz w:val="24"/>
                <w:highlight w:val="none"/>
                <w:lang w:val="en-US" w:eastAsia="zh-CN"/>
              </w:rPr>
              <w:t>100mg/L</w:t>
            </w:r>
            <w:r>
              <w:rPr>
                <w:rFonts w:hint="eastAsia"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val="en-US" w:eastAsia="zh-CN"/>
              </w:rPr>
              <w:t>200mg/L</w:t>
            </w:r>
            <w:r>
              <w:rPr>
                <w:rFonts w:hint="eastAsia" w:ascii="Times New Roman" w:hAnsi="Times New Roman" w:eastAsia="宋体" w:cs="Times New Roman"/>
                <w:color w:val="auto"/>
                <w:sz w:val="24"/>
                <w:highlight w:val="none"/>
                <w:lang w:val="en-US" w:eastAsia="zh-CN"/>
              </w:rPr>
              <w:t>浓度油处理，植株生物量的增长未受到不良影响。而</w:t>
            </w:r>
            <w:r>
              <w:rPr>
                <w:rFonts w:hint="default" w:ascii="Times New Roman" w:hAnsi="Times New Roman" w:eastAsia="宋体" w:cs="Times New Roman"/>
                <w:color w:val="auto"/>
                <w:sz w:val="24"/>
                <w:highlight w:val="none"/>
                <w:lang w:val="en-US" w:eastAsia="zh-CN"/>
              </w:rPr>
              <w:t>400mg/L</w:t>
            </w:r>
            <w:r>
              <w:rPr>
                <w:rFonts w:hint="eastAsia"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val="en-US" w:eastAsia="zh-CN"/>
              </w:rPr>
              <w:t>800mg/L</w:t>
            </w:r>
            <w:r>
              <w:rPr>
                <w:rFonts w:hint="eastAsia" w:ascii="Times New Roman" w:hAnsi="Times New Roman" w:eastAsia="宋体" w:cs="Times New Roman"/>
                <w:color w:val="auto"/>
                <w:sz w:val="24"/>
                <w:highlight w:val="none"/>
                <w:lang w:val="en-US" w:eastAsia="zh-CN"/>
              </w:rPr>
              <w:t>浓度处理下植株生物量的增长受到了明显的抑制。</w:t>
            </w:r>
          </w:p>
          <w:p w14:paraId="3BE8608A">
            <w:pPr>
              <w:spacing w:line="360" w:lineRule="auto"/>
              <w:ind w:firstLine="48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u w:val="single"/>
                <w:lang w:val="en-US" w:eastAsia="zh-CN"/>
              </w:rPr>
              <w:t>为避免项目施工过程中及施工过程中产生跑、冒、滴、漏的石油对项目西北面约2.6km处的金鼓江上游红树林造成影响，项目施工过程中位于项目上游设置防污帘，</w:t>
            </w:r>
            <w:r>
              <w:rPr>
                <w:rFonts w:hint="eastAsia" w:ascii="Times New Roman" w:hAnsi="Times New Roman" w:eastAsia="宋体" w:cs="Times New Roman"/>
                <w:color w:val="auto"/>
                <w:sz w:val="24"/>
                <w:highlight w:val="none"/>
                <w:lang w:val="en-US" w:eastAsia="zh-CN"/>
              </w:rPr>
              <w:t>本工程施工作业期间，施工人员生活污水、船舶废水和固体废弃物等均妥善处理与处置，</w:t>
            </w:r>
            <w:r>
              <w:rPr>
                <w:rFonts w:hint="eastAsia" w:cs="Times New Roman"/>
                <w:color w:val="auto"/>
                <w:sz w:val="24"/>
                <w:highlight w:val="none"/>
                <w:lang w:val="en-US" w:eastAsia="zh-CN"/>
              </w:rPr>
              <w:t>禁止</w:t>
            </w:r>
            <w:r>
              <w:rPr>
                <w:rFonts w:hint="eastAsia" w:ascii="Times New Roman" w:hAnsi="Times New Roman" w:eastAsia="宋体" w:cs="Times New Roman"/>
                <w:color w:val="auto"/>
                <w:sz w:val="24"/>
                <w:highlight w:val="none"/>
                <w:lang w:val="en-US" w:eastAsia="zh-CN"/>
              </w:rPr>
              <w:t>含油污水排放入海，</w:t>
            </w:r>
            <w:r>
              <w:rPr>
                <w:rFonts w:hint="eastAsia" w:cs="Times New Roman"/>
                <w:color w:val="auto"/>
                <w:sz w:val="24"/>
                <w:highlight w:val="none"/>
                <w:lang w:val="en-US" w:eastAsia="zh-CN"/>
              </w:rPr>
              <w:t>采取以上措施后项目对</w:t>
            </w:r>
            <w:r>
              <w:rPr>
                <w:rFonts w:hint="eastAsia" w:ascii="Times New Roman" w:hAnsi="Times New Roman" w:eastAsia="宋体" w:cs="Times New Roman"/>
                <w:color w:val="auto"/>
                <w:sz w:val="24"/>
                <w:highlight w:val="none"/>
                <w:lang w:val="en-US" w:eastAsia="zh-CN"/>
              </w:rPr>
              <w:t>。</w:t>
            </w:r>
          </w:p>
          <w:p w14:paraId="0AE8A320">
            <w:pPr>
              <w:pStyle w:val="20"/>
              <w:numPr>
                <w:ilvl w:val="0"/>
                <w:numId w:val="0"/>
              </w:numPr>
              <w:spacing w:line="360" w:lineRule="auto"/>
              <w:ind w:left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6、对自然保护区的影响分析</w:t>
            </w:r>
          </w:p>
          <w:p w14:paraId="065443FF">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项目不占用自然保护区，根据类比的悬浮物扩散预测结果，</w:t>
            </w:r>
            <w:r>
              <w:rPr>
                <w:rFonts w:hint="eastAsia" w:ascii="Times New Roman" w:hAnsi="Times New Roman" w:eastAsia="宋体" w:cs="Times New Roman"/>
                <w:color w:val="auto"/>
                <w:sz w:val="24"/>
                <w:highlight w:val="none"/>
                <w:u w:val="single"/>
                <w:lang w:val="en-US" w:eastAsia="zh-CN"/>
              </w:rPr>
              <w:t>1个潮周期内悬浮物浓度增量大于10mg/L的面积约为</w:t>
            </w:r>
            <w:r>
              <w:rPr>
                <w:rFonts w:hint="eastAsia" w:cs="Times New Roman"/>
                <w:color w:val="auto"/>
                <w:sz w:val="24"/>
                <w:highlight w:val="none"/>
                <w:u w:val="single"/>
                <w:lang w:val="en-US" w:eastAsia="zh-CN"/>
              </w:rPr>
              <w:t>2.71</w:t>
            </w:r>
            <w:r>
              <w:rPr>
                <w:rFonts w:hint="eastAsia"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，向南扩散的最远距离约</w:t>
            </w:r>
            <w:r>
              <w:rPr>
                <w:rFonts w:hint="eastAsia" w:cs="Times New Roman"/>
                <w:color w:val="auto"/>
                <w:sz w:val="24"/>
                <w:highlight w:val="none"/>
                <w:u w:val="single"/>
                <w:lang w:val="en-US" w:eastAsia="zh-CN"/>
              </w:rPr>
              <w:t>3.57</w:t>
            </w:r>
            <w:r>
              <w:rPr>
                <w:rFonts w:hint="eastAsia" w:ascii="Times New Roman" w:hAnsi="Times New Roman" w:eastAsia="宋体" w:cs="Times New Roman"/>
                <w:color w:val="auto"/>
                <w:sz w:val="24"/>
                <w:highlight w:val="none"/>
                <w:u w:val="single"/>
                <w:lang w:val="en-US" w:eastAsia="zh-CN"/>
              </w:rPr>
              <w:t>km，向北扩散的最远距离约</w:t>
            </w:r>
            <w:r>
              <w:rPr>
                <w:rFonts w:hint="eastAsia"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lang w:val="en-US" w:eastAsia="zh-CN"/>
              </w:rPr>
              <w:t>距离项目最近的自然保护区为项目西北侧直线距离约4.9km处的广西茅尾海红树林自治区级自然保护区（七十二泾片）</w:t>
            </w:r>
            <w:r>
              <w:rPr>
                <w:rFonts w:hint="eastAsia" w:cs="Times New Roman"/>
                <w:color w:val="auto"/>
                <w:sz w:val="24"/>
                <w:highlight w:val="none"/>
                <w:lang w:val="en-US" w:eastAsia="zh-CN"/>
              </w:rPr>
              <w:t>。</w:t>
            </w:r>
            <w:r>
              <w:rPr>
                <w:rFonts w:hint="eastAsia" w:cs="Times New Roman"/>
                <w:color w:val="auto"/>
                <w:sz w:val="24"/>
                <w:highlight w:val="none"/>
                <w:u w:val="single"/>
                <w:lang w:val="en-US" w:eastAsia="zh-CN"/>
              </w:rPr>
              <w:t>本项目与</w:t>
            </w:r>
            <w:r>
              <w:rPr>
                <w:rFonts w:hint="eastAsia" w:ascii="Times New Roman" w:hAnsi="Times New Roman" w:eastAsia="宋体" w:cs="Times New Roman"/>
                <w:color w:val="auto"/>
                <w:sz w:val="24"/>
                <w:highlight w:val="none"/>
                <w:u w:val="single"/>
                <w:lang w:val="en-US" w:eastAsia="zh-CN"/>
              </w:rPr>
              <w:t>广西茅尾海红树林自治区级自然保护区（七十二泾片）</w:t>
            </w:r>
            <w:r>
              <w:rPr>
                <w:rFonts w:hint="eastAsia" w:cs="Times New Roman"/>
                <w:color w:val="auto"/>
                <w:sz w:val="24"/>
                <w:highlight w:val="none"/>
                <w:u w:val="single"/>
                <w:lang w:val="en-US" w:eastAsia="zh-CN"/>
              </w:rPr>
              <w:t>水路距离约11km，项目产生的悬浮物扩散过程中自然沉降，</w:t>
            </w:r>
            <w:r>
              <w:rPr>
                <w:rFonts w:hint="eastAsia" w:ascii="Times New Roman" w:hAnsi="Times New Roman" w:eastAsia="宋体" w:cs="Times New Roman"/>
                <w:color w:val="auto"/>
                <w:sz w:val="24"/>
                <w:highlight w:val="none"/>
                <w:lang w:val="en-US" w:eastAsia="zh-CN"/>
              </w:rPr>
              <w:t>不</w:t>
            </w:r>
            <w:r>
              <w:rPr>
                <w:rFonts w:hint="eastAsia" w:cs="Times New Roman"/>
                <w:color w:val="auto"/>
                <w:sz w:val="24"/>
                <w:highlight w:val="none"/>
                <w:lang w:val="en-US" w:eastAsia="zh-CN"/>
              </w:rPr>
              <w:t>会</w:t>
            </w:r>
            <w:r>
              <w:rPr>
                <w:rFonts w:hint="eastAsia" w:ascii="Times New Roman" w:hAnsi="Times New Roman" w:eastAsia="宋体" w:cs="Times New Roman"/>
                <w:color w:val="auto"/>
                <w:sz w:val="24"/>
                <w:highlight w:val="none"/>
                <w:lang w:val="en-US" w:eastAsia="zh-CN"/>
              </w:rPr>
              <w:t>进入自然保护区，对自然保护区影响不大。</w:t>
            </w:r>
          </w:p>
          <w:p w14:paraId="7A53970C">
            <w:pPr>
              <w:pStyle w:val="20"/>
              <w:numPr>
                <w:ilvl w:val="0"/>
                <w:numId w:val="0"/>
              </w:numPr>
              <w:spacing w:line="360" w:lineRule="auto"/>
              <w:ind w:left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7、对生态红线的影响分析</w:t>
            </w:r>
          </w:p>
          <w:p w14:paraId="133BB8BB">
            <w:pPr>
              <w:spacing w:line="360" w:lineRule="auto"/>
              <w:ind w:firstLine="480"/>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color w:val="auto"/>
                <w:sz w:val="24"/>
                <w:highlight w:val="none"/>
                <w:lang w:val="en-US" w:eastAsia="zh-CN"/>
              </w:rPr>
              <w:t>项目不占用生态红线，根据类比的悬浮物扩散预测结果，</w:t>
            </w:r>
            <w:r>
              <w:rPr>
                <w:rFonts w:hint="eastAsia" w:ascii="Times New Roman" w:hAnsi="Times New Roman" w:eastAsia="宋体" w:cs="Times New Roman"/>
                <w:color w:val="auto"/>
                <w:sz w:val="24"/>
                <w:highlight w:val="none"/>
                <w:u w:val="single"/>
                <w:lang w:val="en-US" w:eastAsia="zh-CN"/>
              </w:rPr>
              <w:t>1个潮周期内悬浮物浓度增量大于10mg/L的面积约为</w:t>
            </w:r>
            <w:r>
              <w:rPr>
                <w:rFonts w:hint="eastAsia" w:cs="Times New Roman"/>
                <w:color w:val="auto"/>
                <w:sz w:val="24"/>
                <w:highlight w:val="none"/>
                <w:u w:val="single"/>
                <w:lang w:val="en-US" w:eastAsia="zh-CN"/>
              </w:rPr>
              <w:t>2.71</w:t>
            </w:r>
            <w:r>
              <w:rPr>
                <w:rFonts w:hint="eastAsia"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，向南扩散的最远距离约</w:t>
            </w:r>
            <w:r>
              <w:rPr>
                <w:rFonts w:hint="eastAsia" w:cs="Times New Roman"/>
                <w:color w:val="auto"/>
                <w:sz w:val="24"/>
                <w:highlight w:val="none"/>
                <w:u w:val="single"/>
                <w:lang w:val="en-US" w:eastAsia="zh-CN"/>
              </w:rPr>
              <w:t>3.57</w:t>
            </w:r>
            <w:r>
              <w:rPr>
                <w:rFonts w:hint="eastAsia" w:ascii="Times New Roman" w:hAnsi="Times New Roman" w:eastAsia="宋体" w:cs="Times New Roman"/>
                <w:color w:val="auto"/>
                <w:sz w:val="24"/>
                <w:highlight w:val="none"/>
                <w:u w:val="single"/>
                <w:lang w:val="en-US" w:eastAsia="zh-CN"/>
              </w:rPr>
              <w:t>km，向北扩散的最远距离约</w:t>
            </w:r>
            <w:r>
              <w:rPr>
                <w:rFonts w:hint="eastAsia"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w:t>
            </w:r>
            <w:r>
              <w:rPr>
                <w:rFonts w:hint="eastAsia" w:ascii="Times New Roman" w:hAnsi="Times New Roman" w:eastAsia="宋体" w:cs="Times New Roman"/>
                <w:color w:val="auto"/>
                <w:sz w:val="24"/>
                <w:highlight w:val="none"/>
                <w:lang w:val="en-US" w:eastAsia="zh-CN"/>
              </w:rPr>
              <w:t>距离项目最近的生态红线为项目西北侧直线距离约4.9km处的</w:t>
            </w:r>
            <w:r>
              <w:rPr>
                <w:rFonts w:hint="eastAsia" w:ascii="Times New Roman" w:hAnsi="Times New Roman" w:eastAsia="宋体" w:cs="Times New Roman"/>
                <w:b w:val="0"/>
                <w:bCs w:val="0"/>
                <w:color w:val="auto"/>
                <w:kern w:val="0"/>
                <w:sz w:val="24"/>
                <w:szCs w:val="24"/>
                <w:highlight w:val="none"/>
                <w:lang w:val="en-US" w:eastAsia="zh-CN" w:bidi="ar"/>
              </w:rPr>
              <w:t>广西茅尾海红树林保护区限制类红线区，施工产生的悬浮物不进入生态红线，对生态红线影响不大。</w:t>
            </w:r>
          </w:p>
          <w:p w14:paraId="38226A02">
            <w:pPr>
              <w:pStyle w:val="20"/>
              <w:numPr>
                <w:ilvl w:val="0"/>
                <w:numId w:val="0"/>
              </w:numPr>
              <w:spacing w:line="360" w:lineRule="auto"/>
              <w:ind w:leftChars="200"/>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8、对旅游娱乐休闲区的影响分析</w:t>
            </w:r>
          </w:p>
          <w:p w14:paraId="7FD3EBF0">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不占用旅游休闲娱乐区，距离项目最近的旅游休闲娱乐区为西北侧6.2km的七十二泾旅游休闲娱乐区，项目运输物料的路线主要为金鼓江航道及东航道，施工船舶均不进入旅游区，不会对旅游区的视觉景观的协调性造成明显影响。</w:t>
            </w:r>
          </w:p>
          <w:p w14:paraId="570D8F01">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cs="Times New Roman"/>
                <w:color w:val="auto"/>
                <w:sz w:val="24"/>
                <w:highlight w:val="none"/>
                <w:lang w:val="en-US" w:eastAsia="zh-CN"/>
              </w:rPr>
              <w:t>类比</w:t>
            </w:r>
            <w:r>
              <w:rPr>
                <w:rFonts w:hint="eastAsia" w:ascii="Times New Roman" w:hAnsi="Times New Roman" w:eastAsia="宋体" w:cs="Times New Roman"/>
                <w:color w:val="auto"/>
                <w:sz w:val="24"/>
                <w:highlight w:val="none"/>
                <w:lang w:val="en-US" w:eastAsia="zh-CN"/>
              </w:rPr>
              <w:t>悬浮物扩散预测结果，</w:t>
            </w:r>
            <w:r>
              <w:rPr>
                <w:rFonts w:hint="eastAsia" w:ascii="Times New Roman" w:hAnsi="Times New Roman" w:eastAsia="宋体" w:cs="Times New Roman"/>
                <w:color w:val="auto"/>
                <w:sz w:val="24"/>
                <w:highlight w:val="none"/>
                <w:u w:val="single"/>
                <w:lang w:val="en-US" w:eastAsia="zh-CN"/>
              </w:rPr>
              <w:t>1个潮周期内悬浮物浓度增量大于10mg/L的面积约为</w:t>
            </w:r>
            <w:r>
              <w:rPr>
                <w:rFonts w:hint="eastAsia" w:cs="Times New Roman"/>
                <w:color w:val="auto"/>
                <w:sz w:val="24"/>
                <w:highlight w:val="none"/>
                <w:u w:val="single"/>
                <w:lang w:val="en-US" w:eastAsia="zh-CN"/>
              </w:rPr>
              <w:t>2.71</w:t>
            </w:r>
            <w:r>
              <w:rPr>
                <w:rFonts w:hint="eastAsia"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vertAlign w:val="superscript"/>
                <w:lang w:val="en-US" w:eastAsia="zh-CN"/>
              </w:rPr>
              <w:t>2</w:t>
            </w:r>
            <w:r>
              <w:rPr>
                <w:rFonts w:hint="eastAsia" w:ascii="Times New Roman" w:hAnsi="Times New Roman" w:eastAsia="宋体" w:cs="Times New Roman"/>
                <w:color w:val="auto"/>
                <w:sz w:val="24"/>
                <w:highlight w:val="none"/>
                <w:u w:val="single"/>
                <w:lang w:val="en-US" w:eastAsia="zh-CN"/>
              </w:rPr>
              <w:t>，向南扩散的最远距离约</w:t>
            </w:r>
            <w:r>
              <w:rPr>
                <w:rFonts w:hint="eastAsia" w:cs="Times New Roman"/>
                <w:color w:val="auto"/>
                <w:sz w:val="24"/>
                <w:highlight w:val="none"/>
                <w:u w:val="single"/>
                <w:lang w:val="en-US" w:eastAsia="zh-CN"/>
              </w:rPr>
              <w:t>3.57</w:t>
            </w:r>
            <w:r>
              <w:rPr>
                <w:rFonts w:hint="eastAsia" w:ascii="Times New Roman" w:hAnsi="Times New Roman" w:eastAsia="宋体" w:cs="Times New Roman"/>
                <w:color w:val="auto"/>
                <w:sz w:val="24"/>
                <w:highlight w:val="none"/>
                <w:u w:val="single"/>
                <w:lang w:val="en-US" w:eastAsia="zh-CN"/>
              </w:rPr>
              <w:t>km，向北扩散的最远距离约</w:t>
            </w:r>
            <w:r>
              <w:rPr>
                <w:rFonts w:hint="eastAsia" w:cs="Times New Roman"/>
                <w:color w:val="auto"/>
                <w:sz w:val="24"/>
                <w:highlight w:val="none"/>
                <w:u w:val="single"/>
                <w:lang w:val="en-US" w:eastAsia="zh-CN"/>
              </w:rPr>
              <w:t>3.56</w:t>
            </w:r>
            <w:r>
              <w:rPr>
                <w:rFonts w:hint="default" w:ascii="Times New Roman" w:hAnsi="Times New Roman" w:eastAsia="宋体" w:cs="Times New Roman"/>
                <w:color w:val="auto"/>
                <w:sz w:val="24"/>
                <w:highlight w:val="none"/>
                <w:u w:val="single"/>
                <w:lang w:val="en-US" w:eastAsia="zh-CN"/>
              </w:rPr>
              <w:t>km</w:t>
            </w:r>
            <w:r>
              <w:rPr>
                <w:rFonts w:hint="eastAsia" w:ascii="Times New Roman" w:hAnsi="Times New Roman" w:eastAsia="宋体" w:cs="Times New Roman"/>
                <w:color w:val="auto"/>
                <w:sz w:val="24"/>
                <w:highlight w:val="none"/>
                <w:u w:val="single"/>
                <w:lang w:val="en-US" w:eastAsia="zh-CN"/>
              </w:rPr>
              <w:t>，</w:t>
            </w:r>
            <w:r>
              <w:rPr>
                <w:rFonts w:hint="eastAsia" w:cs="Times New Roman"/>
                <w:color w:val="auto"/>
                <w:sz w:val="24"/>
                <w:highlight w:val="none"/>
                <w:u w:val="single"/>
                <w:lang w:val="en-US" w:eastAsia="zh-CN"/>
              </w:rPr>
              <w:t>本项目与旅游休闲娱乐区水路距离约11km，项目产生的悬浮物扩散过程中自然沉降，</w:t>
            </w:r>
            <w:r>
              <w:rPr>
                <w:rFonts w:hint="eastAsia" w:ascii="Times New Roman" w:hAnsi="Times New Roman" w:eastAsia="宋体" w:cs="Times New Roman"/>
                <w:color w:val="auto"/>
                <w:sz w:val="24"/>
                <w:highlight w:val="none"/>
                <w:u w:val="single"/>
                <w:lang w:val="en-US" w:eastAsia="zh-CN"/>
              </w:rPr>
              <w:t>不</w:t>
            </w:r>
            <w:r>
              <w:rPr>
                <w:rFonts w:hint="eastAsia" w:cs="Times New Roman"/>
                <w:color w:val="auto"/>
                <w:sz w:val="24"/>
                <w:highlight w:val="none"/>
                <w:u w:val="single"/>
                <w:lang w:val="en-US" w:eastAsia="zh-CN"/>
              </w:rPr>
              <w:t>会</w:t>
            </w:r>
            <w:r>
              <w:rPr>
                <w:rFonts w:hint="eastAsia" w:ascii="Times New Roman" w:hAnsi="Times New Roman" w:eastAsia="宋体" w:cs="Times New Roman"/>
                <w:color w:val="auto"/>
                <w:sz w:val="24"/>
                <w:highlight w:val="none"/>
                <w:u w:val="single"/>
                <w:lang w:val="en-US" w:eastAsia="zh-CN"/>
              </w:rPr>
              <w:t>进入旅游休闲娱乐区，对旅游休闲娱乐区影响不大。</w:t>
            </w:r>
          </w:p>
          <w:p w14:paraId="3C385B9F">
            <w:pPr>
              <w:pStyle w:val="20"/>
              <w:spacing w:line="360" w:lineRule="auto"/>
              <w:ind w:firstLine="562" w:firstLineChars="200"/>
              <w:rPr>
                <w:rFonts w:hint="eastAsia" w:ascii="宋体" w:hAnsi="Courier New" w:eastAsia="宋体" w:cs="Times New Roman"/>
                <w:b/>
                <w:bCs/>
                <w:color w:val="auto"/>
                <w:sz w:val="28"/>
                <w:szCs w:val="28"/>
                <w:highlight w:val="none"/>
              </w:rPr>
            </w:pPr>
            <w:r>
              <w:rPr>
                <w:rFonts w:hint="eastAsia" w:ascii="宋体" w:hAnsi="Courier New" w:eastAsia="宋体" w:cs="Times New Roman"/>
                <w:b/>
                <w:bCs/>
                <w:color w:val="auto"/>
                <w:sz w:val="28"/>
                <w:szCs w:val="28"/>
                <w:highlight w:val="none"/>
                <w:lang w:val="en-US" w:eastAsia="zh-CN"/>
              </w:rPr>
              <w:t>4.1.7</w:t>
            </w:r>
            <w:r>
              <w:rPr>
                <w:rFonts w:hint="eastAsia" w:ascii="宋体" w:hAnsi="Courier New" w:eastAsia="宋体" w:cs="Times New Roman"/>
                <w:b/>
                <w:bCs/>
                <w:color w:val="auto"/>
                <w:sz w:val="28"/>
                <w:szCs w:val="28"/>
                <w:highlight w:val="none"/>
              </w:rPr>
              <w:t>固体废物影响分析</w:t>
            </w:r>
          </w:p>
          <w:p w14:paraId="3DBF9086">
            <w:pPr>
              <w:pStyle w:val="20"/>
              <w:spacing w:line="360" w:lineRule="auto"/>
              <w:ind w:firstLine="480" w:firstLineChars="200"/>
              <w:rPr>
                <w:rFonts w:hint="default" w:ascii="Times New Roman" w:hAnsi="Times New Roman" w:eastAsia="宋体"/>
                <w:color w:val="auto"/>
                <w:kern w:val="0"/>
                <w:sz w:val="24"/>
                <w:szCs w:val="24"/>
                <w:highlight w:val="none"/>
                <w:u w:val="single"/>
                <w:lang w:val="en-US" w:eastAsia="zh-CN"/>
              </w:rPr>
            </w:pPr>
            <w:r>
              <w:rPr>
                <w:color w:val="auto"/>
                <w:sz w:val="24"/>
                <w:szCs w:val="24"/>
                <w:highlight w:val="none"/>
              </w:rPr>
              <w:t>施工期主要固体废物主要为</w:t>
            </w:r>
            <w:r>
              <w:rPr>
                <w:rFonts w:hint="eastAsia"/>
                <w:color w:val="auto"/>
                <w:sz w:val="24"/>
                <w:szCs w:val="24"/>
                <w:highlight w:val="none"/>
                <w:lang w:eastAsia="zh-CN"/>
              </w:rPr>
              <w:t>施工船舶生活垃圾、疏浚物</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u w:val="single"/>
                <w:lang w:val="en-US" w:eastAsia="zh-CN"/>
              </w:rPr>
              <w:t>项目施工期较短，不设置施工船舶检修处，项目施工前施工船舶入场前需做好施工船舶检修工作，施工过程中船舶航行至指定船舶维修和保养处进行检修，本项目无施工检修含油废物产生。</w:t>
            </w:r>
          </w:p>
          <w:p w14:paraId="6EDE7951">
            <w:pPr>
              <w:spacing w:line="360" w:lineRule="auto"/>
              <w:ind w:left="480"/>
              <w:rPr>
                <w:rFonts w:hint="default" w:eastAsia="宋体"/>
                <w:b/>
                <w:bCs/>
                <w:color w:val="auto"/>
                <w:sz w:val="24"/>
                <w:highlight w:val="none"/>
                <w:lang w:val="en-US" w:eastAsia="zh-CN"/>
              </w:rPr>
            </w:pPr>
            <w:r>
              <w:rPr>
                <w:rFonts w:hint="eastAsia"/>
                <w:b/>
                <w:bCs/>
                <w:color w:val="auto"/>
                <w:sz w:val="24"/>
                <w:highlight w:val="none"/>
              </w:rPr>
              <w:t>（1）</w:t>
            </w:r>
            <w:r>
              <w:rPr>
                <w:rFonts w:hint="eastAsia"/>
                <w:b/>
                <w:bCs/>
                <w:color w:val="auto"/>
                <w:sz w:val="24"/>
                <w:highlight w:val="none"/>
                <w:lang w:eastAsia="zh-CN"/>
              </w:rPr>
              <w:t>施工船舶生活垃圾</w:t>
            </w:r>
          </w:p>
          <w:p w14:paraId="3D7062D7">
            <w:pPr>
              <w:spacing w:line="360" w:lineRule="auto"/>
              <w:ind w:firstLine="480"/>
              <w:rPr>
                <w:color w:val="auto"/>
                <w:sz w:val="24"/>
                <w:highlight w:val="none"/>
              </w:rPr>
            </w:pPr>
            <w:r>
              <w:rPr>
                <w:rFonts w:hint="eastAsia"/>
                <w:color w:val="auto"/>
                <w:sz w:val="24"/>
                <w:highlight w:val="none"/>
              </w:rPr>
              <w:t>参照《水运工程环境保护设计规范》（JTS149-2018），施工船舶生活垃圾产生量按每人每日1.0kg计，高峰期总施工人员约</w:t>
            </w:r>
            <w:r>
              <w:rPr>
                <w:rFonts w:hint="eastAsia"/>
                <w:color w:val="auto"/>
                <w:sz w:val="24"/>
                <w:highlight w:val="none"/>
                <w:lang w:val="en-US" w:eastAsia="zh-CN"/>
              </w:rPr>
              <w:t>30</w:t>
            </w:r>
            <w:r>
              <w:rPr>
                <w:rFonts w:hint="eastAsia"/>
                <w:color w:val="auto"/>
                <w:sz w:val="24"/>
                <w:highlight w:val="none"/>
              </w:rPr>
              <w:t>人，则施工高峰期施工船舶生活垃圾产生量为30kg/d</w:t>
            </w:r>
            <w:r>
              <w:rPr>
                <w:rFonts w:hint="eastAsia"/>
                <w:color w:val="auto"/>
                <w:sz w:val="24"/>
                <w:highlight w:val="none"/>
                <w:lang w:eastAsia="zh-CN"/>
              </w:rPr>
              <w:t>，施工期生活垃圾产生量为</w:t>
            </w:r>
            <w:r>
              <w:rPr>
                <w:rFonts w:hint="eastAsia"/>
                <w:color w:val="auto"/>
                <w:sz w:val="24"/>
                <w:highlight w:val="none"/>
                <w:lang w:val="en-US" w:eastAsia="zh-CN"/>
              </w:rPr>
              <w:t>2.7t/a，</w:t>
            </w:r>
            <w:r>
              <w:rPr>
                <w:rFonts w:hint="eastAsia"/>
                <w:color w:val="auto"/>
                <w:sz w:val="24"/>
                <w:highlight w:val="none"/>
              </w:rPr>
              <w:t>施工船舶生活垃圾定期接收至岸上，交由环</w:t>
            </w:r>
            <w:r>
              <w:rPr>
                <w:rFonts w:hint="eastAsia" w:ascii="Times New Roman" w:hAnsi="Times New Roman" w:eastAsia="宋体" w:cs="Times New Roman"/>
                <w:color w:val="auto"/>
                <w:sz w:val="24"/>
                <w:highlight w:val="none"/>
              </w:rPr>
              <w:t>卫</w:t>
            </w:r>
            <w:r>
              <w:rPr>
                <w:rFonts w:hint="eastAsia"/>
                <w:color w:val="auto"/>
                <w:sz w:val="24"/>
                <w:highlight w:val="none"/>
              </w:rPr>
              <w:t>部门接收处理，禁止</w:t>
            </w:r>
            <w:r>
              <w:rPr>
                <w:rFonts w:hint="eastAsia"/>
                <w:color w:val="auto"/>
                <w:sz w:val="24"/>
                <w:highlight w:val="none"/>
                <w:lang w:eastAsia="zh-CN"/>
              </w:rPr>
              <w:t>将</w:t>
            </w:r>
            <w:r>
              <w:rPr>
                <w:rFonts w:hint="eastAsia"/>
                <w:color w:val="auto"/>
                <w:sz w:val="24"/>
                <w:highlight w:val="none"/>
              </w:rPr>
              <w:t>生活垃圾扔入海域</w:t>
            </w:r>
            <w:r>
              <w:rPr>
                <w:color w:val="auto"/>
                <w:sz w:val="24"/>
                <w:highlight w:val="none"/>
              </w:rPr>
              <w:t>。</w:t>
            </w:r>
          </w:p>
          <w:p w14:paraId="65E25CD5">
            <w:pPr>
              <w:spacing w:line="360" w:lineRule="auto"/>
              <w:ind w:firstLine="48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eastAsia="zh-CN"/>
              </w:rPr>
              <w:t>）疏浚物</w:t>
            </w:r>
          </w:p>
          <w:p w14:paraId="70A180A3">
            <w:pPr>
              <w:widowControl/>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lang w:eastAsia="zh-CN"/>
              </w:rPr>
              <w:t>本项目疏浚土产生量约</w:t>
            </w:r>
            <w:r>
              <w:rPr>
                <w:rFonts w:hint="eastAsia" w:ascii="Times New Roman" w:hAnsi="Times New Roman" w:eastAsia="宋体" w:cs="Times New Roman"/>
                <w:color w:val="auto"/>
                <w:sz w:val="24"/>
                <w:highlight w:val="none"/>
                <w:lang w:val="en-US" w:eastAsia="zh-CN"/>
              </w:rPr>
              <w:t>9.28万m</w:t>
            </w:r>
            <w:r>
              <w:rPr>
                <w:rFonts w:hint="eastAsia" w:ascii="Times New Roman" w:hAnsi="Times New Roman" w:eastAsia="宋体" w:cs="Times New Roman"/>
                <w:color w:val="auto"/>
                <w:sz w:val="24"/>
                <w:highlight w:val="none"/>
                <w:vertAlign w:val="superscript"/>
                <w:lang w:val="en-US" w:eastAsia="zh-CN"/>
              </w:rPr>
              <w:t>3</w:t>
            </w:r>
            <w:r>
              <w:rPr>
                <w:rFonts w:hint="eastAsia"/>
                <w:color w:val="auto"/>
                <w:sz w:val="24"/>
                <w:highlight w:val="none"/>
                <w:u w:val="none"/>
              </w:rPr>
              <w:t>，</w:t>
            </w:r>
            <w:r>
              <w:rPr>
                <w:rFonts w:hint="eastAsia"/>
                <w:color w:val="auto"/>
                <w:sz w:val="24"/>
                <w:highlight w:val="none"/>
                <w:u w:val="none"/>
                <w:lang w:val="en-US" w:eastAsia="zh-CN"/>
              </w:rPr>
              <w:t>参照相邻</w:t>
            </w:r>
            <w:r>
              <w:rPr>
                <w:rFonts w:hint="eastAsia" w:ascii="Times New Roman" w:hAnsi="Times New Roman" w:eastAsia="宋体" w:cs="Times New Roman"/>
                <w:color w:val="auto"/>
                <w:sz w:val="24"/>
                <w:highlight w:val="none"/>
                <w:u w:val="none"/>
                <w:lang w:val="en-US" w:eastAsia="zh-CN"/>
              </w:rPr>
              <w:t>《钦州港金谷港区金鼓江作业区16#17#泊位码头停泊及回旋水域清淤疏浚项目疏浚物海洋倾倒检测评价报告》，本项目疏浚物的所有化学</w:t>
            </w:r>
            <w:r>
              <w:rPr>
                <w:rFonts w:hint="eastAsia" w:cs="Times New Roman"/>
                <w:color w:val="auto"/>
                <w:sz w:val="24"/>
                <w:highlight w:val="none"/>
                <w:u w:val="none"/>
                <w:lang w:val="en-US" w:eastAsia="zh-CN"/>
              </w:rPr>
              <w:t>组分均</w:t>
            </w:r>
            <w:r>
              <w:rPr>
                <w:rFonts w:hint="eastAsia" w:ascii="Times New Roman" w:hAnsi="Times New Roman" w:eastAsia="宋体" w:cs="Times New Roman"/>
                <w:color w:val="auto"/>
                <w:sz w:val="24"/>
                <w:highlight w:val="none"/>
                <w:u w:val="none"/>
                <w:lang w:val="en-US" w:eastAsia="zh-CN"/>
              </w:rPr>
              <w:t>不超过《海洋倾倒物质评价规范疏浚物》（GB30980-2014）表1中的化学组分评价限值的下限，符合 6.1 a)的条件要求，项目中监测的所有疏浚物均为清洁疏浚物（I 类），符合向海倾倒废弃物，符合法律法规和标准的相关要求。</w:t>
            </w:r>
          </w:p>
          <w:p w14:paraId="49AE989E">
            <w:pPr>
              <w:widowControl/>
              <w:spacing w:line="360" w:lineRule="auto"/>
              <w:ind w:firstLine="480" w:firstLineChars="200"/>
              <w:rPr>
                <w:rFonts w:hint="eastAsia"/>
                <w:color w:val="auto"/>
                <w:sz w:val="24"/>
                <w:highlight w:val="none"/>
                <w:u w:val="none"/>
                <w:lang w:val="en-US" w:eastAsia="zh-CN"/>
              </w:rPr>
            </w:pPr>
            <w:r>
              <w:rPr>
                <w:rFonts w:hint="eastAsia"/>
                <w:color w:val="auto"/>
                <w:sz w:val="24"/>
                <w:highlight w:val="none"/>
                <w:u w:val="none"/>
                <w:lang w:eastAsia="zh-CN"/>
              </w:rPr>
              <w:t>本项目选定防城港2#倾倒区，根据生态环境部</w:t>
            </w:r>
            <w:r>
              <w:rPr>
                <w:rFonts w:hint="eastAsia"/>
                <w:color w:val="auto"/>
                <w:sz w:val="24"/>
                <w:highlight w:val="none"/>
                <w:u w:val="none"/>
                <w:lang w:val="en-US" w:eastAsia="zh-CN"/>
              </w:rPr>
              <w:t>2024年第9号关于设立防城港2#倾倒区等5个倾倒区的公告范围为108°30′29.47″E，21°24′54.76″N；108°30′29.47″E，21°22′44.54″N；108°31′49.80″E，21°22′43.96″N；108°31′48.57″E，21°24′56.49″N，四点连线围成的海域，面积约9.3km</w:t>
            </w:r>
            <w:r>
              <w:rPr>
                <w:rFonts w:hint="eastAsia"/>
                <w:color w:val="auto"/>
                <w:sz w:val="24"/>
                <w:highlight w:val="none"/>
                <w:u w:val="none"/>
                <w:vertAlign w:val="superscript"/>
                <w:lang w:val="en-US" w:eastAsia="zh-CN"/>
              </w:rPr>
              <w:t>2</w:t>
            </w:r>
            <w:r>
              <w:rPr>
                <w:rFonts w:hint="eastAsia"/>
                <w:color w:val="auto"/>
                <w:sz w:val="24"/>
                <w:highlight w:val="none"/>
                <w:u w:val="none"/>
                <w:lang w:val="en-US" w:eastAsia="zh-CN"/>
              </w:rPr>
              <w:t>，本项目</w:t>
            </w:r>
            <w:r>
              <w:rPr>
                <w:rFonts w:hint="eastAsia"/>
                <w:color w:val="auto"/>
                <w:sz w:val="24"/>
                <w:highlight w:val="none"/>
                <w:u w:val="none"/>
                <w:lang w:eastAsia="zh-CN"/>
              </w:rPr>
              <w:t>抛泥运输航线距离约</w:t>
            </w:r>
            <w:r>
              <w:rPr>
                <w:rFonts w:hint="eastAsia"/>
                <w:color w:val="auto"/>
                <w:sz w:val="24"/>
                <w:highlight w:val="none"/>
                <w:u w:val="none"/>
                <w:lang w:val="en-US" w:eastAsia="zh-CN"/>
              </w:rPr>
              <w:t>45km，防城港2#倾倒区基本可满足本工程疏浚土外抛需求。</w:t>
            </w:r>
          </w:p>
          <w:p w14:paraId="014E6489">
            <w:pPr>
              <w:widowControl/>
              <w:spacing w:line="360" w:lineRule="auto"/>
              <w:ind w:firstLine="480" w:firstLineChars="200"/>
              <w:rPr>
                <w:rFonts w:hint="eastAsia"/>
                <w:color w:val="auto"/>
                <w:sz w:val="24"/>
                <w:highlight w:val="none"/>
                <w:u w:val="none"/>
                <w:lang w:eastAsia="zh-CN"/>
              </w:rPr>
            </w:pPr>
            <w:r>
              <w:rPr>
                <w:rFonts w:hint="eastAsia"/>
                <w:color w:val="auto"/>
                <w:sz w:val="24"/>
                <w:highlight w:val="none"/>
                <w:u w:val="none"/>
                <w:lang w:val="en-US" w:eastAsia="zh-CN"/>
              </w:rPr>
              <w:t>施工前，建设单位应及时与辖区相关主管单位进行沟通，予以确认抛卸位置，并办理相关手续。运输泥驳船和耙吸船往返期间需要利用现有航道航行，增加了进出港船舶流量及交通负责程度，增大船舶碰撞风险。船舶在航行过程中需要加强值守，谨慎瞭望，遵守钦州港和防城港船舶进出港管理规定，听从海事部门的调度指挥，防止航道内船舶碰撞事故的发生。</w:t>
            </w:r>
            <w:r>
              <w:rPr>
                <w:rFonts w:hint="eastAsia"/>
                <w:color w:val="auto"/>
                <w:sz w:val="24"/>
                <w:highlight w:val="none"/>
                <w:u w:val="none"/>
                <w:lang w:eastAsia="zh-CN"/>
              </w:rPr>
              <w:t>该抛泥区属于公共倾倒区，相关环境影响不纳入本次评价范围，工程疏浚物经采取以上措施后，对周边区域环境影响不大。</w:t>
            </w:r>
          </w:p>
          <w:p w14:paraId="2C442E52">
            <w:pPr>
              <w:pStyle w:val="20"/>
              <w:spacing w:line="360" w:lineRule="auto"/>
              <w:ind w:firstLine="562" w:firstLineChars="200"/>
              <w:rPr>
                <w:rFonts w:hint="default" w:ascii="Times New Roman" w:hAnsi="Times New Roman" w:eastAsia="宋体" w:cs="Times New Roman"/>
                <w:color w:val="auto"/>
                <w:sz w:val="24"/>
                <w:highlight w:val="none"/>
                <w:lang w:val="en-US" w:eastAsia="zh-CN"/>
              </w:rPr>
            </w:pPr>
            <w:r>
              <w:rPr>
                <w:rFonts w:hint="eastAsia" w:ascii="宋体" w:hAnsi="Courier New" w:eastAsia="宋体" w:cs="Times New Roman"/>
                <w:b/>
                <w:bCs/>
                <w:color w:val="auto"/>
                <w:sz w:val="28"/>
                <w:szCs w:val="28"/>
                <w:highlight w:val="none"/>
                <w:lang w:val="en-US" w:eastAsia="zh-CN"/>
              </w:rPr>
              <w:t>4.1.8</w:t>
            </w:r>
            <w:r>
              <w:rPr>
                <w:rFonts w:hint="eastAsia" w:ascii="宋体" w:hAnsi="Courier New" w:eastAsia="宋体" w:cs="Times New Roman"/>
                <w:b/>
                <w:bCs/>
                <w:color w:val="auto"/>
                <w:sz w:val="28"/>
                <w:szCs w:val="28"/>
                <w:highlight w:val="none"/>
                <w:lang w:eastAsia="zh-CN"/>
              </w:rPr>
              <w:t>环境风险分析</w:t>
            </w:r>
            <w:r>
              <w:rPr>
                <w:rFonts w:hint="eastAsia" w:cs="Times New Roman"/>
                <w:b/>
                <w:bCs/>
                <w:color w:val="auto"/>
                <w:sz w:val="28"/>
                <w:szCs w:val="28"/>
                <w:highlight w:val="none"/>
                <w:lang w:val="en-US" w:eastAsia="zh-CN"/>
              </w:rPr>
              <w:t>与评价</w:t>
            </w:r>
          </w:p>
          <w:p w14:paraId="68B8E552">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本项目属于维护性疏浚工程，施工期环境风险主要为施工船舶溢油对海洋环境的影响。</w:t>
            </w:r>
          </w:p>
          <w:p w14:paraId="23FC288C">
            <w:pPr>
              <w:pStyle w:val="20"/>
              <w:numPr>
                <w:ilvl w:val="0"/>
                <w:numId w:val="19"/>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危险物质识别</w:t>
            </w:r>
          </w:p>
          <w:p w14:paraId="1291194E">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及《危险化学品重大危险源辨识》（GB18218-2018）等的相关规定，本项目施工期涉及的危险物质主要为施工船舶航行过程中使用的燃料油，燃料油具有易燃、易爆、持久性污染环境等危险特性</w:t>
            </w:r>
            <w:r>
              <w:rPr>
                <w:rFonts w:hint="eastAsia" w:ascii="Times New Roman" w:hAnsi="Times New Roman" w:eastAsia="宋体" w:cs="Times New Roman"/>
                <w:color w:val="auto"/>
                <w:sz w:val="24"/>
                <w:highlight w:val="none"/>
                <w:lang w:val="en-US" w:eastAsia="zh-CN"/>
              </w:rPr>
              <w:t>，其理化特性见下表：</w:t>
            </w:r>
          </w:p>
          <w:p w14:paraId="1EEA94E1">
            <w:pPr>
              <w:keepNext w:val="0"/>
              <w:keepLines w:val="0"/>
              <w:widowControl/>
              <w:suppressLineNumbers w:val="0"/>
              <w:jc w:val="center"/>
              <w:rPr>
                <w:color w:val="auto"/>
                <w:highlight w:val="none"/>
              </w:rPr>
            </w:pPr>
            <w:r>
              <w:rPr>
                <w:rFonts w:hint="eastAsia" w:ascii="Times New Roman" w:hAnsi="Times New Roman" w:eastAsia="宋体" w:cs="Times New Roman"/>
                <w:b/>
                <w:bCs/>
                <w:color w:val="auto"/>
                <w:kern w:val="2"/>
                <w:sz w:val="21"/>
                <w:szCs w:val="21"/>
                <w:highlight w:val="none"/>
                <w:lang w:val="en-US" w:eastAsia="zh-CN" w:bidi="ar-SA"/>
              </w:rPr>
              <w:t>表4.1-12</w:t>
            </w:r>
            <w:r>
              <w:rPr>
                <w:rFonts w:hint="eastAsia" w:ascii="宋体" w:hAnsi="宋体" w:eastAsia="宋体" w:cs="宋体"/>
                <w:b/>
                <w:bCs/>
                <w:color w:val="auto"/>
                <w:kern w:val="0"/>
                <w:sz w:val="20"/>
                <w:szCs w:val="20"/>
                <w:highlight w:val="none"/>
                <w:lang w:val="en-US" w:eastAsia="zh-CN" w:bidi="ar"/>
              </w:rPr>
              <w:t>燃料油理化特性及危险性一览表</w:t>
            </w:r>
          </w:p>
          <w:tbl>
            <w:tblPr>
              <w:tblStyle w:val="45"/>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450"/>
              <w:gridCol w:w="7706"/>
            </w:tblGrid>
            <w:tr w14:paraId="493D01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tblHeader/>
                <w:jc w:val="center"/>
              </w:trPr>
              <w:tc>
                <w:tcPr>
                  <w:tcW w:w="1369" w:type="dxa"/>
                  <w:noWrap w:val="0"/>
                  <w:vAlign w:val="center"/>
                </w:tcPr>
                <w:p w14:paraId="7D0FAC53">
                  <w:pPr>
                    <w:pStyle w:val="220"/>
                    <w:rPr>
                      <w:b/>
                      <w:bCs/>
                      <w:color w:val="auto"/>
                      <w:highlight w:val="none"/>
                      <w:lang w:val="zh-CN"/>
                    </w:rPr>
                  </w:pPr>
                  <w:r>
                    <w:rPr>
                      <w:b/>
                      <w:bCs/>
                      <w:color w:val="auto"/>
                      <w:highlight w:val="none"/>
                      <w:lang w:val="zh-CN"/>
                    </w:rPr>
                    <w:t>标识</w:t>
                  </w:r>
                </w:p>
              </w:tc>
              <w:tc>
                <w:tcPr>
                  <w:tcW w:w="7273" w:type="dxa"/>
                  <w:noWrap w:val="0"/>
                  <w:vAlign w:val="center"/>
                </w:tcPr>
                <w:p w14:paraId="0ADE764E">
                  <w:pPr>
                    <w:pStyle w:val="220"/>
                    <w:rPr>
                      <w:b/>
                      <w:bCs/>
                      <w:color w:val="auto"/>
                      <w:highlight w:val="none"/>
                      <w:lang w:val="zh-CN"/>
                    </w:rPr>
                  </w:pPr>
                  <w:r>
                    <w:rPr>
                      <w:b/>
                      <w:bCs/>
                      <w:color w:val="auto"/>
                      <w:highlight w:val="none"/>
                      <w:lang w:val="zh-CN"/>
                    </w:rPr>
                    <w:t>中文名：普通柴油</w:t>
                  </w:r>
                </w:p>
              </w:tc>
            </w:tr>
            <w:tr w14:paraId="0CBB2C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restart"/>
                  <w:noWrap w:val="0"/>
                  <w:vAlign w:val="center"/>
                </w:tcPr>
                <w:p w14:paraId="1EE46836">
                  <w:pPr>
                    <w:pStyle w:val="220"/>
                    <w:rPr>
                      <w:color w:val="auto"/>
                      <w:highlight w:val="none"/>
                      <w:lang w:val="zh-CN"/>
                    </w:rPr>
                  </w:pPr>
                  <w:r>
                    <w:rPr>
                      <w:color w:val="auto"/>
                      <w:highlight w:val="none"/>
                      <w:lang w:val="zh-CN"/>
                    </w:rPr>
                    <w:t>危险性类别</w:t>
                  </w:r>
                </w:p>
              </w:tc>
              <w:tc>
                <w:tcPr>
                  <w:tcW w:w="7273" w:type="dxa"/>
                  <w:noWrap w:val="0"/>
                  <w:vAlign w:val="center"/>
                </w:tcPr>
                <w:p w14:paraId="222F67B2">
                  <w:pPr>
                    <w:pStyle w:val="220"/>
                    <w:rPr>
                      <w:color w:val="auto"/>
                      <w:highlight w:val="none"/>
                      <w:lang w:val="zh-CN"/>
                    </w:rPr>
                  </w:pPr>
                  <w:r>
                    <w:rPr>
                      <w:color w:val="auto"/>
                      <w:highlight w:val="none"/>
                      <w:lang w:val="zh-CN"/>
                    </w:rPr>
                    <w:t>UN编号：2924</w:t>
                  </w:r>
                </w:p>
              </w:tc>
            </w:tr>
            <w:tr w14:paraId="47070E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2C0099BD">
                  <w:pPr>
                    <w:pStyle w:val="220"/>
                    <w:rPr>
                      <w:color w:val="auto"/>
                      <w:kern w:val="0"/>
                      <w:highlight w:val="none"/>
                      <w:lang w:val="zh-CN"/>
                    </w:rPr>
                  </w:pPr>
                </w:p>
              </w:tc>
              <w:tc>
                <w:tcPr>
                  <w:tcW w:w="7273" w:type="dxa"/>
                  <w:noWrap w:val="0"/>
                  <w:vAlign w:val="center"/>
                </w:tcPr>
                <w:p w14:paraId="05427C5F">
                  <w:pPr>
                    <w:pStyle w:val="220"/>
                    <w:rPr>
                      <w:color w:val="auto"/>
                      <w:highlight w:val="none"/>
                      <w:lang w:val="zh-CN"/>
                    </w:rPr>
                  </w:pPr>
                  <w:r>
                    <w:rPr>
                      <w:color w:val="auto"/>
                      <w:highlight w:val="none"/>
                      <w:lang w:val="zh-CN"/>
                    </w:rPr>
                    <w:t>危险货物编号：/</w:t>
                  </w:r>
                </w:p>
              </w:tc>
            </w:tr>
            <w:tr w14:paraId="37D901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5976E560">
                  <w:pPr>
                    <w:pStyle w:val="220"/>
                    <w:rPr>
                      <w:color w:val="auto"/>
                      <w:kern w:val="0"/>
                      <w:highlight w:val="none"/>
                      <w:lang w:val="zh-CN"/>
                    </w:rPr>
                  </w:pPr>
                </w:p>
              </w:tc>
              <w:tc>
                <w:tcPr>
                  <w:tcW w:w="7273" w:type="dxa"/>
                  <w:noWrap w:val="0"/>
                  <w:vAlign w:val="center"/>
                </w:tcPr>
                <w:p w14:paraId="1E35609B">
                  <w:pPr>
                    <w:pStyle w:val="220"/>
                    <w:rPr>
                      <w:color w:val="auto"/>
                      <w:highlight w:val="none"/>
                      <w:lang w:val="zh-CN"/>
                    </w:rPr>
                  </w:pPr>
                  <w:r>
                    <w:rPr>
                      <w:color w:val="auto"/>
                      <w:highlight w:val="none"/>
                      <w:lang w:val="zh-CN"/>
                    </w:rPr>
                    <w:t>危险品类别：可燃液体</w:t>
                  </w:r>
                </w:p>
              </w:tc>
            </w:tr>
            <w:tr w14:paraId="40F6EA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restart"/>
                  <w:noWrap w:val="0"/>
                  <w:vAlign w:val="center"/>
                </w:tcPr>
                <w:p w14:paraId="3AF5E9FB">
                  <w:pPr>
                    <w:pStyle w:val="220"/>
                    <w:rPr>
                      <w:color w:val="auto"/>
                      <w:highlight w:val="none"/>
                      <w:lang w:val="zh-CN"/>
                    </w:rPr>
                  </w:pPr>
                  <w:r>
                    <w:rPr>
                      <w:color w:val="auto"/>
                      <w:highlight w:val="none"/>
                      <w:lang w:val="zh-CN"/>
                    </w:rPr>
                    <w:t>理化性质</w:t>
                  </w:r>
                </w:p>
              </w:tc>
              <w:tc>
                <w:tcPr>
                  <w:tcW w:w="7273" w:type="dxa"/>
                  <w:noWrap w:val="0"/>
                  <w:vAlign w:val="center"/>
                </w:tcPr>
                <w:p w14:paraId="4C9A66A0">
                  <w:pPr>
                    <w:pStyle w:val="220"/>
                    <w:rPr>
                      <w:color w:val="auto"/>
                      <w:highlight w:val="none"/>
                      <w:lang w:val="zh-CN"/>
                    </w:rPr>
                  </w:pPr>
                  <w:r>
                    <w:rPr>
                      <w:color w:val="auto"/>
                      <w:highlight w:val="none"/>
                      <w:lang w:val="zh-CN"/>
                    </w:rPr>
                    <w:t>主要</w:t>
                  </w:r>
                  <w:r>
                    <w:rPr>
                      <w:rFonts w:hint="eastAsia"/>
                      <w:color w:val="auto"/>
                      <w:highlight w:val="none"/>
                      <w:lang w:val="zh-CN"/>
                    </w:rPr>
                    <w:t>成分</w:t>
                  </w:r>
                  <w:r>
                    <w:rPr>
                      <w:color w:val="auto"/>
                      <w:highlight w:val="none"/>
                      <w:lang w:val="zh-CN"/>
                    </w:rPr>
                    <w:t>：C15—C23脂肪烃和环烷烃</w:t>
                  </w:r>
                </w:p>
              </w:tc>
            </w:tr>
            <w:tr w14:paraId="26E9AF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1A0384CB">
                  <w:pPr>
                    <w:pStyle w:val="220"/>
                    <w:rPr>
                      <w:color w:val="auto"/>
                      <w:kern w:val="0"/>
                      <w:highlight w:val="none"/>
                      <w:lang w:val="zh-CN"/>
                    </w:rPr>
                  </w:pPr>
                </w:p>
              </w:tc>
              <w:tc>
                <w:tcPr>
                  <w:tcW w:w="7273" w:type="dxa"/>
                  <w:noWrap w:val="0"/>
                  <w:vAlign w:val="center"/>
                </w:tcPr>
                <w:p w14:paraId="0B2D05EC">
                  <w:pPr>
                    <w:pStyle w:val="220"/>
                    <w:rPr>
                      <w:color w:val="auto"/>
                      <w:highlight w:val="none"/>
                      <w:lang w:val="zh-CN"/>
                    </w:rPr>
                  </w:pPr>
                  <w:r>
                    <w:rPr>
                      <w:color w:val="auto"/>
                      <w:highlight w:val="none"/>
                      <w:lang w:val="zh-CN"/>
                    </w:rPr>
                    <w:t>性状：无色或淡黄色液体。</w:t>
                  </w:r>
                </w:p>
              </w:tc>
            </w:tr>
            <w:tr w14:paraId="07C6BB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228B5B3F">
                  <w:pPr>
                    <w:pStyle w:val="220"/>
                    <w:rPr>
                      <w:color w:val="auto"/>
                      <w:kern w:val="0"/>
                      <w:highlight w:val="none"/>
                      <w:lang w:val="zh-CN"/>
                    </w:rPr>
                  </w:pPr>
                </w:p>
              </w:tc>
              <w:tc>
                <w:tcPr>
                  <w:tcW w:w="7273" w:type="dxa"/>
                  <w:noWrap w:val="0"/>
                  <w:vAlign w:val="center"/>
                </w:tcPr>
                <w:p w14:paraId="4F7AEF8C">
                  <w:pPr>
                    <w:pStyle w:val="220"/>
                    <w:rPr>
                      <w:color w:val="auto"/>
                      <w:highlight w:val="none"/>
                      <w:lang w:val="zh-CN"/>
                    </w:rPr>
                  </w:pPr>
                  <w:r>
                    <w:rPr>
                      <w:color w:val="auto"/>
                      <w:highlight w:val="none"/>
                      <w:lang w:val="zh-CN"/>
                    </w:rPr>
                    <w:t>凝点（℃）：10#不高于10；5＃不高于5；0＃不高于0；-10＃不高于-10；-20＃不高于-20；-35＃不高于-35；-50＃不高于-50</w:t>
                  </w:r>
                </w:p>
              </w:tc>
            </w:tr>
            <w:tr w14:paraId="7AC4A9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255FE0A4">
                  <w:pPr>
                    <w:pStyle w:val="220"/>
                    <w:rPr>
                      <w:color w:val="auto"/>
                      <w:kern w:val="0"/>
                      <w:highlight w:val="none"/>
                      <w:lang w:val="zh-CN"/>
                    </w:rPr>
                  </w:pPr>
                </w:p>
              </w:tc>
              <w:tc>
                <w:tcPr>
                  <w:tcW w:w="7273" w:type="dxa"/>
                  <w:noWrap w:val="0"/>
                  <w:vAlign w:val="center"/>
                </w:tcPr>
                <w:p w14:paraId="11BEC4E4">
                  <w:pPr>
                    <w:pStyle w:val="220"/>
                    <w:rPr>
                      <w:color w:val="auto"/>
                      <w:highlight w:val="none"/>
                      <w:lang w:val="zh-CN"/>
                    </w:rPr>
                  </w:pPr>
                  <w:r>
                    <w:rPr>
                      <w:color w:val="auto"/>
                      <w:highlight w:val="none"/>
                      <w:lang w:val="zh-CN"/>
                    </w:rPr>
                    <w:t>密度（20℃）</w:t>
                  </w:r>
                  <w:r>
                    <w:rPr>
                      <w:rFonts w:hint="eastAsia"/>
                      <w:color w:val="auto"/>
                      <w:highlight w:val="none"/>
                      <w:lang w:val="zh-CN"/>
                    </w:rPr>
                    <w:t>kg</w:t>
                  </w:r>
                  <w:r>
                    <w:rPr>
                      <w:color w:val="auto"/>
                      <w:highlight w:val="none"/>
                      <w:lang w:val="zh-CN"/>
                    </w:rPr>
                    <w:t>/m</w:t>
                  </w:r>
                  <w:r>
                    <w:rPr>
                      <w:color w:val="auto"/>
                      <w:highlight w:val="none"/>
                      <w:vertAlign w:val="superscript"/>
                      <w:lang w:val="zh-CN"/>
                    </w:rPr>
                    <w:t>3</w:t>
                  </w:r>
                  <w:r>
                    <w:rPr>
                      <w:color w:val="auto"/>
                      <w:highlight w:val="none"/>
                      <w:lang w:val="zh-CN"/>
                    </w:rPr>
                    <w:t>：10#、5＃、0＃、-10＃为810～850、-20＃；-35＃、-50＃为790～840</w:t>
                  </w:r>
                </w:p>
              </w:tc>
            </w:tr>
            <w:tr w14:paraId="27DF83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37C023B5">
                  <w:pPr>
                    <w:pStyle w:val="220"/>
                    <w:rPr>
                      <w:color w:val="auto"/>
                      <w:kern w:val="0"/>
                      <w:highlight w:val="none"/>
                      <w:lang w:val="zh-CN"/>
                    </w:rPr>
                  </w:pPr>
                </w:p>
              </w:tc>
              <w:tc>
                <w:tcPr>
                  <w:tcW w:w="7273" w:type="dxa"/>
                  <w:noWrap w:val="0"/>
                  <w:vAlign w:val="center"/>
                </w:tcPr>
                <w:p w14:paraId="01168DE0">
                  <w:pPr>
                    <w:pStyle w:val="220"/>
                    <w:rPr>
                      <w:color w:val="auto"/>
                      <w:highlight w:val="none"/>
                      <w:lang w:val="zh-CN"/>
                    </w:rPr>
                  </w:pPr>
                  <w:r>
                    <w:rPr>
                      <w:color w:val="auto"/>
                      <w:highlight w:val="none"/>
                      <w:lang w:val="zh-CN"/>
                    </w:rPr>
                    <w:t>沸点（℃）：200～365</w:t>
                  </w:r>
                </w:p>
              </w:tc>
            </w:tr>
            <w:tr w14:paraId="65B868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7F00B3C8">
                  <w:pPr>
                    <w:pStyle w:val="220"/>
                    <w:rPr>
                      <w:color w:val="auto"/>
                      <w:kern w:val="0"/>
                      <w:highlight w:val="none"/>
                      <w:lang w:val="zh-CN"/>
                    </w:rPr>
                  </w:pPr>
                </w:p>
              </w:tc>
              <w:tc>
                <w:tcPr>
                  <w:tcW w:w="7273" w:type="dxa"/>
                  <w:noWrap w:val="0"/>
                  <w:vAlign w:val="center"/>
                </w:tcPr>
                <w:p w14:paraId="24B6DDD5">
                  <w:pPr>
                    <w:pStyle w:val="220"/>
                    <w:rPr>
                      <w:color w:val="auto"/>
                      <w:highlight w:val="none"/>
                      <w:lang w:val="zh-CN"/>
                    </w:rPr>
                  </w:pPr>
                  <w:r>
                    <w:rPr>
                      <w:color w:val="auto"/>
                      <w:highlight w:val="none"/>
                      <w:lang w:val="zh-CN"/>
                    </w:rPr>
                    <w:t>溶解性：不溶于水，与有机溶剂互溶。</w:t>
                  </w:r>
                </w:p>
              </w:tc>
            </w:tr>
            <w:tr w14:paraId="063281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restart"/>
                  <w:noWrap w:val="0"/>
                  <w:vAlign w:val="center"/>
                </w:tcPr>
                <w:p w14:paraId="34C28DB3">
                  <w:pPr>
                    <w:pStyle w:val="220"/>
                    <w:rPr>
                      <w:color w:val="auto"/>
                      <w:highlight w:val="none"/>
                      <w:lang w:val="zh-CN"/>
                    </w:rPr>
                  </w:pPr>
                  <w:r>
                    <w:rPr>
                      <w:color w:val="auto"/>
                      <w:highlight w:val="none"/>
                      <w:lang w:val="zh-CN"/>
                    </w:rPr>
                    <w:t>燃烧爆炸危险特性</w:t>
                  </w:r>
                </w:p>
              </w:tc>
              <w:tc>
                <w:tcPr>
                  <w:tcW w:w="7273" w:type="dxa"/>
                  <w:noWrap w:val="0"/>
                  <w:vAlign w:val="center"/>
                </w:tcPr>
                <w:p w14:paraId="204C700F">
                  <w:pPr>
                    <w:pStyle w:val="220"/>
                    <w:rPr>
                      <w:color w:val="auto"/>
                      <w:highlight w:val="none"/>
                      <w:lang w:val="zh-CN"/>
                    </w:rPr>
                  </w:pPr>
                  <w:r>
                    <w:rPr>
                      <w:color w:val="auto"/>
                      <w:highlight w:val="none"/>
                      <w:lang w:val="zh-CN"/>
                    </w:rPr>
                    <w:t>燃烧性：易燃烧</w:t>
                  </w:r>
                </w:p>
              </w:tc>
            </w:tr>
            <w:tr w14:paraId="483D59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67DA7D29">
                  <w:pPr>
                    <w:pStyle w:val="220"/>
                    <w:rPr>
                      <w:color w:val="auto"/>
                      <w:kern w:val="0"/>
                      <w:highlight w:val="none"/>
                      <w:lang w:val="zh-CN"/>
                    </w:rPr>
                  </w:pPr>
                </w:p>
              </w:tc>
              <w:tc>
                <w:tcPr>
                  <w:tcW w:w="7273" w:type="dxa"/>
                  <w:noWrap w:val="0"/>
                  <w:vAlign w:val="center"/>
                </w:tcPr>
                <w:p w14:paraId="55C1A05B">
                  <w:pPr>
                    <w:pStyle w:val="220"/>
                    <w:rPr>
                      <w:color w:val="auto"/>
                      <w:highlight w:val="none"/>
                      <w:lang w:val="zh-CN"/>
                    </w:rPr>
                  </w:pPr>
                  <w:r>
                    <w:rPr>
                      <w:color w:val="auto"/>
                      <w:highlight w:val="none"/>
                      <w:lang w:val="zh-CN"/>
                    </w:rPr>
                    <w:t>闪点（℃）：10#、5＃、0＃、-10＃、-20＃不低于55℃；-35＃、-50＃不低于45℃</w:t>
                  </w:r>
                </w:p>
              </w:tc>
            </w:tr>
            <w:tr w14:paraId="73D066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56B6AEA1">
                  <w:pPr>
                    <w:pStyle w:val="220"/>
                    <w:rPr>
                      <w:color w:val="auto"/>
                      <w:kern w:val="0"/>
                      <w:highlight w:val="none"/>
                      <w:lang w:val="zh-CN"/>
                    </w:rPr>
                  </w:pPr>
                </w:p>
              </w:tc>
              <w:tc>
                <w:tcPr>
                  <w:tcW w:w="7273" w:type="dxa"/>
                  <w:noWrap w:val="0"/>
                  <w:vAlign w:val="center"/>
                </w:tcPr>
                <w:p w14:paraId="09D4F0CB">
                  <w:pPr>
                    <w:pStyle w:val="220"/>
                    <w:rPr>
                      <w:color w:val="auto"/>
                      <w:highlight w:val="none"/>
                      <w:lang w:val="zh-CN"/>
                    </w:rPr>
                  </w:pPr>
                  <w:r>
                    <w:rPr>
                      <w:color w:val="auto"/>
                      <w:highlight w:val="none"/>
                      <w:lang w:val="zh-CN"/>
                    </w:rPr>
                    <w:t>引燃温度（℃）：（350～380）</w:t>
                  </w:r>
                </w:p>
              </w:tc>
            </w:tr>
            <w:tr w14:paraId="77C63E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4F8D6DFE">
                  <w:pPr>
                    <w:pStyle w:val="220"/>
                    <w:rPr>
                      <w:color w:val="auto"/>
                      <w:kern w:val="0"/>
                      <w:highlight w:val="none"/>
                      <w:lang w:val="zh-CN"/>
                    </w:rPr>
                  </w:pPr>
                </w:p>
              </w:tc>
              <w:tc>
                <w:tcPr>
                  <w:tcW w:w="7273" w:type="dxa"/>
                  <w:noWrap w:val="0"/>
                  <w:vAlign w:val="center"/>
                </w:tcPr>
                <w:p w14:paraId="6EC39099">
                  <w:pPr>
                    <w:pStyle w:val="220"/>
                    <w:rPr>
                      <w:color w:val="auto"/>
                      <w:highlight w:val="none"/>
                      <w:lang w:val="zh-CN"/>
                    </w:rPr>
                  </w:pPr>
                  <w:r>
                    <w:rPr>
                      <w:color w:val="auto"/>
                      <w:highlight w:val="none"/>
                      <w:lang w:val="zh-CN"/>
                    </w:rPr>
                    <w:t>爆炸极限（%）：（1.5—6.5）</w:t>
                  </w:r>
                </w:p>
              </w:tc>
            </w:tr>
            <w:tr w14:paraId="38CC1C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0F2BDD50">
                  <w:pPr>
                    <w:pStyle w:val="220"/>
                    <w:rPr>
                      <w:color w:val="auto"/>
                      <w:kern w:val="0"/>
                      <w:highlight w:val="none"/>
                      <w:lang w:val="zh-CN"/>
                    </w:rPr>
                  </w:pPr>
                </w:p>
              </w:tc>
              <w:tc>
                <w:tcPr>
                  <w:tcW w:w="7273" w:type="dxa"/>
                  <w:noWrap w:val="0"/>
                  <w:vAlign w:val="center"/>
                </w:tcPr>
                <w:p w14:paraId="3DF040F7">
                  <w:pPr>
                    <w:pStyle w:val="220"/>
                    <w:rPr>
                      <w:color w:val="auto"/>
                      <w:highlight w:val="none"/>
                      <w:lang w:val="zh-CN"/>
                    </w:rPr>
                  </w:pPr>
                  <w:r>
                    <w:rPr>
                      <w:color w:val="auto"/>
                      <w:highlight w:val="none"/>
                      <w:lang w:val="zh-CN"/>
                    </w:rPr>
                    <w:t>危险特性：其蒸气与空气可形成爆炸性混合物，</w:t>
                  </w:r>
                  <w:r>
                    <w:rPr>
                      <w:rFonts w:hint="eastAsia"/>
                      <w:color w:val="auto"/>
                      <w:highlight w:val="none"/>
                      <w:lang w:val="zh-CN"/>
                    </w:rPr>
                    <w:t>遇</w:t>
                  </w:r>
                  <w:r>
                    <w:rPr>
                      <w:color w:val="auto"/>
                      <w:highlight w:val="none"/>
                      <w:lang w:val="zh-CN"/>
                    </w:rPr>
                    <w:t>明火易燃烧爆炸。</w:t>
                  </w:r>
                </w:p>
              </w:tc>
            </w:tr>
            <w:tr w14:paraId="291D52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37B92494">
                  <w:pPr>
                    <w:pStyle w:val="220"/>
                    <w:rPr>
                      <w:color w:val="auto"/>
                      <w:kern w:val="0"/>
                      <w:highlight w:val="none"/>
                      <w:lang w:val="zh-CN"/>
                    </w:rPr>
                  </w:pPr>
                </w:p>
              </w:tc>
              <w:tc>
                <w:tcPr>
                  <w:tcW w:w="7273" w:type="dxa"/>
                  <w:noWrap w:val="0"/>
                  <w:vAlign w:val="center"/>
                </w:tcPr>
                <w:p w14:paraId="4408551E">
                  <w:pPr>
                    <w:pStyle w:val="220"/>
                    <w:rPr>
                      <w:color w:val="auto"/>
                      <w:highlight w:val="none"/>
                      <w:lang w:val="zh-CN"/>
                    </w:rPr>
                  </w:pPr>
                  <w:r>
                    <w:rPr>
                      <w:color w:val="auto"/>
                      <w:highlight w:val="none"/>
                      <w:lang w:val="zh-CN"/>
                    </w:rPr>
                    <w:t>燃烧（分解）产物：CO、CO</w:t>
                  </w:r>
                  <w:r>
                    <w:rPr>
                      <w:color w:val="auto"/>
                      <w:highlight w:val="none"/>
                      <w:vertAlign w:val="subscript"/>
                      <w:lang w:val="zh-CN"/>
                    </w:rPr>
                    <w:t>2</w:t>
                  </w:r>
                  <w:r>
                    <w:rPr>
                      <w:color w:val="auto"/>
                      <w:highlight w:val="none"/>
                      <w:lang w:val="zh-CN"/>
                    </w:rPr>
                    <w:t>、H</w:t>
                  </w:r>
                  <w:r>
                    <w:rPr>
                      <w:color w:val="auto"/>
                      <w:highlight w:val="none"/>
                      <w:vertAlign w:val="subscript"/>
                      <w:lang w:val="zh-CN"/>
                    </w:rPr>
                    <w:t>2</w:t>
                  </w:r>
                  <w:r>
                    <w:rPr>
                      <w:color w:val="auto"/>
                      <w:highlight w:val="none"/>
                      <w:lang w:val="zh-CN"/>
                    </w:rPr>
                    <w:t>O</w:t>
                  </w:r>
                </w:p>
              </w:tc>
            </w:tr>
            <w:tr w14:paraId="5034EF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453EC8B7">
                  <w:pPr>
                    <w:pStyle w:val="220"/>
                    <w:rPr>
                      <w:color w:val="auto"/>
                      <w:kern w:val="0"/>
                      <w:highlight w:val="none"/>
                      <w:lang w:val="zh-CN"/>
                    </w:rPr>
                  </w:pPr>
                </w:p>
              </w:tc>
              <w:tc>
                <w:tcPr>
                  <w:tcW w:w="7273" w:type="dxa"/>
                  <w:noWrap w:val="0"/>
                  <w:vAlign w:val="center"/>
                </w:tcPr>
                <w:p w14:paraId="421CD958">
                  <w:pPr>
                    <w:pStyle w:val="220"/>
                    <w:rPr>
                      <w:color w:val="auto"/>
                      <w:highlight w:val="none"/>
                      <w:lang w:val="zh-CN"/>
                    </w:rPr>
                  </w:pPr>
                  <w:r>
                    <w:rPr>
                      <w:color w:val="auto"/>
                      <w:highlight w:val="none"/>
                      <w:lang w:val="zh-CN"/>
                    </w:rPr>
                    <w:t>禁忌物：强氧化物</w:t>
                  </w:r>
                </w:p>
              </w:tc>
            </w:tr>
            <w:tr w14:paraId="1C4999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restart"/>
                  <w:noWrap w:val="0"/>
                  <w:vAlign w:val="center"/>
                </w:tcPr>
                <w:p w14:paraId="167BFF7B">
                  <w:pPr>
                    <w:pStyle w:val="220"/>
                    <w:rPr>
                      <w:color w:val="auto"/>
                      <w:highlight w:val="none"/>
                      <w:lang w:val="zh-CN"/>
                    </w:rPr>
                  </w:pPr>
                  <w:r>
                    <w:rPr>
                      <w:color w:val="auto"/>
                      <w:highlight w:val="none"/>
                      <w:lang w:val="zh-CN"/>
                    </w:rPr>
                    <w:t>毒性及健康危害</w:t>
                  </w:r>
                </w:p>
              </w:tc>
              <w:tc>
                <w:tcPr>
                  <w:tcW w:w="7273" w:type="dxa"/>
                  <w:noWrap w:val="0"/>
                  <w:vAlign w:val="center"/>
                </w:tcPr>
                <w:p w14:paraId="01DD6711">
                  <w:pPr>
                    <w:pStyle w:val="220"/>
                    <w:rPr>
                      <w:color w:val="auto"/>
                      <w:highlight w:val="none"/>
                      <w:lang w:val="zh-CN"/>
                    </w:rPr>
                  </w:pPr>
                  <w:r>
                    <w:rPr>
                      <w:color w:val="auto"/>
                      <w:highlight w:val="none"/>
                      <w:lang w:val="zh-CN"/>
                    </w:rPr>
                    <w:t>低毒物质。</w:t>
                  </w:r>
                </w:p>
              </w:tc>
            </w:tr>
            <w:tr w14:paraId="6E6F0D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vMerge w:val="continue"/>
                  <w:noWrap w:val="0"/>
                  <w:vAlign w:val="center"/>
                </w:tcPr>
                <w:p w14:paraId="1645F46A">
                  <w:pPr>
                    <w:pStyle w:val="220"/>
                    <w:rPr>
                      <w:color w:val="auto"/>
                      <w:kern w:val="0"/>
                      <w:highlight w:val="none"/>
                      <w:lang w:val="zh-CN"/>
                    </w:rPr>
                  </w:pPr>
                </w:p>
              </w:tc>
              <w:tc>
                <w:tcPr>
                  <w:tcW w:w="7273" w:type="dxa"/>
                  <w:noWrap w:val="0"/>
                  <w:vAlign w:val="center"/>
                </w:tcPr>
                <w:p w14:paraId="18D89F6A">
                  <w:pPr>
                    <w:pStyle w:val="220"/>
                    <w:ind w:firstLine="420" w:firstLineChars="200"/>
                    <w:jc w:val="both"/>
                    <w:rPr>
                      <w:color w:val="auto"/>
                      <w:highlight w:val="none"/>
                      <w:lang w:val="zh-CN"/>
                    </w:rPr>
                  </w:pPr>
                  <w:r>
                    <w:rPr>
                      <w:color w:val="auto"/>
                      <w:highlight w:val="none"/>
                      <w:lang w:val="zh-CN"/>
                    </w:rPr>
                    <w:t>侵入途径：吸入、食入、经皮肤吸收</w:t>
                  </w:r>
                </w:p>
                <w:p w14:paraId="55825F53">
                  <w:pPr>
                    <w:pStyle w:val="220"/>
                    <w:ind w:firstLine="420" w:firstLineChars="200"/>
                    <w:jc w:val="both"/>
                    <w:rPr>
                      <w:color w:val="auto"/>
                      <w:highlight w:val="none"/>
                      <w:lang w:val="zh-CN"/>
                    </w:rPr>
                  </w:pPr>
                  <w:r>
                    <w:rPr>
                      <w:color w:val="auto"/>
                      <w:highlight w:val="none"/>
                      <w:lang w:val="zh-CN"/>
                    </w:rPr>
                    <w:t>健康危害：主要作用于中枢神经系统，急性中毒症状有头晕、头痛、恶心、呕吐、步态不稳、共济失调。高浓度吸入出现中毒性脑病。极高浓度吸入引起意识突然丧失，反射性呼吸停止及化学性肺炎。可致角膜溃疡、穿孔</w:t>
                  </w:r>
                  <w:r>
                    <w:rPr>
                      <w:rFonts w:hint="eastAsia"/>
                      <w:color w:val="auto"/>
                      <w:highlight w:val="none"/>
                      <w:lang w:val="zh-CN"/>
                    </w:rPr>
                    <w:t>，甚至</w:t>
                  </w:r>
                  <w:r>
                    <w:rPr>
                      <w:color w:val="auto"/>
                      <w:highlight w:val="none"/>
                      <w:lang w:val="zh-CN"/>
                    </w:rPr>
                    <w:t>失明。皮肤接触致急性接触性皮炎或过敏性皮炎。急性经口中毒引起急性胃肠炎，重者出现类似急性吸入中毒症状。</w:t>
                  </w:r>
                </w:p>
                <w:p w14:paraId="6F6388F2">
                  <w:pPr>
                    <w:pStyle w:val="220"/>
                    <w:ind w:firstLine="420" w:firstLineChars="200"/>
                    <w:jc w:val="both"/>
                    <w:rPr>
                      <w:color w:val="auto"/>
                      <w:highlight w:val="none"/>
                      <w:lang w:val="zh-CN"/>
                    </w:rPr>
                  </w:pPr>
                  <w:r>
                    <w:rPr>
                      <w:color w:val="auto"/>
                      <w:highlight w:val="none"/>
                      <w:lang w:val="zh-CN"/>
                    </w:rPr>
                    <w:t>慢性中毒：神经衰弱</w:t>
                  </w:r>
                  <w:r>
                    <w:rPr>
                      <w:rFonts w:hint="eastAsia"/>
                      <w:color w:val="auto"/>
                      <w:highlight w:val="none"/>
                      <w:lang w:val="zh-CN"/>
                    </w:rPr>
                    <w:t>综合征</w:t>
                  </w:r>
                  <w:r>
                    <w:rPr>
                      <w:color w:val="auto"/>
                      <w:highlight w:val="none"/>
                      <w:lang w:val="zh-CN"/>
                    </w:rPr>
                    <w:t>，周围神经病，皮肤损害。</w:t>
                  </w:r>
                </w:p>
              </w:tc>
            </w:tr>
            <w:tr w14:paraId="6A0504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noWrap w:val="0"/>
                  <w:vAlign w:val="center"/>
                </w:tcPr>
                <w:p w14:paraId="6AF71690">
                  <w:pPr>
                    <w:pStyle w:val="220"/>
                    <w:rPr>
                      <w:color w:val="auto"/>
                      <w:kern w:val="0"/>
                      <w:highlight w:val="none"/>
                      <w:lang w:val="zh-CN"/>
                    </w:rPr>
                  </w:pPr>
                  <w:r>
                    <w:rPr>
                      <w:color w:val="auto"/>
                      <w:kern w:val="0"/>
                      <w:highlight w:val="none"/>
                      <w:lang w:val="zh-CN"/>
                    </w:rPr>
                    <w:t>防护措施</w:t>
                  </w:r>
                </w:p>
              </w:tc>
              <w:tc>
                <w:tcPr>
                  <w:tcW w:w="7273" w:type="dxa"/>
                  <w:noWrap w:val="0"/>
                  <w:vAlign w:val="center"/>
                </w:tcPr>
                <w:p w14:paraId="6668E43A">
                  <w:pPr>
                    <w:pStyle w:val="220"/>
                    <w:rPr>
                      <w:color w:val="auto"/>
                      <w:highlight w:val="none"/>
                      <w:lang w:val="zh-CN"/>
                    </w:rPr>
                  </w:pPr>
                  <w:r>
                    <w:rPr>
                      <w:color w:val="auto"/>
                      <w:highlight w:val="none"/>
                      <w:lang w:val="zh-CN"/>
                    </w:rPr>
                    <w:t>工程控制：密闭操作，全面通风，工作现场严禁火种。</w:t>
                  </w:r>
                </w:p>
                <w:p w14:paraId="70C8A023">
                  <w:pPr>
                    <w:pStyle w:val="220"/>
                    <w:rPr>
                      <w:color w:val="auto"/>
                      <w:highlight w:val="none"/>
                      <w:lang w:val="zh-CN"/>
                    </w:rPr>
                  </w:pPr>
                  <w:r>
                    <w:rPr>
                      <w:color w:val="auto"/>
                      <w:highlight w:val="none"/>
                      <w:lang w:val="zh-CN"/>
                    </w:rPr>
                    <w:t>身体防护：穿防静电工作服。</w:t>
                  </w:r>
                </w:p>
                <w:p w14:paraId="0BA21FB3">
                  <w:pPr>
                    <w:pStyle w:val="220"/>
                    <w:rPr>
                      <w:color w:val="auto"/>
                      <w:highlight w:val="none"/>
                      <w:lang w:val="zh-CN"/>
                    </w:rPr>
                  </w:pPr>
                  <w:r>
                    <w:rPr>
                      <w:color w:val="auto"/>
                      <w:highlight w:val="none"/>
                      <w:lang w:val="zh-CN"/>
                    </w:rPr>
                    <w:t>手防护：戴耐油手套。</w:t>
                  </w:r>
                </w:p>
              </w:tc>
            </w:tr>
            <w:tr w14:paraId="552A1F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369" w:type="dxa"/>
                  <w:noWrap w:val="0"/>
                  <w:vAlign w:val="center"/>
                </w:tcPr>
                <w:p w14:paraId="7C19C0ED">
                  <w:pPr>
                    <w:pStyle w:val="220"/>
                    <w:rPr>
                      <w:color w:val="auto"/>
                      <w:kern w:val="0"/>
                      <w:highlight w:val="none"/>
                      <w:lang w:val="zh-CN"/>
                    </w:rPr>
                  </w:pPr>
                  <w:r>
                    <w:rPr>
                      <w:color w:val="auto"/>
                      <w:kern w:val="0"/>
                      <w:highlight w:val="none"/>
                      <w:lang w:val="zh-CN"/>
                    </w:rPr>
                    <w:t>储运</w:t>
                  </w:r>
                </w:p>
              </w:tc>
              <w:tc>
                <w:tcPr>
                  <w:tcW w:w="7273" w:type="dxa"/>
                  <w:noWrap w:val="0"/>
                  <w:vAlign w:val="center"/>
                </w:tcPr>
                <w:p w14:paraId="0227576B">
                  <w:pPr>
                    <w:pStyle w:val="220"/>
                    <w:rPr>
                      <w:color w:val="auto"/>
                      <w:highlight w:val="none"/>
                      <w:lang w:val="zh-CN"/>
                    </w:rPr>
                  </w:pPr>
                  <w:r>
                    <w:rPr>
                      <w:color w:val="auto"/>
                      <w:highlight w:val="none"/>
                      <w:lang w:val="zh-CN"/>
                    </w:rPr>
                    <w:t>存储要保持容器密封，要有防火、防爆技术措施，禁止使用易产生火花的机械设备和工具。灌装时应注意流速。且有接地装置，防止静电积聚。</w:t>
                  </w:r>
                </w:p>
              </w:tc>
            </w:tr>
          </w:tbl>
          <w:p w14:paraId="6F632E89">
            <w:pPr>
              <w:pStyle w:val="20"/>
              <w:numPr>
                <w:ilvl w:val="0"/>
                <w:numId w:val="19"/>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工艺过程危险性识别</w:t>
            </w:r>
          </w:p>
          <w:p w14:paraId="7B5D0E64">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属于维护性疏浚工程，项目疏浚过程中涉及的主要环境风险为施工船舶在进出港池过程中，由于船舶因素、人为因素、天气因素造成的搁浅、船舶互相碰撞或船舶撞击码头等事故，导致船载燃油泄漏入海、扩散，甚至引发火灾爆炸事故，污染周边海洋环境。</w:t>
            </w:r>
          </w:p>
          <w:p w14:paraId="718F86F6">
            <w:pPr>
              <w:pStyle w:val="20"/>
              <w:numPr>
                <w:ilvl w:val="0"/>
                <w:numId w:val="19"/>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环境风险评价等级</w:t>
            </w:r>
          </w:p>
          <w:p w14:paraId="192E5E70">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根据《建设项目环境风险评价技术导则》（</w:t>
            </w:r>
            <w:r>
              <w:rPr>
                <w:rFonts w:hint="default" w:ascii="Times New Roman" w:hAnsi="Times New Roman" w:eastAsia="宋体" w:cs="Times New Roman"/>
                <w:color w:val="auto"/>
                <w:sz w:val="24"/>
                <w:highlight w:val="none"/>
                <w:u w:val="none"/>
                <w:lang w:val="en-US" w:eastAsia="zh-CN"/>
              </w:rPr>
              <w:t>HJ169-2018</w:t>
            </w:r>
            <w:r>
              <w:rPr>
                <w:rFonts w:hint="eastAsia" w:ascii="Times New Roman" w:hAnsi="Times New Roman" w:eastAsia="宋体" w:cs="Times New Roman"/>
                <w:color w:val="auto"/>
                <w:sz w:val="24"/>
                <w:highlight w:val="none"/>
                <w:u w:val="none"/>
                <w:lang w:val="en-US" w:eastAsia="zh-CN"/>
              </w:rPr>
              <w:t>）的规定，环境风险评价工作等级划分为一级、二级、三级和简单分析。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w:t>
            </w:r>
          </w:p>
          <w:p w14:paraId="3BF9346B">
            <w:pPr>
              <w:spacing w:line="360" w:lineRule="auto"/>
              <w:jc w:val="center"/>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表4.1-7环境风险评价工作等级判据</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3"/>
              <w:gridCol w:w="1706"/>
              <w:gridCol w:w="1521"/>
              <w:gridCol w:w="1834"/>
              <w:gridCol w:w="1838"/>
            </w:tblGrid>
            <w:tr w14:paraId="039F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pct"/>
                  <w:noWrap w:val="0"/>
                  <w:vAlign w:val="center"/>
                </w:tcPr>
                <w:p w14:paraId="70A42E2E">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环境风险潜势</w:t>
                  </w:r>
                </w:p>
              </w:tc>
              <w:tc>
                <w:tcPr>
                  <w:tcW w:w="930" w:type="pct"/>
                  <w:noWrap w:val="0"/>
                  <w:vAlign w:val="center"/>
                </w:tcPr>
                <w:p w14:paraId="2A989AF3">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Ⅳ、Ⅳ</w:t>
                  </w:r>
                  <w:r>
                    <w:rPr>
                      <w:rFonts w:hint="default" w:ascii="Times New Roman" w:hAnsi="Times New Roman" w:eastAsia="宋体" w:cs="Times New Roman"/>
                      <w:color w:val="auto"/>
                      <w:kern w:val="0"/>
                      <w:sz w:val="13"/>
                      <w:szCs w:val="13"/>
                      <w:highlight w:val="none"/>
                      <w:lang w:val="en-US" w:eastAsia="zh-CN" w:bidi="ar"/>
                    </w:rPr>
                    <w:t>+</w:t>
                  </w:r>
                </w:p>
              </w:tc>
              <w:tc>
                <w:tcPr>
                  <w:tcW w:w="829" w:type="pct"/>
                  <w:noWrap w:val="0"/>
                  <w:vAlign w:val="center"/>
                </w:tcPr>
                <w:p w14:paraId="655A3242">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Ⅲ</w:t>
                  </w:r>
                </w:p>
              </w:tc>
              <w:tc>
                <w:tcPr>
                  <w:tcW w:w="1000" w:type="pct"/>
                  <w:noWrap w:val="0"/>
                  <w:vAlign w:val="center"/>
                </w:tcPr>
                <w:p w14:paraId="147F2F51">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Ⅱ</w:t>
                  </w:r>
                </w:p>
              </w:tc>
              <w:tc>
                <w:tcPr>
                  <w:tcW w:w="1000" w:type="pct"/>
                  <w:noWrap w:val="0"/>
                  <w:vAlign w:val="center"/>
                </w:tcPr>
                <w:p w14:paraId="42F22C36">
                  <w:pPr>
                    <w:keepNext w:val="0"/>
                    <w:keepLines w:val="0"/>
                    <w:widowControl/>
                    <w:suppressLineNumbers w:val="0"/>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Ⅰ</w:t>
                  </w:r>
                </w:p>
              </w:tc>
            </w:tr>
            <w:tr w14:paraId="6FB7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pct"/>
                  <w:noWrap w:val="0"/>
                  <w:vAlign w:val="center"/>
                </w:tcPr>
                <w:p w14:paraId="3A9D2C59">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评价工作等级</w:t>
                  </w:r>
                </w:p>
              </w:tc>
              <w:tc>
                <w:tcPr>
                  <w:tcW w:w="930" w:type="pct"/>
                  <w:noWrap w:val="0"/>
                  <w:vAlign w:val="center"/>
                </w:tcPr>
                <w:p w14:paraId="31B97D1C">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一</w:t>
                  </w:r>
                </w:p>
              </w:tc>
              <w:tc>
                <w:tcPr>
                  <w:tcW w:w="829" w:type="pct"/>
                  <w:noWrap w:val="0"/>
                  <w:vAlign w:val="center"/>
                </w:tcPr>
                <w:p w14:paraId="7BEED1E2">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二</w:t>
                  </w:r>
                </w:p>
              </w:tc>
              <w:tc>
                <w:tcPr>
                  <w:tcW w:w="1000" w:type="pct"/>
                  <w:noWrap w:val="0"/>
                  <w:vAlign w:val="center"/>
                </w:tcPr>
                <w:p w14:paraId="0C6769C0">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三</w:t>
                  </w:r>
                </w:p>
              </w:tc>
              <w:tc>
                <w:tcPr>
                  <w:tcW w:w="1000" w:type="pct"/>
                  <w:noWrap w:val="0"/>
                  <w:vAlign w:val="center"/>
                </w:tcPr>
                <w:p w14:paraId="22D5AAB5">
                  <w:pPr>
                    <w:pStyle w:val="2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vertAlign w:val="baseline"/>
                      <w:lang w:val="en-US" w:eastAsia="zh-CN"/>
                    </w:rPr>
                    <w:t>简单分析</w:t>
                  </w:r>
                  <w:r>
                    <w:rPr>
                      <w:rFonts w:hint="default" w:ascii="Times New Roman" w:hAnsi="Times New Roman" w:eastAsia="宋体" w:cs="Times New Roman"/>
                      <w:color w:val="auto"/>
                      <w:kern w:val="0"/>
                      <w:sz w:val="20"/>
                      <w:szCs w:val="20"/>
                      <w:highlight w:val="none"/>
                      <w:vertAlign w:val="superscript"/>
                      <w:lang w:val="en-US" w:eastAsia="zh-CN" w:bidi="ar"/>
                    </w:rPr>
                    <w:t>a</w:t>
                  </w:r>
                </w:p>
              </w:tc>
            </w:tr>
            <w:tr w14:paraId="0E8F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14:paraId="411B5663">
                  <w:pPr>
                    <w:keepNext w:val="0"/>
                    <w:keepLines w:val="0"/>
                    <w:widowControl/>
                    <w:suppressLineNumbers w:val="0"/>
                    <w:jc w:val="left"/>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kern w:val="0"/>
                      <w:sz w:val="20"/>
                      <w:szCs w:val="20"/>
                      <w:highlight w:val="none"/>
                      <w:lang w:val="en-US" w:eastAsia="zh-CN" w:bidi="ar"/>
                    </w:rPr>
                    <w:t>a是相对于详细评价工作内容而言，在描述危险物质、环境影响途径、环境危害后果、风险防范措施等给出定性说明。</w:t>
                  </w:r>
                </w:p>
              </w:tc>
            </w:tr>
          </w:tbl>
          <w:p w14:paraId="014AAFCE">
            <w:pPr>
              <w:pStyle w:val="20"/>
              <w:numPr>
                <w:ilvl w:val="0"/>
                <w:numId w:val="19"/>
              </w:numPr>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风险潜势初判</w:t>
            </w:r>
          </w:p>
          <w:p w14:paraId="4247EBFD">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根据《建设项目环境风险评价技术导则》（HJ169-2018）以及《环境影响评价技术导则 海洋环境》（HJ1409-2025），本项目涉及的物质和工艺系统的危险性及其所在地的环境敏感程度，结合事故影响下环境影响途径，对本项目潜在环境危害程度进行概化分析，确定环境风险潜势。</w:t>
            </w:r>
          </w:p>
          <w:p w14:paraId="3458C42C">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①Q值判定</w:t>
            </w:r>
          </w:p>
          <w:p w14:paraId="25CB1C03">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A.计算公式的选取</w:t>
            </w:r>
          </w:p>
          <w:p w14:paraId="51BD535F">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lang w:val="en-US" w:eastAsia="zh-CN"/>
              </w:rPr>
              <w:t>根据《环境影响评价技术导则 海洋生态环境》（HJ1409-2025），附录G中“危险物质主要考虑对海洋生态产生危害的物质，其中油类物质的临界量见表G.1，其他危险物质的临界量参照HJ169”，则油类物质（矿物油类，如石油、汽油、柴油等；生物柴油等）临界量为100t，</w:t>
            </w:r>
          </w:p>
          <w:p w14:paraId="63CD659F">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油类物质参照</w:t>
            </w:r>
            <w:r>
              <w:rPr>
                <w:rFonts w:hint="eastAsia" w:ascii="Times New Roman" w:hAnsi="Times New Roman" w:eastAsia="宋体" w:cs="Times New Roman"/>
                <w:color w:val="auto"/>
                <w:sz w:val="24"/>
                <w:highlight w:val="none"/>
                <w:lang w:val="en-US" w:eastAsia="zh-CN"/>
              </w:rPr>
              <w:t>《环境影响评价技术导则 海洋生态环境》（HJ1409-2025）附录G，</w:t>
            </w:r>
            <w:r>
              <w:rPr>
                <w:rFonts w:hint="eastAsia" w:ascii="Times New Roman" w:hAnsi="Times New Roman" w:eastAsia="宋体" w:cs="Times New Roman"/>
                <w:color w:val="auto"/>
                <w:sz w:val="24"/>
                <w:highlight w:val="none"/>
                <w:u w:val="none"/>
                <w:lang w:val="en-US" w:eastAsia="zh-CN"/>
              </w:rPr>
              <w:t>计算所涉及的每种危险物质在危险单元内的最大存在总量与对应临界量的比值Q。</w:t>
            </w:r>
          </w:p>
          <w:p w14:paraId="2DFAAF14">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当只涉及一种危险物质时，计算该物质的总量与其临界量比值，即为Q:</w:t>
            </w:r>
          </w:p>
          <w:p w14:paraId="6190D120">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当存在多种危险物质时，则按式(</w:t>
            </w:r>
            <w:r>
              <w:rPr>
                <w:rFonts w:hint="eastAsia" w:ascii="Times New Roman" w:hAnsi="Times New Roman" w:eastAsia="宋体" w:cs="Times New Roman"/>
                <w:color w:val="auto"/>
                <w:sz w:val="24"/>
                <w:highlight w:val="none"/>
                <w:u w:val="none"/>
                <w:lang w:val="en-US" w:eastAsia="zh-CN"/>
              </w:rPr>
              <w:t>G</w:t>
            </w:r>
            <w:r>
              <w:rPr>
                <w:rFonts w:hint="default" w:ascii="Times New Roman" w:hAnsi="Times New Roman" w:eastAsia="宋体" w:cs="Times New Roman"/>
                <w:color w:val="auto"/>
                <w:sz w:val="24"/>
                <w:highlight w:val="none"/>
                <w:u w:val="none"/>
                <w:lang w:val="en-US" w:eastAsia="zh-CN"/>
              </w:rPr>
              <w:t>.1)计算物质总量与其临界量比值(Q)</w:t>
            </w:r>
          </w:p>
          <w:p w14:paraId="37CEB073">
            <w:pPr>
              <w:spacing w:line="360" w:lineRule="auto"/>
              <w:jc w:val="center"/>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w:t>
            </w:r>
            <w:r>
              <w:rPr>
                <w:rFonts w:hint="eastAsia" w:ascii="Times New Roman" w:hAnsi="Times New Roman" w:eastAsia="宋体"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lang w:val="en-US" w:eastAsia="zh-CN"/>
              </w:rPr>
              <w:t>Qn(</w:t>
            </w:r>
            <w:r>
              <w:rPr>
                <w:rFonts w:hint="eastAsia" w:ascii="Times New Roman" w:hAnsi="Times New Roman" w:eastAsia="宋体" w:cs="Times New Roman"/>
                <w:color w:val="auto"/>
                <w:sz w:val="24"/>
                <w:highlight w:val="none"/>
                <w:u w:val="none"/>
                <w:lang w:val="en-US" w:eastAsia="zh-CN"/>
              </w:rPr>
              <w:t>G</w:t>
            </w:r>
            <w:r>
              <w:rPr>
                <w:rFonts w:hint="default" w:ascii="Times New Roman" w:hAnsi="Times New Roman" w:eastAsia="宋体" w:cs="Times New Roman"/>
                <w:color w:val="auto"/>
                <w:sz w:val="24"/>
                <w:highlight w:val="none"/>
                <w:u w:val="none"/>
                <w:lang w:val="en-US" w:eastAsia="zh-CN"/>
              </w:rPr>
              <w:t>.1)</w:t>
            </w:r>
          </w:p>
          <w:p w14:paraId="36C3DCAA">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式中</w:t>
            </w:r>
            <w:r>
              <w:rPr>
                <w:rFonts w:hint="eastAsia" w:ascii="Times New Roman" w:hAnsi="Times New Roman" w:eastAsia="宋体" w:cs="Times New Roman"/>
                <w:color w:val="auto"/>
                <w:sz w:val="24"/>
                <w:highlight w:val="none"/>
                <w:u w:val="none"/>
                <w:lang w:val="en-US" w:eastAsia="zh-CN"/>
              </w:rPr>
              <w:t>：</w:t>
            </w:r>
          </w:p>
          <w:p w14:paraId="3B6500C2">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1</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，…，qn--每种危险物质的最大存在总量，t</w:t>
            </w:r>
            <w:r>
              <w:rPr>
                <w:rFonts w:hint="eastAsia" w:ascii="Times New Roman" w:hAnsi="Times New Roman" w:eastAsia="宋体" w:cs="Times New Roman"/>
                <w:color w:val="auto"/>
                <w:sz w:val="24"/>
                <w:highlight w:val="none"/>
                <w:u w:val="none"/>
                <w:lang w:val="en-US" w:eastAsia="zh-CN"/>
              </w:rPr>
              <w:t>；</w:t>
            </w:r>
          </w:p>
          <w:p w14:paraId="7461F834">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l</w:t>
            </w:r>
            <w:r>
              <w:rPr>
                <w:rFonts w:hint="default" w:ascii="Times New Roman" w:hAnsi="Times New Roman" w:eastAsia="宋体" w:cs="Times New Roman"/>
                <w:color w:val="auto"/>
                <w:sz w:val="24"/>
                <w:highlight w:val="none"/>
                <w:u w:val="none"/>
                <w:lang w:val="en-US" w:eastAsia="zh-CN"/>
              </w:rPr>
              <w:t>，Q</w:t>
            </w:r>
            <w:r>
              <w:rPr>
                <w:rFonts w:hint="default" w:ascii="Times New Roman" w:hAnsi="Times New Roman" w:eastAsia="宋体" w:cs="Times New Roman"/>
                <w:color w:val="auto"/>
                <w:sz w:val="24"/>
                <w:highlight w:val="none"/>
                <w:u w:val="none"/>
                <w:vertAlign w:val="subscript"/>
                <w:lang w:val="en-US" w:eastAsia="zh-CN"/>
              </w:rPr>
              <w:t>2</w:t>
            </w:r>
            <w:r>
              <w:rPr>
                <w:rFonts w:hint="default" w:ascii="Times New Roman" w:hAnsi="Times New Roman" w:eastAsia="宋体" w:cs="Times New Roman"/>
                <w:color w:val="auto"/>
                <w:sz w:val="24"/>
                <w:highlight w:val="none"/>
                <w:u w:val="none"/>
                <w:lang w:val="en-US" w:eastAsia="zh-CN"/>
              </w:rPr>
              <w:t>，…，Qn--每种危险物质的临界量，t。</w:t>
            </w:r>
          </w:p>
          <w:p w14:paraId="6DEC6587">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将Q值划分为</w:t>
            </w:r>
            <w:r>
              <w:rPr>
                <w:rFonts w:hint="eastAsia" w:ascii="Times New Roman" w:hAnsi="Times New Roman" w:eastAsia="宋体" w:cs="Times New Roman"/>
                <w:color w:val="auto"/>
                <w:sz w:val="24"/>
                <w:highlight w:val="none"/>
                <w:u w:val="none"/>
                <w:lang w:val="en-US" w:eastAsia="zh-CN"/>
              </w:rPr>
              <w:t>：（1）</w:t>
            </w:r>
            <w:r>
              <w:rPr>
                <w:rFonts w:hint="default" w:ascii="Times New Roman" w:hAnsi="Times New Roman" w:eastAsia="宋体" w:cs="Times New Roman"/>
                <w:color w:val="auto"/>
                <w:sz w:val="24"/>
                <w:highlight w:val="none"/>
                <w:u w:val="none"/>
                <w:lang w:val="en-US" w:eastAsia="zh-CN"/>
              </w:rPr>
              <w:t>Q&lt;1</w:t>
            </w:r>
            <w:r>
              <w:rPr>
                <w:rFonts w:hint="eastAsia" w:ascii="Times New Roman" w:hAnsi="Times New Roman" w:eastAsia="宋体" w:cs="Times New Roman"/>
                <w:color w:val="auto"/>
                <w:sz w:val="24"/>
                <w:highlight w:val="none"/>
                <w:u w:val="none"/>
                <w:lang w:val="en-US" w:eastAsia="zh-CN"/>
              </w:rPr>
              <w:t>；（2）</w:t>
            </w:r>
            <w:r>
              <w:rPr>
                <w:rFonts w:hint="default" w:ascii="Times New Roman" w:hAnsi="Times New Roman" w:eastAsia="宋体" w:cs="Times New Roman"/>
                <w:color w:val="auto"/>
                <w:sz w:val="24"/>
                <w:highlight w:val="none"/>
                <w:u w:val="none"/>
                <w:lang w:val="en-US" w:eastAsia="zh-CN"/>
              </w:rPr>
              <w:t>1≤Q&lt;10</w:t>
            </w:r>
            <w:r>
              <w:rPr>
                <w:rFonts w:hint="eastAsia" w:ascii="Times New Roman" w:hAnsi="Times New Roman" w:eastAsia="宋体" w:cs="Times New Roman"/>
                <w:color w:val="auto"/>
                <w:sz w:val="24"/>
                <w:highlight w:val="none"/>
                <w:u w:val="none"/>
                <w:lang w:val="en-US" w:eastAsia="zh-CN"/>
              </w:rPr>
              <w:t>；（3）</w:t>
            </w:r>
            <w:r>
              <w:rPr>
                <w:rFonts w:hint="default" w:ascii="Times New Roman" w:hAnsi="Times New Roman" w:eastAsia="宋体" w:cs="Times New Roman"/>
                <w:color w:val="auto"/>
                <w:sz w:val="24"/>
                <w:highlight w:val="none"/>
                <w:u w:val="none"/>
                <w:lang w:val="en-US" w:eastAsia="zh-CN"/>
              </w:rPr>
              <w:t>10≤Q&lt;100</w:t>
            </w:r>
            <w:r>
              <w:rPr>
                <w:rFonts w:hint="eastAsia" w:ascii="Times New Roman" w:hAnsi="Times New Roman" w:eastAsia="宋体" w:cs="Times New Roman"/>
                <w:color w:val="auto"/>
                <w:sz w:val="24"/>
                <w:highlight w:val="none"/>
                <w:u w:val="none"/>
                <w:lang w:val="en-US" w:eastAsia="zh-CN"/>
              </w:rPr>
              <w:t>；（4）</w:t>
            </w:r>
            <w:r>
              <w:rPr>
                <w:rFonts w:hint="default" w:ascii="Times New Roman" w:hAnsi="Times New Roman" w:eastAsia="宋体" w:cs="Times New Roman"/>
                <w:color w:val="auto"/>
                <w:sz w:val="24"/>
                <w:highlight w:val="none"/>
                <w:u w:val="none"/>
                <w:lang w:val="en-US" w:eastAsia="zh-CN"/>
              </w:rPr>
              <w:t>Q≥100。</w:t>
            </w:r>
          </w:p>
          <w:p w14:paraId="53F6E073">
            <w:pPr>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B.船舶燃油量</w:t>
            </w:r>
          </w:p>
          <w:p w14:paraId="16968CC0">
            <w:pPr>
              <w:pStyle w:val="2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本项目属于维护性疏浚工程，不涉及危险化学品的储运，项目环境主要风险为船舶漏油溢油对水体的影响，溢油量按照设计代表船型的船用燃料油全部泄漏的数量确定。</w:t>
            </w:r>
          </w:p>
          <w:p w14:paraId="791D2E03">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本项目施工拟投入1艘舱容为3500m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的耙吸船，吨位约5700t；1艘10m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抓斗挖泥船，吨位约200t；舱容为2500m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泥驳船，吨位约4000t。根据《船舶污染海洋环境风险评价技术规范（试行）》附录4.1中的规定，非油轮船舶燃油最大携带量也可用船舶总吨推算，根据船型不同，一般取船舶总吨的8%～12%，本环评按照10%推算船舶燃油的最大携带量，按照最不利影响状况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的耙吸船发生船舶溢油事故。施工期最多泄漏燃料油为5700×10%=570t。</w:t>
            </w:r>
          </w:p>
          <w:p w14:paraId="593BDB16">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 海洋生态环境》附录G ，船舶燃料油（油类物质）临界量为100t，详见下表。</w:t>
            </w:r>
          </w:p>
          <w:p w14:paraId="488F5896">
            <w:pPr>
              <w:spacing w:line="360" w:lineRule="auto"/>
              <w:jc w:val="center"/>
              <w:rPr>
                <w:rFonts w:hint="default" w:ascii="Times New Roman" w:hAnsi="Times New Roman" w:eastAsia="宋体" w:cs="Times New Roman"/>
                <w:b/>
                <w:bCs/>
                <w:color w:val="auto"/>
                <w:sz w:val="24"/>
                <w:highlight w:val="none"/>
                <w:u w:val="none"/>
                <w:lang w:val="en-US" w:eastAsia="zh-CN"/>
              </w:rPr>
            </w:pPr>
            <w:r>
              <w:rPr>
                <w:rFonts w:hint="eastAsia" w:ascii="Times New Roman" w:hAnsi="Times New Roman" w:eastAsia="宋体" w:cs="Times New Roman"/>
                <w:b/>
                <w:bCs/>
                <w:color w:val="auto"/>
                <w:sz w:val="24"/>
                <w:highlight w:val="none"/>
                <w:u w:val="none"/>
                <w:lang w:val="en-US" w:eastAsia="zh-CN"/>
              </w:rPr>
              <w:t>表4.1-8油类物质的临界量</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6"/>
              <w:gridCol w:w="2106"/>
            </w:tblGrid>
            <w:tr w14:paraId="490F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2" w:type="pct"/>
                  <w:noWrap w:val="0"/>
                  <w:vAlign w:val="center"/>
                </w:tcPr>
                <w:p w14:paraId="6B5A59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物质名称</w:t>
                  </w:r>
                </w:p>
              </w:tc>
              <w:tc>
                <w:tcPr>
                  <w:tcW w:w="1147" w:type="pct"/>
                  <w:noWrap w:val="0"/>
                  <w:vAlign w:val="center"/>
                </w:tcPr>
                <w:p w14:paraId="20E681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临界量t</w:t>
                  </w:r>
                </w:p>
              </w:tc>
            </w:tr>
            <w:tr w14:paraId="6B82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52" w:type="pct"/>
                  <w:noWrap w:val="0"/>
                  <w:vAlign w:val="center"/>
                </w:tcPr>
                <w:p w14:paraId="774E63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油类物质（矿物油类，如石油、汽油、柴油等；生物柴油等）</w:t>
                  </w:r>
                </w:p>
              </w:tc>
              <w:tc>
                <w:tcPr>
                  <w:tcW w:w="1147" w:type="pct"/>
                  <w:noWrap w:val="0"/>
                  <w:vAlign w:val="center"/>
                </w:tcPr>
                <w:p w14:paraId="0040DE9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100</w:t>
                  </w:r>
                </w:p>
              </w:tc>
            </w:tr>
            <w:tr w14:paraId="369D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noWrap w:val="0"/>
                  <w:vAlign w:val="center"/>
                </w:tcPr>
                <w:p w14:paraId="29D973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lang w:val="en-US" w:eastAsia="zh-CN" w:bidi="ar"/>
                    </w:rPr>
                    <w:t>注：船舶在线量按单个船舶所载货油或船用燃料油全部舱容的数量确定。</w:t>
                  </w:r>
                </w:p>
              </w:tc>
            </w:tr>
          </w:tbl>
          <w:p w14:paraId="3D34B6FD">
            <w:pPr>
              <w:pStyle w:val="20"/>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本项目危险物质（燃料油）与油类物质临界量比值Q=570/100=5.7，1</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Q=5.7</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10，项目的风险潜势为</w:t>
            </w:r>
            <w:r>
              <w:rPr>
                <w:rFonts w:hint="default" w:ascii="Times New Roman" w:hAnsi="Times New Roman" w:eastAsia="宋体" w:cs="Times New Roman"/>
                <w:color w:val="auto"/>
                <w:sz w:val="24"/>
                <w:highlight w:val="none"/>
                <w:lang w:val="en-US" w:eastAsia="zh-CN"/>
              </w:rPr>
              <w:t>Ⅱ</w:t>
            </w:r>
            <w:r>
              <w:rPr>
                <w:rFonts w:hint="eastAsia" w:ascii="Times New Roman" w:hAnsi="Times New Roman" w:eastAsia="宋体" w:cs="Times New Roman"/>
                <w:color w:val="auto"/>
                <w:sz w:val="24"/>
                <w:highlight w:val="none"/>
                <w:lang w:val="en-US" w:eastAsia="zh-CN"/>
              </w:rPr>
              <w:t>，则项目风险评价等级为三级评价</w:t>
            </w:r>
            <w:r>
              <w:rPr>
                <w:rFonts w:hint="eastAsia" w:ascii="Times New Roman" w:hAnsi="Times New Roman" w:cs="Times New Roman"/>
                <w:color w:val="auto"/>
                <w:sz w:val="24"/>
                <w:highlight w:val="none"/>
                <w:lang w:val="en-US" w:eastAsia="zh-CN"/>
              </w:rPr>
              <w:t>。</w:t>
            </w:r>
          </w:p>
          <w:p w14:paraId="5C61C1D4">
            <w:pPr>
              <w:spacing w:line="360" w:lineRule="auto"/>
              <w:ind w:firstLine="480" w:firstLineChars="200"/>
              <w:rPr>
                <w:rFonts w:hint="eastAsia" w:cs="Times New Roman"/>
                <w:color w:val="auto"/>
                <w:sz w:val="24"/>
                <w:highlight w:val="none"/>
                <w:u w:val="single"/>
                <w:lang w:val="en-US" w:eastAsia="zh-CN"/>
              </w:rPr>
            </w:pPr>
            <w:r>
              <w:rPr>
                <w:rFonts w:hint="eastAsia" w:cs="Times New Roman"/>
                <w:color w:val="auto"/>
                <w:sz w:val="24"/>
                <w:highlight w:val="none"/>
                <w:u w:val="single"/>
                <w:lang w:val="en-US" w:eastAsia="zh-CN"/>
              </w:rPr>
              <w:t>②环境敏感程度（E）的分级</w:t>
            </w:r>
          </w:p>
          <w:p w14:paraId="2364D03D">
            <w:pPr>
              <w:pStyle w:val="20"/>
              <w:spacing w:line="360" w:lineRule="auto"/>
              <w:ind w:firstLine="480" w:firstLineChars="200"/>
              <w:rPr>
                <w:rFonts w:hint="eastAsia"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根据《环境影响评价技术导则 海洋生态环境》附录G</w:t>
            </w:r>
            <w:r>
              <w:rPr>
                <w:rFonts w:hint="eastAsia" w:ascii="Times New Roman" w:hAnsi="Times New Roman" w:cs="Times New Roman"/>
                <w:color w:val="auto"/>
                <w:sz w:val="24"/>
                <w:highlight w:val="none"/>
                <w:u w:val="single"/>
                <w:lang w:val="en-US" w:eastAsia="zh-CN"/>
              </w:rPr>
              <w:t>，</w:t>
            </w:r>
            <w:r>
              <w:rPr>
                <w:rFonts w:ascii="宋体" w:hAnsi="宋体" w:eastAsia="宋体" w:cs="宋体"/>
                <w:color w:val="auto"/>
                <w:sz w:val="24"/>
                <w:szCs w:val="24"/>
                <w:highlight w:val="none"/>
                <w:u w:val="single"/>
              </w:rPr>
              <w:t>依据事故情况下危险物质泄漏可能影响生态敏感区的情况，分为三种类型，</w:t>
            </w:r>
            <w:r>
              <w:rPr>
                <w:rFonts w:hint="eastAsia" w:ascii="Times New Roman" w:hAnsi="Times New Roman" w:eastAsia="宋体" w:cs="Times New Roman"/>
                <w:color w:val="auto"/>
                <w:sz w:val="24"/>
                <w:highlight w:val="none"/>
                <w:u w:val="single"/>
                <w:lang w:val="en-US" w:eastAsia="zh-CN"/>
              </w:rPr>
              <w:t xml:space="preserve">E1 </w:t>
            </w:r>
            <w:r>
              <w:rPr>
                <w:rFonts w:ascii="宋体" w:hAnsi="宋体" w:eastAsia="宋体" w:cs="宋体"/>
                <w:color w:val="auto"/>
                <w:sz w:val="24"/>
                <w:szCs w:val="24"/>
                <w:highlight w:val="none"/>
                <w:u w:val="single"/>
              </w:rPr>
              <w:t>为环境高度敏感区，</w:t>
            </w:r>
            <w:r>
              <w:rPr>
                <w:rFonts w:hint="eastAsia" w:ascii="Times New Roman" w:hAnsi="Times New Roman" w:eastAsia="宋体" w:cs="Times New Roman"/>
                <w:color w:val="auto"/>
                <w:sz w:val="24"/>
                <w:highlight w:val="none"/>
                <w:u w:val="single"/>
                <w:lang w:val="en-US" w:eastAsia="zh-CN"/>
              </w:rPr>
              <w:t xml:space="preserve"> E2</w:t>
            </w:r>
            <w:r>
              <w:rPr>
                <w:rFonts w:ascii="宋体" w:hAnsi="宋体" w:eastAsia="宋体" w:cs="宋体"/>
                <w:color w:val="auto"/>
                <w:sz w:val="24"/>
                <w:szCs w:val="24"/>
                <w:highlight w:val="none"/>
                <w:u w:val="single"/>
              </w:rPr>
              <w:t xml:space="preserve"> 为环境中度敏感区，</w:t>
            </w:r>
            <w:r>
              <w:rPr>
                <w:rFonts w:hint="eastAsia" w:ascii="Times New Roman" w:hAnsi="Times New Roman" w:eastAsia="宋体" w:cs="Times New Roman"/>
                <w:color w:val="auto"/>
                <w:sz w:val="24"/>
                <w:highlight w:val="none"/>
                <w:u w:val="single"/>
                <w:lang w:val="en-US" w:eastAsia="zh-CN"/>
              </w:rPr>
              <w:t>E3</w:t>
            </w:r>
            <w:r>
              <w:rPr>
                <w:rFonts w:ascii="宋体" w:hAnsi="宋体" w:eastAsia="宋体" w:cs="宋体"/>
                <w:color w:val="auto"/>
                <w:sz w:val="24"/>
                <w:szCs w:val="24"/>
                <w:highlight w:val="none"/>
                <w:u w:val="single"/>
              </w:rPr>
              <w:t xml:space="preserve"> 为环境低度敏感区。</w:t>
            </w:r>
          </w:p>
          <w:p w14:paraId="6E8F026B">
            <w:pPr>
              <w:spacing w:line="360" w:lineRule="auto"/>
              <w:jc w:val="center"/>
              <w:rPr>
                <w:rFonts w:hint="eastAsia" w:cs="Times New Roman"/>
                <w:b/>
                <w:bCs/>
                <w:color w:val="auto"/>
                <w:sz w:val="24"/>
                <w:highlight w:val="none"/>
                <w:u w:val="single"/>
                <w:lang w:val="en-US" w:eastAsia="zh-CN"/>
              </w:rPr>
            </w:pPr>
            <w:r>
              <w:rPr>
                <w:rFonts w:hint="eastAsia" w:ascii="Times New Roman" w:hAnsi="Times New Roman" w:eastAsia="宋体" w:cs="Times New Roman"/>
                <w:b/>
                <w:bCs/>
                <w:color w:val="auto"/>
                <w:sz w:val="24"/>
                <w:highlight w:val="none"/>
                <w:u w:val="single"/>
                <w:lang w:val="en-US" w:eastAsia="zh-CN"/>
              </w:rPr>
              <w:t>表4.1-9</w:t>
            </w:r>
            <w:r>
              <w:rPr>
                <w:rFonts w:hint="eastAsia" w:cs="Times New Roman"/>
                <w:b/>
                <w:bCs/>
                <w:color w:val="auto"/>
                <w:sz w:val="24"/>
                <w:highlight w:val="none"/>
                <w:u w:val="single"/>
                <w:lang w:val="en-US" w:eastAsia="zh-CN"/>
              </w:rPr>
              <w:t xml:space="preserve"> 环境敏感程度分级</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7769"/>
            </w:tblGrid>
            <w:tr w14:paraId="639D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noWrap w:val="0"/>
                  <w:vAlign w:val="center"/>
                </w:tcPr>
                <w:p w14:paraId="013F04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vertAlign w:val="baseline"/>
                      <w:lang w:val="en-US" w:eastAsia="zh-CN"/>
                    </w:rPr>
                  </w:pPr>
                  <w:r>
                    <w:rPr>
                      <w:rFonts w:hint="eastAsia" w:cs="Times New Roman"/>
                      <w:b/>
                      <w:bCs/>
                      <w:color w:val="auto"/>
                      <w:kern w:val="0"/>
                      <w:sz w:val="21"/>
                      <w:szCs w:val="21"/>
                      <w:highlight w:val="none"/>
                      <w:u w:val="single"/>
                      <w:lang w:val="en-US" w:eastAsia="zh-CN" w:bidi="ar"/>
                    </w:rPr>
                    <w:t>敏感性</w:t>
                  </w:r>
                </w:p>
              </w:tc>
              <w:tc>
                <w:tcPr>
                  <w:tcW w:w="4234" w:type="pct"/>
                  <w:noWrap w:val="0"/>
                  <w:vAlign w:val="center"/>
                </w:tcPr>
                <w:p w14:paraId="052CAC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vertAlign w:val="baseline"/>
                      <w:lang w:val="en-US" w:eastAsia="zh-CN"/>
                    </w:rPr>
                  </w:pPr>
                  <w:r>
                    <w:rPr>
                      <w:rFonts w:hint="eastAsia" w:cs="Times New Roman"/>
                      <w:b/>
                      <w:bCs/>
                      <w:color w:val="auto"/>
                      <w:kern w:val="0"/>
                      <w:sz w:val="21"/>
                      <w:szCs w:val="21"/>
                      <w:highlight w:val="none"/>
                      <w:u w:val="single"/>
                      <w:lang w:val="en-US" w:eastAsia="zh-CN" w:bidi="ar"/>
                    </w:rPr>
                    <w:t>环境敏感特征</w:t>
                  </w:r>
                </w:p>
              </w:tc>
            </w:tr>
            <w:tr w14:paraId="0F4D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noWrap w:val="0"/>
                  <w:vAlign w:val="center"/>
                </w:tcPr>
                <w:p w14:paraId="4C55F6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eastAsia" w:cs="Times New Roman"/>
                      <w:b w:val="0"/>
                      <w:bCs w:val="0"/>
                      <w:color w:val="auto"/>
                      <w:sz w:val="21"/>
                      <w:szCs w:val="21"/>
                      <w:highlight w:val="none"/>
                      <w:u w:val="single"/>
                      <w:vertAlign w:val="baseline"/>
                      <w:lang w:val="en-US" w:eastAsia="zh-CN"/>
                    </w:rPr>
                    <w:t>E1</w:t>
                  </w:r>
                </w:p>
              </w:tc>
              <w:tc>
                <w:tcPr>
                  <w:tcW w:w="4234" w:type="pct"/>
                  <w:noWrap w:val="0"/>
                  <w:vAlign w:val="center"/>
                </w:tcPr>
                <w:p w14:paraId="714CC7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ascii="宋体" w:hAnsi="宋体" w:eastAsia="宋体" w:cs="宋体"/>
                      <w:color w:val="auto"/>
                      <w:sz w:val="21"/>
                      <w:szCs w:val="21"/>
                      <w:highlight w:val="none"/>
                      <w:u w:val="single"/>
                    </w:rPr>
                    <w:t>危险物质泄漏到海洋的排放点位于海水水质分类第一类区域或重要敏感区</w:t>
                  </w:r>
                </w:p>
              </w:tc>
            </w:tr>
            <w:tr w14:paraId="5D10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noWrap w:val="0"/>
                  <w:vAlign w:val="center"/>
                </w:tcPr>
                <w:p w14:paraId="1A8D12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eastAsia" w:cs="Times New Roman"/>
                      <w:b w:val="0"/>
                      <w:bCs w:val="0"/>
                      <w:color w:val="auto"/>
                      <w:sz w:val="21"/>
                      <w:szCs w:val="21"/>
                      <w:highlight w:val="none"/>
                      <w:u w:val="single"/>
                      <w:vertAlign w:val="baseline"/>
                      <w:lang w:val="en-US" w:eastAsia="zh-CN"/>
                    </w:rPr>
                    <w:t>E2</w:t>
                  </w:r>
                </w:p>
              </w:tc>
              <w:tc>
                <w:tcPr>
                  <w:tcW w:w="4234" w:type="pct"/>
                  <w:noWrap w:val="0"/>
                  <w:vAlign w:val="center"/>
                </w:tcPr>
                <w:p w14:paraId="72942B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
                    </w:rPr>
                  </w:pPr>
                  <w:r>
                    <w:rPr>
                      <w:rFonts w:ascii="宋体" w:hAnsi="宋体" w:eastAsia="宋体" w:cs="宋体"/>
                      <w:color w:val="auto"/>
                      <w:sz w:val="21"/>
                      <w:szCs w:val="21"/>
                      <w:highlight w:val="none"/>
                      <w:u w:val="single"/>
                    </w:rPr>
                    <w:t>危险物质泄漏到海洋的排放点位于海水水质分类第二类区域或一般敏感区</w:t>
                  </w:r>
                </w:p>
              </w:tc>
            </w:tr>
            <w:tr w14:paraId="19AB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5" w:type="pct"/>
                  <w:noWrap w:val="0"/>
                  <w:vAlign w:val="center"/>
                </w:tcPr>
                <w:p w14:paraId="33DC14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eastAsia" w:cs="Times New Roman"/>
                      <w:b w:val="0"/>
                      <w:bCs w:val="0"/>
                      <w:color w:val="auto"/>
                      <w:sz w:val="21"/>
                      <w:szCs w:val="21"/>
                      <w:highlight w:val="none"/>
                      <w:u w:val="single"/>
                      <w:vertAlign w:val="baseline"/>
                      <w:lang w:val="en-US" w:eastAsia="zh-CN"/>
                    </w:rPr>
                    <w:t>E3</w:t>
                  </w:r>
                </w:p>
              </w:tc>
              <w:tc>
                <w:tcPr>
                  <w:tcW w:w="4234" w:type="pct"/>
                  <w:noWrap w:val="0"/>
                  <w:vAlign w:val="center"/>
                </w:tcPr>
                <w:p w14:paraId="5AEB48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
                    </w:rPr>
                  </w:pPr>
                  <w:r>
                    <w:rPr>
                      <w:rFonts w:ascii="宋体" w:hAnsi="宋体" w:eastAsia="宋体" w:cs="宋体"/>
                      <w:color w:val="auto"/>
                      <w:sz w:val="21"/>
                      <w:szCs w:val="21"/>
                      <w:highlight w:val="none"/>
                      <w:u w:val="single"/>
                    </w:rPr>
                    <w:t>上述地区之外的其他地区</w:t>
                  </w:r>
                </w:p>
              </w:tc>
            </w:tr>
          </w:tbl>
          <w:p w14:paraId="44CC6421">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val="0"/>
                <w:bCs w:val="0"/>
                <w:color w:val="auto"/>
                <w:sz w:val="24"/>
                <w:highlight w:val="none"/>
                <w:u w:val="single"/>
                <w:lang w:val="en-US" w:eastAsia="zh-CN"/>
              </w:rPr>
            </w:pPr>
            <w:r>
              <w:rPr>
                <w:rFonts w:hint="default" w:ascii="Times New Roman" w:hAnsi="Times New Roman" w:cs="Times New Roman"/>
                <w:b w:val="0"/>
                <w:bCs w:val="0"/>
                <w:color w:val="auto"/>
                <w:sz w:val="24"/>
                <w:highlight w:val="none"/>
                <w:u w:val="single"/>
                <w:lang w:val="en-US" w:eastAsia="zh-CN"/>
              </w:rPr>
              <w:t>根据《广西壮族自治区近岸海域环境功能区划调整方案》（桂环发〔2023〕9号），本项目位于钦州港大榄坪港口、工业区(GX055DIV)，主导功能为港口、工业用海，属于四类环境功能区，环境敏感分级为E3 环境低度敏感区。</w:t>
            </w:r>
          </w:p>
          <w:p w14:paraId="69D020B2">
            <w:pPr>
              <w:pStyle w:val="20"/>
              <w:numPr>
                <w:ilvl w:val="0"/>
                <w:numId w:val="19"/>
              </w:numPr>
              <w:spacing w:line="360" w:lineRule="auto"/>
              <w:ind w:left="0" w:leftChars="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环境风险类型识别</w:t>
            </w:r>
          </w:p>
          <w:p w14:paraId="16C69348">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属于维护性疏浚工程，施工期主要风险来源于船舶碰撞后可能出现的溢油和意外漏油事故，多为船舶相撞、操作失误或极端天气造成。另外，项目施工期间，施工船舶存在由于管理或操作失误等原因引起燃料油泄漏的可能性，但这种事故的影响和危害程度较小。</w:t>
            </w:r>
          </w:p>
          <w:p w14:paraId="2D76CA6E">
            <w:pPr>
              <w:pStyle w:val="2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①自然灾害风险</w:t>
            </w:r>
            <w:r>
              <w:rPr>
                <w:rFonts w:hint="eastAsia" w:ascii="Times New Roman" w:hAnsi="Times New Roman" w:cs="Times New Roman"/>
                <w:b/>
                <w:bCs/>
                <w:color w:val="auto"/>
                <w:sz w:val="24"/>
                <w:highlight w:val="none"/>
                <w:lang w:val="en-US" w:eastAsia="zh-CN"/>
              </w:rPr>
              <w:t>影响分析</w:t>
            </w:r>
          </w:p>
          <w:p w14:paraId="18C7E5FF">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所处海域是热带气旋、风暴潮、暴雨多发海域，可能遭受热带气旋、海浪、暴雨等自然灾害的袭击。在热带气旋活动过程中往往伴随着狂风、暴雨、巨浪和暴潮，导致海堤被毁、房屋倒塌、农田被淹、通信和电力设施被毁，人民生命财产损失巨大。因此，对本工程直接造成不利影响的海洋灾害主要是热带气旋、灾害性波浪和风暴潮。强台风导致的海域超高潮位、巨浪正面袭击验潮站均会造成重大损失。</w:t>
            </w:r>
          </w:p>
          <w:p w14:paraId="119122D7">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因此，施工期间如遇恶劣天气及海况，施工单位应停止一切施工，做好相应的安全检查工作，制定事故应急预案，本项目施工期自然灾害的风险事故是可以避免的。</w:t>
            </w:r>
          </w:p>
          <w:p w14:paraId="6711E9F1">
            <w:pPr>
              <w:pStyle w:val="2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②溢油事故风险</w:t>
            </w:r>
            <w:r>
              <w:rPr>
                <w:rFonts w:hint="eastAsia" w:ascii="Times New Roman" w:hAnsi="Times New Roman" w:cs="Times New Roman"/>
                <w:b/>
                <w:bCs/>
                <w:color w:val="auto"/>
                <w:sz w:val="24"/>
                <w:highlight w:val="none"/>
                <w:lang w:val="en-US" w:eastAsia="zh-CN"/>
              </w:rPr>
              <w:t>影响分析</w:t>
            </w:r>
          </w:p>
          <w:p w14:paraId="2A8C4267">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根据《环境影响评价技术导则海洋生态环境》（</w:t>
            </w:r>
            <w:r>
              <w:rPr>
                <w:rFonts w:hint="default" w:ascii="Times New Roman" w:hAnsi="Times New Roman" w:eastAsia="宋体" w:cs="Times New Roman"/>
                <w:color w:val="auto"/>
                <w:sz w:val="24"/>
                <w:highlight w:val="none"/>
                <w:lang w:val="en-US" w:eastAsia="zh-CN"/>
              </w:rPr>
              <w:t>HJ1409-2025</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8.6</w:t>
            </w:r>
            <w:r>
              <w:rPr>
                <w:rFonts w:hint="eastAsia" w:ascii="Times New Roman" w:hAnsi="Times New Roman" w:eastAsia="宋体" w:cs="Times New Roman"/>
                <w:color w:val="auto"/>
                <w:sz w:val="24"/>
                <w:highlight w:val="none"/>
                <w:lang w:val="en-US" w:eastAsia="zh-CN"/>
              </w:rPr>
              <w:t>海洋生态环境风险预测”中“一、二级评价项目油和类油（漂浮型）有毒有害物质的漂移扩散过程按附录</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中的“溢油粒子模型”进行预测；三级评价项目应定性分析说明海域环境影响后果”，本项目的风险潜势为Ⅱ，海洋环境风险评价等级为三级评价，因此，本项目溢油事故风险影响采用定性分析。</w:t>
            </w:r>
          </w:p>
          <w:p w14:paraId="2D93A6CC">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在施工期溢油风险的概率较低，但有可能出现因管理不严、措施不当而引起的环境污染等事故，主要是船舶碰撞后出现的溢油和意外漏油事故。发生溢油事故时，石油类在水体内发生扩展，难以依靠水体短时间内自净降解，致使水体内石油含量超标，油膜在海面上扩散，阻止海气交换，对海洋生态环境和景观造成一定影响。</w:t>
            </w:r>
          </w:p>
          <w:p w14:paraId="348E7622">
            <w:pPr>
              <w:pStyle w:val="20"/>
              <w:spacing w:line="360" w:lineRule="auto"/>
              <w:ind w:firstLine="480" w:firstLineChars="200"/>
              <w:rPr>
                <w:rFonts w:hint="default" w:ascii="Times New Roman" w:hAnsi="Times New Roman" w:cs="Times New Roman"/>
                <w:color w:val="auto"/>
                <w:sz w:val="24"/>
                <w:highlight w:val="none"/>
                <w:u w:val="single"/>
                <w:lang w:val="en-US" w:eastAsia="zh-CN"/>
              </w:rPr>
            </w:pPr>
            <w:r>
              <w:rPr>
                <w:rFonts w:hint="default" w:ascii="Times New Roman" w:hAnsi="Times New Roman" w:cs="Times New Roman"/>
                <w:color w:val="auto"/>
                <w:sz w:val="24"/>
                <w:highlight w:val="none"/>
                <w:u w:val="single"/>
                <w:lang w:val="en-US" w:eastAsia="zh-CN"/>
              </w:rPr>
              <w:t>1艘舱容为3500m</w:t>
            </w:r>
            <w:r>
              <w:rPr>
                <w:rFonts w:hint="default" w:ascii="Times New Roman" w:hAnsi="Times New Roman" w:cs="Times New Roman"/>
                <w:color w:val="auto"/>
                <w:sz w:val="24"/>
                <w:highlight w:val="none"/>
                <w:u w:val="single"/>
                <w:vertAlign w:val="superscript"/>
                <w:lang w:val="en-US" w:eastAsia="zh-CN"/>
              </w:rPr>
              <w:t>3</w:t>
            </w:r>
            <w:r>
              <w:rPr>
                <w:rFonts w:hint="default" w:ascii="Times New Roman" w:hAnsi="Times New Roman" w:cs="Times New Roman"/>
                <w:color w:val="auto"/>
                <w:sz w:val="24"/>
                <w:highlight w:val="none"/>
                <w:u w:val="single"/>
                <w:lang w:val="en-US" w:eastAsia="zh-CN"/>
              </w:rPr>
              <w:t>的耙吸船</w:t>
            </w:r>
            <w:r>
              <w:rPr>
                <w:rFonts w:hint="eastAsia" w:ascii="Times New Roman" w:hAnsi="Times New Roman"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1艘10m</w:t>
            </w:r>
            <w:r>
              <w:rPr>
                <w:rFonts w:hint="default" w:ascii="Times New Roman" w:hAnsi="Times New Roman" w:cs="Times New Roman"/>
                <w:color w:val="auto"/>
                <w:sz w:val="24"/>
                <w:highlight w:val="none"/>
                <w:u w:val="single"/>
                <w:vertAlign w:val="superscript"/>
                <w:lang w:val="en-US" w:eastAsia="zh-CN"/>
              </w:rPr>
              <w:t>3</w:t>
            </w:r>
            <w:r>
              <w:rPr>
                <w:rFonts w:hint="default" w:ascii="Times New Roman" w:hAnsi="Times New Roman" w:cs="Times New Roman"/>
                <w:color w:val="auto"/>
                <w:sz w:val="24"/>
                <w:highlight w:val="none"/>
                <w:u w:val="single"/>
                <w:lang w:val="en-US" w:eastAsia="zh-CN"/>
              </w:rPr>
              <w:t>抓斗挖泥船</w:t>
            </w:r>
            <w:r>
              <w:rPr>
                <w:rFonts w:hint="eastAsia" w:ascii="Times New Roman" w:hAnsi="Times New Roman" w:cs="Times New Roman"/>
                <w:color w:val="auto"/>
                <w:sz w:val="24"/>
                <w:highlight w:val="none"/>
                <w:u w:val="single"/>
                <w:lang w:val="en-US" w:eastAsia="zh-CN"/>
              </w:rPr>
              <w:t>；</w:t>
            </w:r>
            <w:r>
              <w:rPr>
                <w:rFonts w:hint="default" w:ascii="Times New Roman" w:hAnsi="Times New Roman" w:cs="Times New Roman"/>
                <w:color w:val="auto"/>
                <w:sz w:val="24"/>
                <w:highlight w:val="none"/>
                <w:u w:val="single"/>
                <w:lang w:val="en-US" w:eastAsia="zh-CN"/>
              </w:rPr>
              <w:t>舱容为2500m</w:t>
            </w:r>
            <w:r>
              <w:rPr>
                <w:rFonts w:hint="default" w:ascii="Times New Roman" w:hAnsi="Times New Roman" w:cs="Times New Roman"/>
                <w:color w:val="auto"/>
                <w:sz w:val="24"/>
                <w:highlight w:val="none"/>
                <w:u w:val="single"/>
                <w:vertAlign w:val="superscript"/>
                <w:lang w:val="en-US" w:eastAsia="zh-CN"/>
              </w:rPr>
              <w:t>3</w:t>
            </w:r>
            <w:r>
              <w:rPr>
                <w:rFonts w:hint="default" w:ascii="Times New Roman" w:hAnsi="Times New Roman" w:cs="Times New Roman"/>
                <w:color w:val="auto"/>
                <w:sz w:val="24"/>
                <w:highlight w:val="none"/>
                <w:u w:val="single"/>
                <w:lang w:val="en-US" w:eastAsia="zh-CN"/>
              </w:rPr>
              <w:t>的泥驳船。</w:t>
            </w:r>
            <w:r>
              <w:rPr>
                <w:rFonts w:hint="eastAsia" w:ascii="Times New Roman" w:hAnsi="Times New Roman" w:cs="Times New Roman"/>
                <w:color w:val="auto"/>
                <w:sz w:val="24"/>
                <w:highlight w:val="none"/>
                <w:u w:val="single"/>
                <w:lang w:val="en-US" w:eastAsia="zh-CN"/>
              </w:rPr>
              <w:t>项目疏浚过程中船只数量较少，且为小型船舶。</w:t>
            </w:r>
            <w:r>
              <w:rPr>
                <w:rFonts w:hint="eastAsia" w:ascii="Times New Roman" w:hAnsi="Times New Roman" w:eastAsia="宋体" w:cs="Times New Roman"/>
                <w:color w:val="auto"/>
                <w:sz w:val="24"/>
                <w:highlight w:val="none"/>
                <w:u w:val="single"/>
                <w:lang w:val="en-US" w:eastAsia="zh-CN"/>
              </w:rPr>
              <w:t>项目疏浚区域与金鼓江航道重叠，施工船舶会占据一定的海域，对船舶通航有一定影响，施工过程中，合理安排疏浚时间和工程船舶的调遣，应随时注意公共航道船舶航行状态，减少对过往船只的影响，</w:t>
            </w:r>
            <w:r>
              <w:rPr>
                <w:rFonts w:hint="eastAsia" w:ascii="Times New Roman" w:hAnsi="Times New Roman" w:cs="Times New Roman"/>
                <w:color w:val="auto"/>
                <w:sz w:val="24"/>
                <w:highlight w:val="none"/>
                <w:u w:val="single"/>
                <w:lang w:val="en-US" w:eastAsia="zh-CN"/>
              </w:rPr>
              <w:t>项目疏浚施工过程中发生船舶碰撞等事故造成海上溢油风险概率较低，同时，16#17#码头区域配备了相应的围油栏、吸油毡及储存装置等溢油应急物资，在做好船舶施工人员安全操作教育工作、并制定切实可行的溢油风险防范措施和应急预案的基础上，本项目船舶溢油事故所产生的环境风险可以控制在可接受风险水平内。</w:t>
            </w:r>
          </w:p>
          <w:p w14:paraId="49608A90">
            <w:pPr>
              <w:pStyle w:val="20"/>
              <w:spacing w:line="360" w:lineRule="auto"/>
              <w:ind w:firstLine="480" w:firstLineChars="200"/>
              <w:rPr>
                <w:rFonts w:hint="eastAsia" w:ascii="Times New Roman" w:hAnsi="Times New Roman" w:cs="Times New Roman"/>
                <w:color w:val="auto"/>
                <w:sz w:val="24"/>
                <w:highlight w:val="none"/>
                <w:u w:val="single"/>
                <w:lang w:val="en-US" w:eastAsia="zh-CN"/>
              </w:rPr>
            </w:pPr>
            <w:r>
              <w:rPr>
                <w:rFonts w:hint="eastAsia" w:ascii="Times New Roman" w:hAnsi="Times New Roman" w:cs="Times New Roman"/>
                <w:color w:val="auto"/>
                <w:sz w:val="24"/>
                <w:highlight w:val="none"/>
                <w:u w:val="single"/>
                <w:lang w:val="en-US" w:eastAsia="zh-CN"/>
              </w:rPr>
              <w:t>综上，项目疏浚施工过程中，建设单位应与海事部门共同协商，加强施工船舶的管理，尽量减少施工过程对海上交通影响，同时掌握附近船舶航行活动规律，尽量避免船舶密集时进行施工，避免影响港区通航安全，避免因船舶碰撞而造成油品泄漏、火灾、爆炸等环境风险。</w:t>
            </w:r>
          </w:p>
          <w:p w14:paraId="50DC95D6">
            <w:pPr>
              <w:pStyle w:val="20"/>
              <w:numPr>
                <w:ilvl w:val="0"/>
                <w:numId w:val="19"/>
              </w:numPr>
              <w:spacing w:line="360" w:lineRule="auto"/>
              <w:ind w:left="0" w:leftChars="0" w:firstLine="482" w:firstLineChars="200"/>
              <w:rPr>
                <w:rFonts w:hint="eastAsia" w:ascii="Times New Roman" w:hAnsi="Times New Roman" w:eastAsia="宋体" w:cs="Times New Roman"/>
                <w:b/>
                <w:bCs/>
                <w:color w:val="auto"/>
                <w:sz w:val="24"/>
                <w:highlight w:val="none"/>
                <w:u w:val="single"/>
                <w:lang w:val="en-US" w:eastAsia="zh-CN"/>
              </w:rPr>
            </w:pPr>
            <w:r>
              <w:rPr>
                <w:rFonts w:hint="eastAsia" w:ascii="Times New Roman" w:hAnsi="Times New Roman" w:cs="Times New Roman"/>
                <w:b/>
                <w:bCs/>
                <w:color w:val="auto"/>
                <w:sz w:val="24"/>
                <w:highlight w:val="none"/>
                <w:u w:val="single"/>
                <w:lang w:val="en-US" w:eastAsia="zh-CN"/>
              </w:rPr>
              <w:t>对敏感目标的影响分析</w:t>
            </w:r>
          </w:p>
          <w:p w14:paraId="28BD6A3A">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A.溢油对海洋环境及敏感资源的影响分析</w:t>
            </w:r>
          </w:p>
          <w:p w14:paraId="56DE6F4C">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燃料油由多种烃类组成，各种烃类毒性都有非常大的差别。试验表明，沸点低的化合物（如芳烃）具有较为严重的毒性作用，特别是被限定在较小的范围内，溢漏的轻质油的毒性损害作用最大。低沸点的芳香族烃对一切生物均有毒害，而高沸点的芳香烃则是长效毒性，均会对海洋生物构成威胁和危害，直至死亡。船舶燃料油等持久性油类难溶于水、比重比水轻、黏度比较大，因此，泄漏的油品首先会因浮力而漂浮于海面，因重力而在海面发生扩展，因黏着力而形成具有一定厚度的成片油膜，因风、浪、潮的作用力而在水面漂移扩散。与此同时，在阳光、海面能量、微生物等环境因素的作用下，泄漏油品会发生一系列的溶解、乳化、光解、蒸发、分解等迁移转化反应，一旦遇到海岸、生物体、无机悬浮物，溢油还会发生附着、吸附和降解等变化，对环境的影响和损害较为严重，且持续时间较长。</w:t>
            </w:r>
          </w:p>
          <w:p w14:paraId="6C573BED">
            <w:pPr>
              <w:pStyle w:val="2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B.溢油对水质及底质的影响分析</w:t>
            </w:r>
          </w:p>
          <w:p w14:paraId="6770D3FA">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燃料油泄漏在海面形成油膜以后，受到破碎波的作用，使一部分以油滴形式进入水形成分散油，另外，由于机械动力，如涡旋、破碎浪花、湍流等因素，使油和水激烈混合，形成油包水乳物和水包油乳物化。这两种作用都将增加水质的油类浓度，特别是上层水中的浓度将明显增加。</w:t>
            </w:r>
          </w:p>
          <w:p w14:paraId="4F00F08D">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据有关资料及室内的模拟实验表明，油膜由分散作用和乳化作用而引起的海水上层海水中油类浓度增加值可超过</w:t>
            </w:r>
            <w:r>
              <w:rPr>
                <w:rFonts w:hint="default" w:ascii="Times New Roman" w:hAnsi="Times New Roman" w:eastAsia="宋体" w:cs="Times New Roman"/>
                <w:color w:val="auto"/>
                <w:sz w:val="24"/>
                <w:highlight w:val="none"/>
                <w:lang w:val="en-US" w:eastAsia="zh-CN"/>
              </w:rPr>
              <w:t>0.050mg/L</w:t>
            </w:r>
            <w:r>
              <w:rPr>
                <w:rFonts w:hint="eastAsia" w:ascii="Times New Roman" w:hAnsi="Times New Roman" w:eastAsia="宋体" w:cs="Times New Roman"/>
                <w:color w:val="auto"/>
                <w:sz w:val="24"/>
                <w:highlight w:val="none"/>
                <w:lang w:val="en-US" w:eastAsia="zh-CN"/>
              </w:rPr>
              <w:t>的二类海水水质标准。在近岸水域，由于粘附在岩石沙滩上油在波浪的往复作用，水质中油类浓度将大大增加，将超过</w:t>
            </w:r>
            <w:r>
              <w:rPr>
                <w:rFonts w:hint="default" w:ascii="Times New Roman" w:hAnsi="Times New Roman" w:eastAsia="宋体" w:cs="Times New Roman"/>
                <w:color w:val="auto"/>
                <w:sz w:val="24"/>
                <w:highlight w:val="none"/>
                <w:lang w:val="en-US" w:eastAsia="zh-CN"/>
              </w:rPr>
              <w:t>0.30mg/L</w:t>
            </w:r>
            <w:r>
              <w:rPr>
                <w:rFonts w:hint="eastAsia" w:ascii="Times New Roman" w:hAnsi="Times New Roman" w:eastAsia="宋体" w:cs="Times New Roman"/>
                <w:color w:val="auto"/>
                <w:sz w:val="24"/>
                <w:highlight w:val="none"/>
                <w:lang w:val="en-US" w:eastAsia="zh-CN"/>
              </w:rPr>
              <w:t>的三类海水水质标准。</w:t>
            </w:r>
          </w:p>
          <w:p w14:paraId="1C270568">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另外，由于油膜覆盖，将影响水和气之间的交换，致使溶解氧减少。同时，溢油后，油的重组分可自行沉积，或黏附在海区悬浮物颗粒中，沉积在沉积物表面，从而对底质造成影响。</w:t>
            </w:r>
          </w:p>
          <w:p w14:paraId="5DCF3AA7">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C.溢油对海洋生物的影响分析</w:t>
            </w:r>
          </w:p>
          <w:p w14:paraId="683DBB9E">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对浮游动植物：</w:t>
            </w:r>
            <w:r>
              <w:rPr>
                <w:rFonts w:hint="eastAsia" w:ascii="Times New Roman" w:hAnsi="Times New Roman" w:eastAsia="宋体" w:cs="Times New Roman"/>
                <w:color w:val="auto"/>
                <w:sz w:val="24"/>
                <w:highlight w:val="none"/>
                <w:lang w:val="en-US" w:eastAsia="zh-CN"/>
              </w:rPr>
              <w:t>在油膜覆盖下，将影响水</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气之间的交换，致使溶解氧减少，光照减弱，同时，油类的生物分解和其自身氧化作用又消耗水体中的溶解氧，使水体缺氧并可能导致生物体死亡。另外，油膜还能降低表层水体中的阳光辐射量，阻碍浮游植物的光合作用，甚至引起死亡，同时也使以浮游植物为主要食物来源的浮游动物大量减少或死亡。</w:t>
            </w:r>
          </w:p>
          <w:p w14:paraId="372D4C15">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对鱼类和虾类：据研究，在含油浓度为0.01mg/L的水体中，鱼类和贝类生活24小时后即可沾上油味，因此将这一浓度定为鱼、贝类发臭的临界浓度。鱼类产生臭味的途径是体表渗透和消化道、呼吸道的侵入，并以呼吸道侵入为主。燃料油中的油臭成分从鱼、贝的鳃、黏膜侵入，通过血液或体液迅速地扩散到全身。经济鱼、贝类产生油臭味后，大大降低了其销售和食用价值。</w:t>
            </w:r>
            <w:r>
              <w:rPr>
                <w:rFonts w:hint="eastAsia" w:ascii="Times New Roman" w:hAnsi="Times New Roman" w:eastAsia="宋体" w:cs="Times New Roman"/>
                <w:color w:val="auto"/>
                <w:sz w:val="24"/>
                <w:highlight w:val="none"/>
                <w:lang w:val="en-US" w:eastAsia="zh-CN"/>
              </w:rPr>
              <w:t>鱼类的早期发育阶段，特别是发育中的鱼卵，最易受油污染的伤害。由于燃料油对鱼卵的毒性作用以及油污染引起的水体亲和力的改变，将破坏发育中胚胎里的物质交换，因而孵出的前仔鱼大多发育异常，这样的前仔鱼几乎没有生命力。溢油污染不仅能引起水域的鱼虾回避或引起鱼类死亡，造成生物资源和渔业资源的损失。</w:t>
            </w:r>
          </w:p>
          <w:p w14:paraId="2D939CB2">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对海洋贝类的影响：溢油一旦搁滩，在大量油品覆盖的滩面，固着性生物，如贝类、甲壳类生物和藻类会窒息死亡。在油膜蔓延的滩面上，幼贝发育不良，产量下降，成年贝会因沾染油臭而降低市场价值。在潮下带的养殖贝类，也会受到严重的油污染。漫滩的污油会随潮汐涨落在附近周期性摆动，面积逐渐扩大，在波浪扰动下部分被掩埋进入沉积环境；潮间带溢油也会由于风化和吸附沉降进入沉积环境。这些进入底泥中的油类靠化学降解作用去除需要数月之久。在此期间，会使贝类幼体或中毒发育不良或窒息死亡，使急性污染变成沉积环境的长期污染。</w:t>
            </w:r>
          </w:p>
          <w:p w14:paraId="5330C54B">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亚致死效应：由于溢油的影响可持续一段时间，除急性致死效应影响外，还可能发生亚致死效应。该效应的作用机制主要表现为：生理和行为效应，主要表现为麻醉效应、干扰基础生物化学机制、降低浮游植物光合作用和生长率、影响视觉感觉及诱变效应等。据文献报道，燃料油浓度在</w:t>
            </w:r>
            <w:r>
              <w:rPr>
                <w:rFonts w:hint="default" w:ascii="Times New Roman" w:hAnsi="Times New Roman" w:eastAsia="宋体" w:cs="Times New Roman"/>
                <w:color w:val="auto"/>
                <w:sz w:val="24"/>
                <w:highlight w:val="none"/>
                <w:lang w:val="en-US" w:eastAsia="zh-CN"/>
              </w:rPr>
              <w:t>0.001~0.1mg/L</w:t>
            </w:r>
            <w:r>
              <w:rPr>
                <w:rFonts w:hint="eastAsia" w:ascii="Times New Roman" w:hAnsi="Times New Roman" w:eastAsia="宋体" w:cs="Times New Roman"/>
                <w:color w:val="auto"/>
                <w:sz w:val="24"/>
                <w:highlight w:val="none"/>
                <w:lang w:val="en-US" w:eastAsia="zh-CN"/>
              </w:rPr>
              <w:t>范围时，即会出现该效应；</w:t>
            </w:r>
            <w:r>
              <w:rPr>
                <w:rFonts w:hint="default" w:ascii="Times New Roman" w:hAnsi="Times New Roman" w:eastAsia="宋体" w:cs="Times New Roman"/>
                <w:color w:val="auto"/>
                <w:sz w:val="24"/>
                <w:highlight w:val="none"/>
                <w:lang w:val="en-US" w:eastAsia="zh-CN"/>
              </w:rPr>
              <w:t>b</w:t>
            </w:r>
            <w:r>
              <w:rPr>
                <w:rFonts w:hint="eastAsia" w:ascii="Times New Roman" w:hAnsi="Times New Roman" w:eastAsia="宋体" w:cs="Times New Roman"/>
                <w:color w:val="auto"/>
                <w:sz w:val="24"/>
                <w:highlight w:val="none"/>
                <w:lang w:val="en-US" w:eastAsia="zh-CN"/>
              </w:rPr>
              <w:t>生态效应，较长期暴露于</w:t>
            </w:r>
            <w:r>
              <w:rPr>
                <w:rFonts w:hint="default" w:ascii="Times New Roman" w:hAnsi="Times New Roman" w:eastAsia="宋体" w:cs="Times New Roman"/>
                <w:color w:val="auto"/>
                <w:sz w:val="24"/>
                <w:highlight w:val="none"/>
                <w:lang w:val="en-US" w:eastAsia="zh-CN"/>
              </w:rPr>
              <w:t>0.01~0.1mg/L</w:t>
            </w:r>
            <w:r>
              <w:rPr>
                <w:rFonts w:hint="eastAsia" w:ascii="Times New Roman" w:hAnsi="Times New Roman" w:eastAsia="宋体" w:cs="Times New Roman"/>
                <w:color w:val="auto"/>
                <w:sz w:val="24"/>
                <w:highlight w:val="none"/>
                <w:lang w:val="en-US" w:eastAsia="zh-CN"/>
              </w:rPr>
              <w:t>燃料油浓度中，可造成生态群落结构的破坏，群落结构中某些对燃料油敏感的种类消失或减少，代之以嗜污种类增加，使不同营养级生物比例失调而导致局部海域海洋生物链（网）的破坏；</w:t>
            </w:r>
            <w:r>
              <w:rPr>
                <w:rFonts w:hint="default" w:ascii="Times New Roman" w:hAnsi="Times New Roman" w:eastAsia="宋体" w:cs="Times New Roman"/>
                <w:color w:val="auto"/>
                <w:sz w:val="24"/>
                <w:highlight w:val="none"/>
                <w:lang w:val="en-US" w:eastAsia="zh-CN"/>
              </w:rPr>
              <w:t>c</w:t>
            </w:r>
            <w:r>
              <w:rPr>
                <w:rFonts w:hint="eastAsia" w:ascii="Times New Roman" w:hAnsi="Times New Roman" w:eastAsia="宋体" w:cs="Times New Roman"/>
                <w:color w:val="auto"/>
                <w:sz w:val="24"/>
                <w:highlight w:val="none"/>
                <w:lang w:val="en-US" w:eastAsia="zh-CN"/>
              </w:rPr>
              <w:t>异味效应，海洋生物具有从栖息环境中积累燃料油烃的能力，富集系数可达</w:t>
            </w:r>
            <w:r>
              <w:rPr>
                <w:rFonts w:hint="default" w:ascii="Times New Roman" w:hAnsi="Times New Roman" w:eastAsia="宋体" w:cs="Times New Roman"/>
                <w:color w:val="auto"/>
                <w:sz w:val="24"/>
                <w:highlight w:val="none"/>
                <w:lang w:val="en-US" w:eastAsia="zh-CN"/>
              </w:rPr>
              <w:t>102~107</w:t>
            </w:r>
            <w:r>
              <w:rPr>
                <w:rFonts w:hint="eastAsia" w:ascii="Times New Roman" w:hAnsi="Times New Roman" w:eastAsia="宋体" w:cs="Times New Roman"/>
                <w:color w:val="auto"/>
                <w:sz w:val="24"/>
                <w:highlight w:val="none"/>
                <w:lang w:val="en-US" w:eastAsia="zh-CN"/>
              </w:rPr>
              <w:t>（因种类而异），导致生物体产生异味，失去其经济价值。</w:t>
            </w:r>
          </w:p>
          <w:p w14:paraId="3DC0A2FC">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E.溢油对海洋生态长期累积影响</w:t>
            </w:r>
          </w:p>
          <w:p w14:paraId="1683BA8E">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事故对渔业资源的中、长期累积影响主要是造成渔业资源种类、数量及组成的改变，从而使渔业长期逐渐减产。这种影响在海域环境中可持续数年至十几年，因溢油规模及溢油地点而异。一般在近岸、河口或盐沼地发生溢油的恢复时间相对要长些。根据对法国布列塔尼发生的</w:t>
            </w:r>
            <w:r>
              <w:rPr>
                <w:rFonts w:hint="default" w:ascii="Times New Roman" w:hAnsi="Times New Roman" w:eastAsia="宋体" w:cs="Times New Roman"/>
                <w:color w:val="auto"/>
                <w:sz w:val="24"/>
                <w:highlight w:val="none"/>
                <w:lang w:val="en-US" w:eastAsia="zh-CN"/>
              </w:rPr>
              <w:t>AmocoCadiz</w:t>
            </w:r>
            <w:r>
              <w:rPr>
                <w:rFonts w:hint="eastAsia" w:ascii="Times New Roman" w:hAnsi="Times New Roman" w:eastAsia="宋体" w:cs="Times New Roman"/>
                <w:color w:val="auto"/>
                <w:sz w:val="24"/>
                <w:highlight w:val="none"/>
                <w:lang w:val="en-US" w:eastAsia="zh-CN"/>
              </w:rPr>
              <w:t>溢油影响的研究表明，溢油后一年，在两个湾里有几种鱼类的幼体完全消失而其成体的生长则显著减少，并且出现病态及畸变，估计其资源恢复到平衡至少需要几年时间。根据对美国马萨诸塞州</w:t>
            </w:r>
            <w:r>
              <w:rPr>
                <w:rFonts w:hint="default" w:ascii="Times New Roman" w:hAnsi="Times New Roman" w:eastAsia="宋体" w:cs="Times New Roman"/>
                <w:color w:val="auto"/>
                <w:sz w:val="24"/>
                <w:highlight w:val="none"/>
                <w:lang w:val="en-US" w:eastAsia="zh-CN"/>
              </w:rPr>
              <w:t>Buzzards</w:t>
            </w:r>
            <w:r>
              <w:rPr>
                <w:rFonts w:hint="eastAsia" w:ascii="Times New Roman" w:hAnsi="Times New Roman" w:eastAsia="宋体" w:cs="Times New Roman"/>
                <w:color w:val="auto"/>
                <w:sz w:val="24"/>
                <w:highlight w:val="none"/>
                <w:lang w:val="en-US" w:eastAsia="zh-CN"/>
              </w:rPr>
              <w:t>湾发生的佛罗里达号油驳轮溢油的研究发现，溢油后</w:t>
            </w:r>
            <w:r>
              <w:rPr>
                <w:rFonts w:hint="default" w:ascii="Times New Roman" w:hAnsi="Times New Roman" w:eastAsia="宋体" w:cs="Times New Roman"/>
                <w:color w:val="auto"/>
                <w:sz w:val="24"/>
                <w:highlight w:val="none"/>
                <w:lang w:val="en-US" w:eastAsia="zh-CN"/>
              </w:rPr>
              <w:t>3~4</w:t>
            </w:r>
            <w:r>
              <w:rPr>
                <w:rFonts w:hint="eastAsia" w:ascii="Times New Roman" w:hAnsi="Times New Roman" w:eastAsia="宋体" w:cs="Times New Roman"/>
                <w:color w:val="auto"/>
                <w:sz w:val="24"/>
                <w:highlight w:val="none"/>
                <w:lang w:val="en-US" w:eastAsia="zh-CN"/>
              </w:rPr>
              <w:t>年，大型底栖生物仍没有明显的恢复，而盐沼潮间带的某些蟹类在溢油</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年后仍未完全恢复，估计溢油的影响最少持续</w:t>
            </w:r>
            <w:r>
              <w:rPr>
                <w:rFonts w:hint="default" w:ascii="Times New Roman" w:hAnsi="Times New Roman" w:eastAsia="宋体"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年。</w:t>
            </w:r>
          </w:p>
          <w:p w14:paraId="71C03347">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F.溢油对红树林的影响分析</w:t>
            </w:r>
          </w:p>
          <w:p w14:paraId="20ABEAF8">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红树林是一种稀有的木本胎生植物，它生长于陆地与海洋交界带的滩涂浅滩，是陆地向海洋过渡的特殊生态系统。红树林的生物资源量非常丰富，红树林还具有防风消浪、促淤保滩、固岸护堤、净化海水和空气的功能。而溢油事故对于红树林具有非常大的破坏作用。</w:t>
            </w:r>
          </w:p>
          <w:p w14:paraId="7886190A">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有相关研究表明，随着燃料油处理浓度的增加，红树植物叶片中烃的富集也增加，而白骨壤叶片中累积的烃类是其他3种红树植物的2~6倍。可见，燃料油还可在红树林沉积物中富集，引起沉积物pH值、溶解氧含量、氧化还原电位以及间隙水盐度下降，形成一个缺氧的强还原性环境，从而破坏该区生态环境。</w:t>
            </w:r>
          </w:p>
          <w:p w14:paraId="3FB4CABB">
            <w:pPr>
              <w:pStyle w:val="2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红树林有不少鸟类栖息，海面上的溢油对鸟类的危害最大，尤其是潜水摄食的鸟类。这些鸟类以海洋浮游生物及鱼类为食，当接触到油膜后，羽毛能浸吸油类，导致羽毛失去防水、保温能力，另一方面它们因不能觅食而用嘴整理自己的羽毛，摄取溢油，损伤内脏。最终它们会因饥饿、寒冷、中毒而死亡。在溢油事故发生时，从保护自然生态的角度急救鸟类的工作是非常重要的。</w:t>
            </w:r>
          </w:p>
          <w:p w14:paraId="5D4FD43A">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G.对旅游休闲区的影响分析</w:t>
            </w:r>
          </w:p>
          <w:p w14:paraId="69CD1CF6">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一旦污染物进入旅游休闲娱乐区，吸附在岸线上，将对旅游休闲娱乐区生态环境及景观环境造成重大损失，也对旅游休闲娱乐区的经济造成重大损害。</w:t>
            </w:r>
          </w:p>
          <w:p w14:paraId="470934CB">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H.对人体健康的间接影响</w:t>
            </w:r>
          </w:p>
          <w:p w14:paraId="7EE044E1">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溢油通过食用油污染鱼虾或贝类对人体健康产生间接的影响。燃料油类物质对人体危害－指其致癌作用，燃料油类物质中对哺乳类有致癌作用的多环芳烃，如</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苯并芘和</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苯并蒽等。生物资源，特别是软体动物和藻类常含有较高量的多环芳烃。海洋生物体中多环芳烃的含量不仅取决于摄食，而且取决于它们积蓄和代谢这类化合物的能力。在积蓄和保护芳香族化合物和多环芳烃能力方面，富脂鱼胜于贫脂鱼，在某一鱼种体内，富脂组织胜于贫脂组织。鱼类和甲壳类动物能够代谢多环芳烃类，并以水溶性更大的羟基物形式排泄。软体动物在这方面的能力较差。软体动物富集多环芳烃类所达到的含量高于任何其他海洋生物，但在人类饮食中多环芳烃仅占很小的一部分，因而它们在加剧致癌危险方面的作用很小。</w:t>
            </w:r>
          </w:p>
          <w:p w14:paraId="47A4795C">
            <w:pPr>
              <w:pStyle w:val="2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I.溢油对浅水域及岸线的影响分析</w:t>
            </w:r>
          </w:p>
          <w:p w14:paraId="7942B64F">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浅水域通常是海洋生物活动最集中的场所，如贝类、幼鱼、珊瑚等活动在该区域，也包括海草层。溢油对该类水域的污染异常敏感，造成的危害在社会上反映强烈。如果在这类水域使用溢油分散剂，造成的危害会更大。因此，当溢油污染会波及该类水域时，决策者的首选对策应是如何避免污染，而不是等待污染后再采取清除措施，更不适合使用分散剂。</w:t>
            </w:r>
          </w:p>
          <w:p w14:paraId="1844BBCF">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溢油对岸线沙滩的污染威胁，直接影响到旅游业。靠海滨浴场、沙滩发展的旅游业是有季节性的，在溢油发生的初始阶段首先要考虑这一问题，以便及时地采取措施，把溢油对旅游业的影响控制到最低程度。</w:t>
            </w:r>
          </w:p>
          <w:p w14:paraId="22FE8088">
            <w:pPr>
              <w:pStyle w:val="2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J.对码头和工业的影响分析</w:t>
            </w:r>
          </w:p>
          <w:p w14:paraId="14137DAA">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码头和游艇停泊区对溢油也是非常敏感的，通常情况下需要对港区水域进行清理，这势必会影响到船舶的进出港。要对被污染的游艇和船舶采取清洁措施，这种操作的费用也是较高的。</w:t>
            </w:r>
          </w:p>
          <w:p w14:paraId="16ABAF3C">
            <w:pPr>
              <w:pStyle w:val="20"/>
              <w:numPr>
                <w:ilvl w:val="0"/>
                <w:numId w:val="19"/>
              </w:numPr>
              <w:spacing w:line="360" w:lineRule="auto"/>
              <w:ind w:left="0" w:leftChars="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施工期溢油事故风险影响分析</w:t>
            </w:r>
          </w:p>
          <w:p w14:paraId="3E72ADC2">
            <w:pPr>
              <w:pStyle w:val="2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本项目施工期采用</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艘舱容为3500m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的耙吸船、1艘舱容为2500m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的泥驳船、1艘10m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的抓斗挖泥船进行疏浚施工，项目疏浚过</w:t>
            </w:r>
            <w:r>
              <w:rPr>
                <w:rFonts w:hint="eastAsia" w:ascii="Times New Roman" w:hAnsi="Times New Roman" w:cs="Times New Roman"/>
                <w:color w:val="auto"/>
                <w:sz w:val="24"/>
                <w:highlight w:val="none"/>
                <w:lang w:val="en-US" w:eastAsia="zh-CN"/>
              </w:rPr>
              <w:t>程中</w:t>
            </w:r>
            <w:r>
              <w:rPr>
                <w:rFonts w:hint="eastAsia" w:ascii="Times New Roman" w:hAnsi="Times New Roman" w:eastAsia="宋体" w:cs="Times New Roman"/>
                <w:color w:val="auto"/>
                <w:sz w:val="24"/>
                <w:highlight w:val="none"/>
                <w:lang w:val="en-US" w:eastAsia="zh-CN"/>
              </w:rPr>
              <w:t>施工船较少，且为小型船舶，施工区域位于航道内的回旋水域，为减少施工船舶对进出码头船舶及过往航行船只的影响，项目采取具有对其他通航船只影响较小的施工工艺进行疏浚作业，项目疏浚施工过程中发生船舶碰撞等事故造成海上溢油风险概率较低，同时，项目码头区域配备了相应的围油栏、吸油毡及储存装置等溢油应急物资，在做好船舶施工人员安全操作教育工作、并制定切实可行的溢油风险防范措施和应急预案的基础上，本项目船舶溢油事故所产生的环境风险可以控制在可接受风险水平内。</w:t>
            </w:r>
          </w:p>
          <w:p w14:paraId="1AE720E9">
            <w:pPr>
              <w:pStyle w:val="2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疏浚施工过程中，建设单位应与海事部门协商，加强施工船舶的管理，尽量减少施工过程对海上交通影响，同时掌握附近船舶航行活动规律，尽量避免船舶密集时穿越主航道，避免影响港区通航安全，避免因船舶碰撞而造成油品泄漏等环境风险。</w:t>
            </w:r>
          </w:p>
        </w:tc>
      </w:tr>
      <w:tr w14:paraId="005EB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noWrap w:val="0"/>
            <w:tcMar>
              <w:left w:w="28" w:type="dxa"/>
              <w:right w:w="28" w:type="dxa"/>
            </w:tcMar>
            <w:vAlign w:val="center"/>
          </w:tcPr>
          <w:p w14:paraId="5E50681A">
            <w:pPr>
              <w:adjustRightInd w:val="0"/>
              <w:snapToGrid w:val="0"/>
              <w:jc w:val="center"/>
              <w:rPr>
                <w:bCs/>
                <w:color w:val="auto"/>
                <w:szCs w:val="21"/>
                <w:highlight w:val="none"/>
              </w:rPr>
            </w:pPr>
            <w:r>
              <w:rPr>
                <w:rFonts w:hint="eastAsia" w:ascii="宋体" w:hAnsi="宋体" w:cs="宋体"/>
                <w:color w:val="auto"/>
                <w:kern w:val="0"/>
                <w:sz w:val="24"/>
                <w:szCs w:val="21"/>
                <w:highlight w:val="none"/>
              </w:rPr>
              <w:t>运营期生态环境影响分析</w:t>
            </w:r>
          </w:p>
        </w:tc>
        <w:tc>
          <w:tcPr>
            <w:tcW w:w="4668" w:type="pct"/>
            <w:noWrap w:val="0"/>
            <w:vAlign w:val="center"/>
          </w:tcPr>
          <w:p w14:paraId="586FE76A">
            <w:pPr>
              <w:pStyle w:val="20"/>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single"/>
                <w:lang w:val="en-US" w:eastAsia="zh-CN"/>
              </w:rPr>
              <w:t>项目为维护性疏浚工程，施工期不改变航道走向和尺度，不新增用海、不增设构筑物，也不涉及围填海。运营期不新增排污、不新增生态扰动。</w:t>
            </w:r>
          </w:p>
        </w:tc>
      </w:tr>
      <w:tr w14:paraId="06D3C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noWrap w:val="0"/>
            <w:tcMar>
              <w:left w:w="28" w:type="dxa"/>
              <w:right w:w="28" w:type="dxa"/>
            </w:tcMar>
            <w:vAlign w:val="center"/>
          </w:tcPr>
          <w:p w14:paraId="68AB571E">
            <w:pPr>
              <w:adjustRightInd w:val="0"/>
              <w:snapToGrid w:val="0"/>
              <w:jc w:val="center"/>
              <w:rPr>
                <w:rFonts w:hint="eastAsia" w:ascii="宋体" w:hAnsi="宋体" w:cs="宋体"/>
                <w:color w:val="auto"/>
                <w:kern w:val="0"/>
                <w:sz w:val="24"/>
                <w:szCs w:val="21"/>
                <w:highlight w:val="none"/>
                <w:u w:val="none"/>
              </w:rPr>
            </w:pPr>
            <w:r>
              <w:rPr>
                <w:rFonts w:hint="eastAsia" w:ascii="宋体" w:hAnsi="宋体" w:cs="宋体"/>
                <w:color w:val="auto"/>
                <w:kern w:val="0"/>
                <w:sz w:val="24"/>
                <w:szCs w:val="21"/>
                <w:highlight w:val="none"/>
                <w:u w:val="none"/>
              </w:rPr>
              <w:t>选址选线环境合理性分析</w:t>
            </w:r>
          </w:p>
        </w:tc>
        <w:tc>
          <w:tcPr>
            <w:tcW w:w="4668" w:type="pct"/>
            <w:noWrap w:val="0"/>
            <w:vAlign w:val="center"/>
          </w:tcPr>
          <w:p w14:paraId="3D2373D7">
            <w:pPr>
              <w:spacing w:line="360" w:lineRule="auto"/>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4.3.1项目选址合理性</w:t>
            </w:r>
          </w:p>
          <w:p w14:paraId="015999F0">
            <w:pPr>
              <w:spacing w:line="360" w:lineRule="auto"/>
              <w:ind w:firstLine="480" w:firstLineChars="200"/>
              <w:rPr>
                <w:rFonts w:hint="eastAsia"/>
                <w:color w:val="auto"/>
                <w:sz w:val="24"/>
                <w:highlight w:val="none"/>
                <w:u w:val="none"/>
                <w:lang w:eastAsia="zh-CN"/>
              </w:rPr>
            </w:pPr>
            <w:r>
              <w:rPr>
                <w:rFonts w:hint="eastAsia"/>
                <w:color w:val="auto"/>
                <w:sz w:val="24"/>
                <w:highlight w:val="none"/>
                <w:u w:val="none"/>
                <w:lang w:eastAsia="zh-CN"/>
              </w:rPr>
              <w:t>本项目位于钦州港金谷港区金鼓江作业区16#、17#泊位</w:t>
            </w:r>
            <w:r>
              <w:rPr>
                <w:rFonts w:hint="eastAsia"/>
                <w:color w:val="auto"/>
                <w:sz w:val="24"/>
                <w:highlight w:val="none"/>
                <w:u w:val="none"/>
                <w:lang w:val="en-US" w:eastAsia="zh-CN"/>
              </w:rPr>
              <w:t>回旋水域与金鼓江航道重叠处</w:t>
            </w:r>
            <w:r>
              <w:rPr>
                <w:rFonts w:hint="eastAsia"/>
                <w:color w:val="auto"/>
                <w:sz w:val="24"/>
                <w:highlight w:val="none"/>
                <w:u w:val="none"/>
                <w:lang w:eastAsia="zh-CN"/>
              </w:rPr>
              <w:t>，本工程用海类型为交通运输用海，不占用生态保护红线，符合近岸海域环境管控单元生态环境准入条件。本项目为码头港池维护性疏浚项目建设对周边海洋、大气、声环境产生的环境影响是可控的，各项目污染物排放均具备经济合理的处理措施，环境影响程度较小。项目建设完成后将改善区域水深条件，有利于进出港船舶</w:t>
            </w:r>
            <w:r>
              <w:rPr>
                <w:rFonts w:hint="eastAsia"/>
                <w:color w:val="auto"/>
                <w:sz w:val="24"/>
                <w:highlight w:val="none"/>
                <w:u w:val="none"/>
                <w:lang w:val="en-US" w:eastAsia="zh-CN"/>
              </w:rPr>
              <w:t>和过往船舶</w:t>
            </w:r>
            <w:r>
              <w:rPr>
                <w:rFonts w:hint="eastAsia"/>
                <w:color w:val="auto"/>
                <w:sz w:val="24"/>
                <w:highlight w:val="none"/>
                <w:u w:val="none"/>
                <w:lang w:eastAsia="zh-CN"/>
              </w:rPr>
              <w:t>航行，符合交通运输用海的功能定位。</w:t>
            </w:r>
          </w:p>
          <w:p w14:paraId="5778F1CB">
            <w:pPr>
              <w:spacing w:line="360" w:lineRule="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4.3.2用海方式和平面布置合理性</w:t>
            </w:r>
          </w:p>
          <w:p w14:paraId="283B0B78">
            <w:pPr>
              <w:numPr>
                <w:ilvl w:val="0"/>
                <w:numId w:val="20"/>
              </w:num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用海方式</w:t>
            </w:r>
          </w:p>
          <w:p w14:paraId="6BF99DEE">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本项目用海为对钦州港金谷港区金鼓江作业区</w:t>
            </w:r>
            <w:r>
              <w:rPr>
                <w:rFonts w:hint="eastAsia"/>
                <w:color w:val="auto"/>
                <w:sz w:val="24"/>
                <w:highlight w:val="none"/>
                <w:u w:val="none"/>
                <w:lang w:val="en-US" w:eastAsia="zh-CN"/>
              </w:rPr>
              <w:t>16#17#泊位回旋水域与金鼓江航道重叠部分开展维护性疏浚清淤工作，用海方式为“围海”中的“港池、蓄水”，采用的“港池、蓄水”的用海方式是对海洋环境影响较小的方式，因此本项目用海方式合理。</w:t>
            </w:r>
          </w:p>
          <w:p w14:paraId="4865A7FE">
            <w:pPr>
              <w:numPr>
                <w:ilvl w:val="0"/>
                <w:numId w:val="20"/>
              </w:num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用海平面布置</w:t>
            </w:r>
          </w:p>
          <w:p w14:paraId="1A4E7925">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本工程对钦州港金谷港区金鼓江作业区</w:t>
            </w:r>
            <w:r>
              <w:rPr>
                <w:rFonts w:hint="eastAsia"/>
                <w:color w:val="auto"/>
                <w:sz w:val="24"/>
                <w:highlight w:val="none"/>
                <w:u w:val="none"/>
                <w:lang w:val="en-US" w:eastAsia="zh-CN"/>
              </w:rPr>
              <w:t>16#17#泊位回旋水域与金鼓江航道重叠部分进行维护性清淤疏浚</w:t>
            </w:r>
            <w:r>
              <w:rPr>
                <w:rFonts w:hint="eastAsia" w:ascii="Times New Roman" w:hAnsi="Times New Roman" w:eastAsia="宋体" w:cs="Times New Roman"/>
                <w:color w:val="auto"/>
                <w:sz w:val="24"/>
                <w:highlight w:val="none"/>
                <w:u w:val="none"/>
                <w:lang w:val="en-US" w:eastAsia="zh-CN"/>
              </w:rPr>
              <w:t>（维护性疏浚临时用海），项目用海类型项目用海类型为“交通运输用海”（一级类）中的“港口用海”（二级类），用海方式为“围海”中的“港池、蓄水”，项目用海区平面布置主要根据钦州港金谷港区金鼓江作业区</w:t>
            </w:r>
            <w:r>
              <w:rPr>
                <w:rFonts w:hint="eastAsia"/>
                <w:color w:val="auto"/>
                <w:sz w:val="24"/>
                <w:highlight w:val="none"/>
                <w:u w:val="none"/>
                <w:lang w:eastAsia="zh-CN"/>
              </w:rPr>
              <w:t>16#、17#</w:t>
            </w:r>
            <w:r>
              <w:rPr>
                <w:rFonts w:hint="eastAsia" w:ascii="Times New Roman" w:hAnsi="Times New Roman" w:eastAsia="宋体" w:cs="Times New Roman"/>
                <w:color w:val="auto"/>
                <w:sz w:val="24"/>
                <w:highlight w:val="none"/>
                <w:u w:val="none"/>
                <w:lang w:val="en-US" w:eastAsia="zh-CN"/>
              </w:rPr>
              <w:t>泊位工程运营期船舶掉头的需要，对</w:t>
            </w:r>
            <w:r>
              <w:rPr>
                <w:rFonts w:hint="eastAsia"/>
                <w:color w:val="auto"/>
                <w:sz w:val="24"/>
                <w:highlight w:val="none"/>
                <w:u w:val="none"/>
                <w:lang w:eastAsia="zh-CN"/>
              </w:rPr>
              <w:t>16#、17#</w:t>
            </w:r>
            <w:r>
              <w:rPr>
                <w:rFonts w:hint="eastAsia" w:ascii="Times New Roman" w:hAnsi="Times New Roman" w:eastAsia="宋体" w:cs="Times New Roman"/>
                <w:color w:val="auto"/>
                <w:sz w:val="24"/>
                <w:highlight w:val="none"/>
                <w:u w:val="none"/>
                <w:lang w:val="en-US" w:eastAsia="zh-CN"/>
              </w:rPr>
              <w:t>泊位码头回旋水域水深不足的区域进行疏浚，后续本疏浚区域为公共水域，也利于周边码头项目船舶的通航及掉头，本项目建设保证了对海域资源的充分利用。项目平面布置根据港口规划，并结合钦州港金谷港区金鼓江作业区</w:t>
            </w:r>
            <w:r>
              <w:rPr>
                <w:rFonts w:hint="eastAsia"/>
                <w:color w:val="auto"/>
                <w:sz w:val="24"/>
                <w:highlight w:val="none"/>
                <w:u w:val="none"/>
                <w:lang w:eastAsia="zh-CN"/>
              </w:rPr>
              <w:t>16#、17#</w:t>
            </w:r>
            <w:r>
              <w:rPr>
                <w:rFonts w:hint="eastAsia" w:ascii="Times New Roman" w:hAnsi="Times New Roman" w:eastAsia="宋体" w:cs="Times New Roman"/>
                <w:color w:val="auto"/>
                <w:sz w:val="24"/>
                <w:highlight w:val="none"/>
                <w:u w:val="none"/>
                <w:lang w:val="en-US" w:eastAsia="zh-CN"/>
              </w:rPr>
              <w:t>泊位建设要求和工程区前沿海域水深情况提出，体现了集约用海、高效用海的原则。因此，项目平面布置合理。</w:t>
            </w:r>
          </w:p>
          <w:p w14:paraId="47282E55">
            <w:pPr>
              <w:spacing w:line="360" w:lineRule="auto"/>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4.3.3用海选址和周边海域其他活动的适应性分析</w:t>
            </w:r>
          </w:p>
          <w:p w14:paraId="585AF665">
            <w:pPr>
              <w:spacing w:line="360" w:lineRule="auto"/>
              <w:ind w:firstLine="480" w:firstLineChars="200"/>
              <w:rPr>
                <w:rFonts w:hint="eastAsia"/>
                <w:color w:val="auto"/>
                <w:sz w:val="24"/>
                <w:highlight w:val="none"/>
                <w:u w:val="none"/>
                <w:lang w:eastAsia="zh-CN"/>
              </w:rPr>
            </w:pPr>
            <w:r>
              <w:rPr>
                <w:rFonts w:hint="eastAsia"/>
                <w:color w:val="auto"/>
                <w:sz w:val="24"/>
                <w:highlight w:val="none"/>
                <w:u w:val="none"/>
                <w:lang w:eastAsia="zh-CN"/>
              </w:rPr>
              <w:t>（</w:t>
            </w:r>
            <w:r>
              <w:rPr>
                <w:rFonts w:hint="eastAsia"/>
                <w:color w:val="auto"/>
                <w:sz w:val="24"/>
                <w:highlight w:val="none"/>
                <w:u w:val="none"/>
                <w:lang w:val="en-US" w:eastAsia="zh-CN"/>
              </w:rPr>
              <w:t>1</w:t>
            </w:r>
            <w:r>
              <w:rPr>
                <w:rFonts w:hint="eastAsia"/>
                <w:color w:val="auto"/>
                <w:sz w:val="24"/>
                <w:highlight w:val="none"/>
                <w:u w:val="none"/>
                <w:lang w:eastAsia="zh-CN"/>
              </w:rPr>
              <w:t>）项目选址和周边港口航运的适应性分析</w:t>
            </w:r>
          </w:p>
          <w:p w14:paraId="75AA32D2">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color w:val="auto"/>
                <w:sz w:val="24"/>
                <w:highlight w:val="none"/>
                <w:u w:val="none"/>
                <w:lang w:eastAsia="zh-CN"/>
              </w:rPr>
              <w:t>本项目用海位于</w:t>
            </w:r>
            <w:r>
              <w:rPr>
                <w:rFonts w:hint="eastAsia"/>
                <w:color w:val="auto"/>
                <w:sz w:val="24"/>
                <w:highlight w:val="none"/>
                <w:u w:val="none"/>
                <w:lang w:val="en-US" w:eastAsia="zh-CN"/>
              </w:rPr>
              <w:t>码头回旋水域与</w:t>
            </w:r>
            <w:r>
              <w:rPr>
                <w:rFonts w:hint="eastAsia" w:ascii="Times New Roman" w:hAnsi="Times New Roman" w:eastAsia="宋体" w:cs="Times New Roman"/>
                <w:color w:val="auto"/>
                <w:sz w:val="24"/>
                <w:highlight w:val="none"/>
                <w:u w:val="none"/>
                <w:lang w:val="en-US" w:eastAsia="zh-CN"/>
              </w:rPr>
              <w:t>金鼓江航道重叠处，项目区所在金鼓江航道段设计为50000吨级。本项目施工船舶进出及作业需占用金鼓江航道，项目的施工将加大该航道的通航密度，一定程度上给周边项目来往船舶正常通行造成影响，项目建设单位应切实落实相关安全保障措施和港口、海事主管部门的相关要求，施工期在施工船舶过往航道处的周边设置警示标志，提醒过往船舶提前避让，避免对航道的正常营运造成干扰。</w:t>
            </w:r>
          </w:p>
          <w:p w14:paraId="28DE7615">
            <w:pPr>
              <w:spacing w:line="360" w:lineRule="auto"/>
              <w:ind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（2）项目与周边功能区的适应性分析</w:t>
            </w:r>
          </w:p>
          <w:p w14:paraId="6781CE78">
            <w:pPr>
              <w:spacing w:line="360" w:lineRule="auto"/>
              <w:ind w:firstLine="480" w:firstLineChars="200"/>
              <w:rPr>
                <w:rFonts w:hint="eastAsia" w:ascii="Times New Roman" w:hAnsi="Times New Roman" w:eastAsia="宋体" w:cs="Times New Roman"/>
                <w:color w:val="auto"/>
                <w:sz w:val="24"/>
                <w:highlight w:val="none"/>
                <w:u w:val="none"/>
                <w:lang w:eastAsia="zh-CN"/>
              </w:rPr>
            </w:pPr>
            <w:r>
              <w:rPr>
                <w:rFonts w:hint="eastAsia" w:ascii="Times New Roman" w:hAnsi="Times New Roman" w:eastAsia="宋体" w:cs="Times New Roman"/>
                <w:color w:val="auto"/>
                <w:sz w:val="24"/>
                <w:highlight w:val="none"/>
                <w:u w:val="none"/>
                <w:lang w:val="en-US" w:eastAsia="zh-CN"/>
              </w:rPr>
              <w:t>项目用海区位于“A2-9 鹰岭-果子山-金鼓江港口航运区”，项目周边有农渔业区和旅游休闲娱乐区，</w:t>
            </w:r>
            <w:r>
              <w:rPr>
                <w:rFonts w:hint="eastAsia" w:ascii="Times New Roman" w:hAnsi="Times New Roman" w:eastAsia="宋体" w:cs="Times New Roman"/>
                <w:color w:val="auto"/>
                <w:sz w:val="24"/>
                <w:highlight w:val="none"/>
                <w:u w:val="none"/>
                <w:lang w:eastAsia="zh-CN"/>
              </w:rPr>
              <w:t>项目距离旅游休闲娱乐区较远，不会对旅游休闲娱乐区的景观造成不协调。根据悬浮物预测结果，施工产生的10mg/L 浓度悬浮泥沙不会进入周边农渔业区和旅游休闲娱乐区，项目建设不会对周边的旅游区、农渔业区造成影响。</w:t>
            </w:r>
          </w:p>
          <w:p w14:paraId="75667DB8">
            <w:pPr>
              <w:numPr>
                <w:ilvl w:val="0"/>
                <w:numId w:val="20"/>
              </w:numPr>
              <w:spacing w:line="360" w:lineRule="auto"/>
              <w:ind w:left="0" w:leftChars="0" w:firstLine="480" w:firstLineChars="20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项目与周边用海活动的适应性分析</w:t>
            </w:r>
          </w:p>
          <w:p w14:paraId="24A90F4E">
            <w:pPr>
              <w:pStyle w:val="228"/>
              <w:ind w:firstLine="480"/>
              <w:rPr>
                <w:rFonts w:hint="default"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none"/>
                <w:lang w:val="en-US" w:eastAsia="zh-CN"/>
              </w:rPr>
              <w:t>本项目位于金鼓江航道内的回旋水域，项目西侧为钦州港金鼓江作业区的码头工程，东侧钦州港大榄坪港区大榄坪作业区内的码头工程。项目施工用海可以的安全和环境风险为施工期悬浮泥沙和施工船舶风险溢油事故，需要定制和做好风险防范措施，将事故发生可能性降到最小。在做好防范措施的前提下，项目选址和周边资</w:t>
            </w:r>
            <w:r>
              <w:rPr>
                <w:rFonts w:hint="eastAsia" w:cs="Times New Roman"/>
                <w:color w:val="auto"/>
                <w:sz w:val="24"/>
                <w:highlight w:val="none"/>
                <w:u w:val="none"/>
                <w:lang w:val="en-US" w:eastAsia="zh-CN"/>
              </w:rPr>
              <w:t>源和</w:t>
            </w:r>
            <w:r>
              <w:rPr>
                <w:rFonts w:hint="eastAsia" w:ascii="Times New Roman" w:hAnsi="Times New Roman" w:eastAsia="宋体" w:cs="Times New Roman"/>
                <w:color w:val="auto"/>
                <w:sz w:val="24"/>
                <w:highlight w:val="none"/>
                <w:u w:val="none"/>
                <w:lang w:val="en-US" w:eastAsia="zh-CN"/>
              </w:rPr>
              <w:t>其他用海活动相适应。</w:t>
            </w:r>
          </w:p>
          <w:p w14:paraId="0ADEDD90">
            <w:pPr>
              <w:pStyle w:val="228"/>
              <w:ind w:firstLine="480"/>
              <w:rPr>
                <w:rFonts w:hint="eastAsia" w:ascii="Times New Roman" w:hAnsi="Times New Roman" w:eastAsia="宋体" w:cs="Times New Roman"/>
                <w:color w:val="auto"/>
                <w:sz w:val="24"/>
                <w:highlight w:val="none"/>
                <w:u w:val="none"/>
                <w:lang w:val="en-US" w:eastAsia="zh-CN"/>
              </w:rPr>
            </w:pPr>
            <w:r>
              <w:rPr>
                <w:rFonts w:hint="eastAsia" w:ascii="Times New Roman" w:hAnsi="Times New Roman" w:eastAsia="宋体" w:cs="Times New Roman"/>
                <w:color w:val="auto"/>
                <w:sz w:val="24"/>
                <w:highlight w:val="none"/>
                <w:u w:val="single"/>
                <w:lang w:val="en-US" w:eastAsia="zh-CN"/>
              </w:rPr>
              <w:t>施工前建设单位应根据《</w:t>
            </w:r>
            <w:r>
              <w:rPr>
                <w:rFonts w:hint="eastAsia" w:cs="Times New Roman"/>
                <w:color w:val="auto"/>
                <w:sz w:val="24"/>
                <w:highlight w:val="none"/>
                <w:u w:val="single"/>
                <w:lang w:val="en-US" w:eastAsia="zh-CN"/>
              </w:rPr>
              <w:t>中华人民共和国</w:t>
            </w:r>
            <w:r>
              <w:rPr>
                <w:rFonts w:hint="eastAsia" w:ascii="Times New Roman" w:hAnsi="Times New Roman" w:eastAsia="宋体" w:cs="Times New Roman"/>
                <w:color w:val="auto"/>
                <w:sz w:val="24"/>
                <w:highlight w:val="none"/>
                <w:u w:val="single"/>
                <w:lang w:val="en-US" w:eastAsia="zh-CN"/>
              </w:rPr>
              <w:t>海域使用管理法》《临时海域使用暂行管理办法》等办理相关用海申请手续，取得海域使用权并按时缴纳海域使用金。</w:t>
            </w:r>
            <w:r>
              <w:rPr>
                <w:rFonts w:hint="eastAsia" w:ascii="Times New Roman" w:hAnsi="Times New Roman" w:eastAsia="宋体" w:cs="Times New Roman"/>
                <w:color w:val="auto"/>
                <w:sz w:val="24"/>
                <w:highlight w:val="none"/>
                <w:u w:val="none"/>
                <w:lang w:val="en-US" w:eastAsia="zh-CN"/>
              </w:rPr>
              <w:t>综上，本工程不存在环境制约因素，污染物均能达标排放或妥善处置，对生态环境影响较小。从环保角度分析，本工程的选址是合理的。</w:t>
            </w:r>
          </w:p>
          <w:p w14:paraId="12E1CC63">
            <w:pPr>
              <w:pStyle w:val="228"/>
              <w:ind w:firstLine="480"/>
              <w:rPr>
                <w:rFonts w:hint="eastAsia" w:eastAsia="宋体"/>
                <w:bCs/>
                <w:color w:val="auto"/>
                <w:spacing w:val="-10"/>
                <w:szCs w:val="21"/>
                <w:highlight w:val="none"/>
                <w:u w:val="none"/>
                <w:lang w:eastAsia="zh-CN"/>
              </w:rPr>
            </w:pPr>
          </w:p>
        </w:tc>
      </w:tr>
    </w:tbl>
    <w:p w14:paraId="6C6F4026">
      <w:pPr>
        <w:pStyle w:val="40"/>
        <w:spacing w:before="0" w:beforeAutospacing="0" w:after="0" w:afterAutospacing="0" w:line="360" w:lineRule="auto"/>
        <w:jc w:val="both"/>
        <w:outlineLvl w:val="0"/>
        <w:rPr>
          <w:rStyle w:val="56"/>
          <w:rFonts w:hint="eastAsia"/>
          <w:color w:val="auto"/>
          <w:highlight w:val="none"/>
        </w:rPr>
        <w:sectPr>
          <w:pgSz w:w="11907" w:h="16840"/>
          <w:pgMar w:top="1701" w:right="1531" w:bottom="2127" w:left="1531" w:header="851" w:footer="851" w:gutter="0"/>
          <w:cols w:space="720" w:num="1"/>
          <w:docGrid w:linePitch="312" w:charSpace="0"/>
        </w:sectPr>
      </w:pPr>
    </w:p>
    <w:p w14:paraId="4BDC544C">
      <w:pPr>
        <w:pStyle w:val="40"/>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42" w:name="_Toc22675"/>
      <w:r>
        <w:rPr>
          <w:rStyle w:val="56"/>
          <w:rFonts w:hint="eastAsia"/>
          <w:color w:val="auto"/>
          <w:highlight w:val="none"/>
        </w:rPr>
        <w:t>五</w:t>
      </w:r>
      <w:r>
        <w:rPr>
          <w:rStyle w:val="56"/>
          <w:color w:val="auto"/>
          <w:highlight w:val="none"/>
        </w:rPr>
        <w:t>、</w:t>
      </w:r>
      <w:bookmarkEnd w:id="38"/>
      <w:bookmarkEnd w:id="39"/>
      <w:bookmarkEnd w:id="40"/>
      <w:r>
        <w:rPr>
          <w:rStyle w:val="56"/>
          <w:rFonts w:hint="eastAsia"/>
          <w:color w:val="auto"/>
          <w:highlight w:val="none"/>
        </w:rPr>
        <w:t>主要生态环境保护措</w:t>
      </w:r>
      <w:bookmarkEnd w:id="42"/>
      <w:r>
        <w:rPr>
          <w:rStyle w:val="56"/>
          <w:rFonts w:hint="eastAsia"/>
          <w:color w:val="auto"/>
          <w:highlight w:val="none"/>
        </w:rPr>
        <w:t>施</w:t>
      </w:r>
    </w:p>
    <w:tbl>
      <w:tblPr>
        <w:tblStyle w:val="4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256"/>
      </w:tblGrid>
      <w:tr w14:paraId="531BE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3E00C84E">
            <w:pPr>
              <w:adjustRightInd w:val="0"/>
              <w:snapToGrid w:val="0"/>
              <w:jc w:val="center"/>
              <w:rPr>
                <w:bCs/>
                <w:color w:val="auto"/>
                <w:szCs w:val="21"/>
                <w:highlight w:val="none"/>
              </w:rPr>
            </w:pPr>
            <w:r>
              <w:rPr>
                <w:rFonts w:hint="eastAsia" w:ascii="宋体" w:hAnsi="宋体" w:cs="宋体"/>
                <w:color w:val="auto"/>
                <w:kern w:val="0"/>
                <w:sz w:val="24"/>
                <w:szCs w:val="21"/>
                <w:highlight w:val="none"/>
              </w:rPr>
              <w:t>施工期环境保护措施</w:t>
            </w:r>
          </w:p>
        </w:tc>
        <w:tc>
          <w:tcPr>
            <w:tcW w:w="8162" w:type="dxa"/>
            <w:noWrap w:val="0"/>
            <w:vAlign w:val="center"/>
          </w:tcPr>
          <w:p w14:paraId="049247E7">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5.1.1</w:t>
            </w:r>
            <w:r>
              <w:rPr>
                <w:rFonts w:hint="eastAsia"/>
                <w:b/>
                <w:bCs/>
                <w:color w:val="auto"/>
                <w:sz w:val="28"/>
                <w:szCs w:val="28"/>
                <w:highlight w:val="none"/>
                <w:lang w:eastAsia="zh-CN"/>
              </w:rPr>
              <w:t>大气环境保护措施</w:t>
            </w:r>
          </w:p>
          <w:p w14:paraId="289ABF03">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本项目施工期环境空气污染物为施工船舶的燃油废气。主要采取以下保护措施：</w:t>
            </w:r>
          </w:p>
          <w:p w14:paraId="7E146057">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cs="Times New Roman"/>
                <w:color w:val="auto"/>
                <w:kern w:val="0"/>
                <w:sz w:val="24"/>
                <w:highlight w:val="none"/>
                <w:u w:val="single"/>
                <w:lang w:val="en-US" w:eastAsia="zh-CN"/>
              </w:rPr>
              <w:t>（1）</w:t>
            </w:r>
            <w:r>
              <w:rPr>
                <w:rFonts w:hint="eastAsia" w:ascii="Times New Roman" w:hAnsi="Times New Roman" w:eastAsia="宋体" w:cs="Times New Roman"/>
                <w:color w:val="auto"/>
                <w:kern w:val="0"/>
                <w:sz w:val="24"/>
                <w:highlight w:val="none"/>
                <w:u w:val="single"/>
                <w:lang w:val="en-US" w:eastAsia="zh-CN"/>
              </w:rPr>
              <w:t>做好施工船舶的维修和保养工作；施工船舶定期进行维修和保养，保障船上发动机及有关设备经船舶检验机构检验合格；在施工期内要多加注意对施工设备的维护，使其能够正常运行，减少机械怠速。</w:t>
            </w:r>
          </w:p>
          <w:p w14:paraId="22CAF446">
            <w:pPr>
              <w:spacing w:line="360" w:lineRule="auto"/>
              <w:ind w:firstLine="480" w:firstLineChars="200"/>
              <w:jc w:val="left"/>
              <w:rPr>
                <w:rFonts w:hint="eastAsia" w:ascii="Times New Roman" w:hAnsi="Times New Roman" w:eastAsia="宋体" w:cs="Times New Roman"/>
                <w:color w:val="auto"/>
                <w:kern w:val="0"/>
                <w:sz w:val="24"/>
                <w:highlight w:val="none"/>
                <w:u w:val="single"/>
              </w:rPr>
            </w:pPr>
            <w:r>
              <w:rPr>
                <w:rFonts w:hint="eastAsia" w:cs="Times New Roman"/>
                <w:color w:val="auto"/>
                <w:kern w:val="0"/>
                <w:sz w:val="24"/>
                <w:highlight w:val="none"/>
                <w:u w:val="single"/>
                <w:lang w:val="en-US" w:eastAsia="zh-CN"/>
              </w:rPr>
              <w:t>（2）</w:t>
            </w:r>
            <w:r>
              <w:rPr>
                <w:rFonts w:hint="eastAsia" w:ascii="Times New Roman" w:hAnsi="Times New Roman" w:eastAsia="宋体" w:cs="Times New Roman"/>
                <w:color w:val="auto"/>
                <w:kern w:val="0"/>
                <w:sz w:val="24"/>
                <w:highlight w:val="none"/>
                <w:u w:val="single"/>
                <w:lang w:val="en-US" w:eastAsia="zh-CN"/>
              </w:rPr>
              <w:t>使用含硫量不高于0.5%m/m的燃油，根据国家强制性标准《船用燃料油》（GB17411-2015）规定，施工船舶不得使用闪点（闭杯）低于60℃船用燃油。施工船舶采用低含硫燃料，按照《交通运输部关于印发船舶大气污染物排放控制区实施方案的通知》（交海发〔2018〕168号）要求，钦州湾海域属于排放控制区范围，船舶应使用硫含量不大于0.5%m/m的燃油。</w:t>
            </w:r>
          </w:p>
          <w:p w14:paraId="63FF4F66">
            <w:pPr>
              <w:spacing w:line="360" w:lineRule="auto"/>
              <w:ind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以上措施均为常见的措施，具体经济可行性。</w:t>
            </w:r>
          </w:p>
          <w:p w14:paraId="6D532A69">
            <w:pPr>
              <w:spacing w:line="360" w:lineRule="auto"/>
              <w:rPr>
                <w:rFonts w:hint="eastAsia" w:eastAsia="宋体"/>
                <w:b/>
                <w:bCs/>
                <w:color w:val="auto"/>
                <w:sz w:val="28"/>
                <w:szCs w:val="28"/>
                <w:highlight w:val="none"/>
                <w:lang w:eastAsia="zh-CN"/>
              </w:rPr>
            </w:pPr>
            <w:r>
              <w:rPr>
                <w:rFonts w:hint="eastAsia"/>
                <w:b/>
                <w:bCs/>
                <w:color w:val="auto"/>
                <w:sz w:val="28"/>
                <w:szCs w:val="28"/>
                <w:highlight w:val="none"/>
                <w:lang w:val="en-US" w:eastAsia="zh-CN"/>
              </w:rPr>
              <w:t>5.1.2</w:t>
            </w:r>
            <w:r>
              <w:rPr>
                <w:rFonts w:hint="eastAsia"/>
                <w:b/>
                <w:bCs/>
                <w:color w:val="auto"/>
                <w:sz w:val="28"/>
                <w:szCs w:val="28"/>
                <w:highlight w:val="none"/>
                <w:lang w:eastAsia="zh-CN"/>
              </w:rPr>
              <w:t>水环境保护措施</w:t>
            </w:r>
          </w:p>
          <w:p w14:paraId="24279D38">
            <w:p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1、施工期水污染物防治措施</w:t>
            </w:r>
          </w:p>
          <w:p w14:paraId="42540802">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项目施工期产生的废水主要来自施工人员生活污水以及船舶含油污水。</w:t>
            </w:r>
          </w:p>
          <w:p w14:paraId="3AE86871">
            <w:pPr>
              <w:numPr>
                <w:ilvl w:val="0"/>
                <w:numId w:val="21"/>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生活污水污染防治措施</w:t>
            </w:r>
          </w:p>
          <w:p w14:paraId="0B11F51A">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施工期间，各类工程船、锚艇等施工船舶上作业人员产生的生活污水，先利用船舶上的污水收集容器集中储藏，待船舶上岸后，利用船上自带的泵通过管道将污水泵送至接收车，转移至污水处理点统一处理，禁止直接排入大海。</w:t>
            </w:r>
          </w:p>
          <w:p w14:paraId="0092536A">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以上施工期采取的废水污染防治措施属于适用范围广、通用性强的常规环保措施，并且在国内外类似的工程中经常应用到，在经济和技术等方面具有一定的可行性。</w:t>
            </w:r>
          </w:p>
          <w:p w14:paraId="1C169D04">
            <w:pPr>
              <w:numPr>
                <w:ilvl w:val="0"/>
                <w:numId w:val="21"/>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船舶含油污水污染防治措施</w:t>
            </w:r>
          </w:p>
          <w:p w14:paraId="6770D9E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本工程施工期间施工船舶均设置有油污水处理设施，仅在港口水域范围内航行、作业的船舶全部油污水必须排放上岸处置。</w:t>
            </w:r>
          </w:p>
          <w:p w14:paraId="236724C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施工船舶作业产生的含油污水贮存在船上的储污水箱中随船携带，待船舶靠岸后统一交由陆域处理，业主方在发包疏浚工程时应将施工方与钦州市相关资质单位分别签署协议，明确施工单位船舶污水接收单位，按工程量落实确定船舶污水接收单位与接收量，严禁船舶污水向海排放作为中标前置条件。</w:t>
            </w:r>
          </w:p>
          <w:p w14:paraId="4CC48E3B">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施工作业船舶存在一定的碰撞风险，建议业主方与施工单位签署协议时明确本工程整体施工进度计划，并指定专门的监管单位进行船舶作业监管与必要的调度，防止船舶碰撞事故引发水体污染事故。</w:t>
            </w:r>
          </w:p>
          <w:p w14:paraId="119438F9">
            <w:pPr>
              <w:numPr>
                <w:ilvl w:val="0"/>
                <w:numId w:val="22"/>
              </w:num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疏浚作业水污染防治措施</w:t>
            </w:r>
          </w:p>
          <w:p w14:paraId="56F27246">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）合理安排施工作业时间，避免在水产养殖鱼苗期和其他鱼类物种繁殖期大规模疏浚作业。</w:t>
            </w:r>
          </w:p>
          <w:p w14:paraId="0E736E8B">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）施工单应合理选择疏浚设备和施工工艺，对整个工程的施工质量、进度和资源消耗作出合理安排，尽可能地缩短施工周期，以减小施工作业对水环境的影响。</w:t>
            </w:r>
          </w:p>
          <w:p w14:paraId="3369A691">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（3）密切关注当地气象预报，在恶劣天气条件下应提前做好施工安全防护工作，避免造成船舶碰撞及护岸坍塌等事故。</w:t>
            </w:r>
          </w:p>
          <w:p w14:paraId="4750A724">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（4）项目施工期采用抓斗式挖泥船进行疏浚，为了降低疏浚土扩散的海洋污染，工程在疏浚坑周边设置防污帘。</w:t>
            </w:r>
          </w:p>
          <w:p w14:paraId="4F855CA6">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（5）为避免超挖土方引起多余扰动而产生的悬浮物，施工船舶应精确定位后再开始挖掘，尽可能减少疏浚作业中不必要的超深、超宽的疏浚土方量，从根本上减少对环境产生影响的悬浮物的数量。</w:t>
            </w:r>
          </w:p>
          <w:p w14:paraId="6C44A183">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（6）加强对挖泥船疏浚、外抛过程的监管，必须运至指定地点方可抛泥，严防半路</w:t>
            </w:r>
            <w:r>
              <w:rPr>
                <w:rFonts w:hint="eastAsia" w:cs="Times New Roman"/>
                <w:color w:val="auto"/>
                <w:kern w:val="0"/>
                <w:sz w:val="24"/>
                <w:highlight w:val="none"/>
                <w:lang w:val="en-US" w:eastAsia="zh-CN"/>
              </w:rPr>
              <w:t>抛撒</w:t>
            </w:r>
            <w:r>
              <w:rPr>
                <w:rFonts w:hint="eastAsia" w:ascii="Times New Roman" w:hAnsi="Times New Roman" w:eastAsia="宋体" w:cs="Times New Roman"/>
                <w:color w:val="auto"/>
                <w:kern w:val="0"/>
                <w:sz w:val="24"/>
                <w:highlight w:val="none"/>
                <w:lang w:val="en-US" w:eastAsia="zh-CN"/>
              </w:rPr>
              <w:t>或泄漏。做好施工设备的日常检查维修，重点对施工船舶的连接部件以及储泥船舱进行检查，防止断裂或泄漏造成污染事故。</w:t>
            </w:r>
          </w:p>
          <w:p w14:paraId="50554BAA">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7</w:t>
            </w:r>
            <w:r>
              <w:rPr>
                <w:rFonts w:hint="eastAsia" w:ascii="Times New Roman" w:hAnsi="Times New Roman" w:eastAsia="宋体" w:cs="Times New Roman"/>
                <w:color w:val="auto"/>
                <w:kern w:val="0"/>
                <w:sz w:val="24"/>
                <w:highlight w:val="none"/>
                <w:lang w:val="en-US" w:eastAsia="zh-CN"/>
              </w:rPr>
              <w:t>）疏浚施工前，施工单位应向当地主管部门备案，施工船舶应当保持</w:t>
            </w:r>
            <w:r>
              <w:rPr>
                <w:rFonts w:hint="default" w:ascii="Times New Roman" w:hAnsi="Times New Roman" w:eastAsia="宋体" w:cs="Times New Roman"/>
                <w:color w:val="auto"/>
                <w:kern w:val="0"/>
                <w:sz w:val="24"/>
                <w:highlight w:val="none"/>
                <w:lang w:val="en-US" w:eastAsia="zh-CN"/>
              </w:rPr>
              <w:t>AIS</w:t>
            </w:r>
            <w:r>
              <w:rPr>
                <w:rFonts w:hint="eastAsia" w:ascii="Times New Roman" w:hAnsi="Times New Roman" w:eastAsia="宋体" w:cs="Times New Roman"/>
                <w:color w:val="auto"/>
                <w:kern w:val="0"/>
                <w:sz w:val="24"/>
                <w:highlight w:val="none"/>
                <w:lang w:val="en-US" w:eastAsia="zh-CN"/>
              </w:rPr>
              <w:t>定位系统打开，当地主管部门不定期抽查，加强监管，确保挖泥船舶在指定地点卸泥，防止船舶发生没有进入倾倒区提前倾倒或越界倾倒行为。</w:t>
            </w:r>
          </w:p>
          <w:p w14:paraId="1A6B138E">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采取上述措施后，可有效降低悬浮泥沙的扩散浓度及范围，技术可行，经济合理。</w:t>
            </w:r>
          </w:p>
          <w:p w14:paraId="637D2E10">
            <w:pPr>
              <w:numPr>
                <w:ilvl w:val="0"/>
                <w:numId w:val="22"/>
              </w:numPr>
              <w:spacing w:line="360" w:lineRule="auto"/>
              <w:ind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船舶污染防治措施</w:t>
            </w:r>
          </w:p>
          <w:p w14:paraId="3CE3FDE3">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）海上施工船舶的生活污水应收集在船上的生活污水集污仓中，统一收集上岸交由有接收能力的单位接收处理（施工前应与资质单位签订船舶污染物接收处理协议）。</w:t>
            </w:r>
          </w:p>
          <w:p w14:paraId="68288E9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）施工应按照海事主管部门的要求，实施船舶污水的铅封管理。船舶产生的油类、油性混合物及其他污水，船舶垃圾、废弃物和其他有毒有害物质收集后上岸处理，严禁排放入海。加强舱底检查，防止舱底漏水。</w:t>
            </w:r>
          </w:p>
          <w:p w14:paraId="2599A96E">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）严禁施工船舶向施工海域排放废油、残油等污染物；不得在施工区域清洗油舱和有污染物质的容器。</w:t>
            </w:r>
          </w:p>
          <w:p w14:paraId="43D38517">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在开工前应对所有的施工设备，尤其是对挖泥船泥舱门进行严格检查，发现有可能泄漏污染物（包括船用油和疏浚土）的必须先修复后才能施工；在施工过程中应密切注意有无泄漏污染物的现象，如有发生立即采取措施。</w:t>
            </w:r>
          </w:p>
          <w:p w14:paraId="4F5C5734">
            <w:pPr>
              <w:spacing w:line="360" w:lineRule="auto"/>
              <w:ind w:firstLine="480" w:firstLineChars="200"/>
              <w:jc w:val="left"/>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施工船舶应加强管理，经常检查机械设备性能完好情况，对跑、冒、滴、漏严重的船只严禁参加作业，以防止发生机油溢漏事故。甲板上机械出现设备漏冒油时，立即停机处理，使用吸油棉及时吸取，并迅速堵塞泄水口，防止油水流入海中。</w:t>
            </w:r>
          </w:p>
          <w:p w14:paraId="704C1500">
            <w:pPr>
              <w:spacing w:line="360" w:lineRule="auto"/>
              <w:rPr>
                <w:rFonts w:hint="eastAsia" w:eastAsia="宋体"/>
                <w:color w:val="auto"/>
                <w:kern w:val="0"/>
                <w:sz w:val="24"/>
                <w:highlight w:val="none"/>
                <w:lang w:eastAsia="zh-CN"/>
              </w:rPr>
            </w:pPr>
            <w:r>
              <w:rPr>
                <w:rFonts w:hint="eastAsia"/>
                <w:b/>
                <w:bCs/>
                <w:color w:val="auto"/>
                <w:sz w:val="28"/>
                <w:szCs w:val="28"/>
                <w:highlight w:val="none"/>
                <w:lang w:val="en-US" w:eastAsia="zh-CN"/>
              </w:rPr>
              <w:t>5.1.3</w:t>
            </w:r>
            <w:r>
              <w:rPr>
                <w:rFonts w:hint="eastAsia"/>
                <w:b/>
                <w:bCs/>
                <w:color w:val="auto"/>
                <w:sz w:val="28"/>
                <w:szCs w:val="28"/>
                <w:highlight w:val="none"/>
                <w:lang w:eastAsia="zh-CN"/>
              </w:rPr>
              <w:t>声环境保护措施</w:t>
            </w:r>
          </w:p>
          <w:p w14:paraId="27D1AE49">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本工程施工海域离岸较远，且周围没有噪声敏感建筑物，本工程施工噪声可满足《建筑施工环境噪声排放标准》（GB12523-</w:t>
            </w:r>
            <w:r>
              <w:rPr>
                <w:rFonts w:hint="eastAsia" w:ascii="Times New Roman" w:hAnsi="Times New Roman" w:eastAsia="宋体" w:cs="Times New Roman"/>
                <w:color w:val="auto"/>
                <w:kern w:val="0"/>
                <w:sz w:val="24"/>
                <w:highlight w:val="none"/>
                <w:lang w:val="en-US" w:eastAsia="zh-CN"/>
              </w:rPr>
              <w:t>2025</w:t>
            </w:r>
            <w:r>
              <w:rPr>
                <w:rFonts w:hint="eastAsia" w:ascii="Times New Roman" w:hAnsi="Times New Roman" w:eastAsia="宋体" w:cs="Times New Roman"/>
                <w:color w:val="auto"/>
                <w:kern w:val="0"/>
                <w:sz w:val="24"/>
                <w:highlight w:val="none"/>
              </w:rPr>
              <w:t>）的要求。</w:t>
            </w:r>
          </w:p>
          <w:p w14:paraId="1C49F491">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（1）施工船舶按规定鸣笛，不得无故鸣笛；</w:t>
            </w:r>
          </w:p>
          <w:p w14:paraId="11127A64">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（2）加强施工机械设备的维修和保养，使施工机械处于良好的工作状态，以降低噪声源强；</w:t>
            </w:r>
          </w:p>
          <w:p w14:paraId="15604246">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（3）对施工机械操作工人及现场施工人员按劳动卫生标准控制工作时间，亦可采取个人防护措施，如戴隔声耳塞、头盔等。</w:t>
            </w:r>
          </w:p>
          <w:p w14:paraId="007D677E">
            <w:pPr>
              <w:spacing w:line="360" w:lineRule="auto"/>
              <w:ind w:firstLine="480" w:firstLineChars="200"/>
              <w:jc w:val="left"/>
              <w:rPr>
                <w:rFonts w:hint="default" w:ascii="Times New Roman" w:hAnsi="Times New Roman" w:eastAsia="宋体" w:cs="Times New Roman"/>
                <w:color w:val="auto"/>
                <w:kern w:val="0"/>
                <w:sz w:val="24"/>
                <w:highlight w:val="none"/>
                <w:lang w:val="en-US"/>
              </w:rPr>
            </w:pPr>
            <w:r>
              <w:rPr>
                <w:rFonts w:hint="eastAsia" w:cs="Times New Roman"/>
                <w:color w:val="auto"/>
                <w:kern w:val="0"/>
                <w:sz w:val="24"/>
                <w:highlight w:val="none"/>
                <w:u w:val="single"/>
                <w:lang w:eastAsia="zh-CN"/>
              </w:rPr>
              <w:t>（</w:t>
            </w:r>
            <w:r>
              <w:rPr>
                <w:rFonts w:hint="eastAsia" w:cs="Times New Roman"/>
                <w:color w:val="auto"/>
                <w:kern w:val="0"/>
                <w:sz w:val="24"/>
                <w:highlight w:val="none"/>
                <w:u w:val="single"/>
                <w:lang w:val="en-US" w:eastAsia="zh-CN"/>
              </w:rPr>
              <w:t>4</w:t>
            </w:r>
            <w:r>
              <w:rPr>
                <w:rFonts w:hint="eastAsia" w:cs="Times New Roman"/>
                <w:color w:val="auto"/>
                <w:kern w:val="0"/>
                <w:sz w:val="24"/>
                <w:highlight w:val="none"/>
                <w:u w:val="single"/>
                <w:lang w:eastAsia="zh-CN"/>
              </w:rPr>
              <w:t>）</w:t>
            </w:r>
            <w:r>
              <w:rPr>
                <w:rFonts w:hint="eastAsia" w:cs="Times New Roman"/>
                <w:color w:val="auto"/>
                <w:kern w:val="0"/>
                <w:sz w:val="24"/>
                <w:highlight w:val="none"/>
                <w:u w:val="single"/>
                <w:lang w:val="en-US" w:eastAsia="zh-CN"/>
              </w:rPr>
              <w:t>优化施工时间，航道疏浚分时分段施工。</w:t>
            </w:r>
          </w:p>
          <w:p w14:paraId="1FC024C6">
            <w:pPr>
              <w:spacing w:line="36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5.1.4</w:t>
            </w:r>
            <w:r>
              <w:rPr>
                <w:rFonts w:hint="eastAsia" w:ascii="Times New Roman" w:hAnsi="Times New Roman" w:eastAsia="宋体" w:cs="Times New Roman"/>
                <w:b/>
                <w:bCs/>
                <w:color w:val="auto"/>
                <w:sz w:val="28"/>
                <w:szCs w:val="28"/>
                <w:highlight w:val="none"/>
              </w:rPr>
              <w:t>固体</w:t>
            </w:r>
            <w:r>
              <w:rPr>
                <w:rFonts w:hint="eastAsia" w:ascii="Times New Roman" w:hAnsi="Times New Roman" w:eastAsia="宋体" w:cs="Times New Roman"/>
                <w:b/>
                <w:bCs/>
                <w:color w:val="auto"/>
                <w:sz w:val="28"/>
                <w:szCs w:val="28"/>
                <w:highlight w:val="none"/>
                <w:lang w:eastAsia="zh-CN"/>
              </w:rPr>
              <w:t>废弃物污染防治措施</w:t>
            </w:r>
          </w:p>
          <w:p w14:paraId="6F3E2FFC">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项目施工期产生的固体废弃物主要有船舶生活垃圾、疏浚物。</w:t>
            </w:r>
          </w:p>
          <w:p w14:paraId="602B7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kern w:val="0"/>
                <w:sz w:val="24"/>
                <w:highlight w:val="none"/>
                <w:lang w:eastAsia="zh-CN"/>
              </w:rPr>
            </w:pPr>
            <w:r>
              <w:rPr>
                <w:rFonts w:hint="eastAsia"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eastAsia="zh-CN"/>
              </w:rPr>
              <w:t>船舶</w:t>
            </w:r>
            <w:r>
              <w:rPr>
                <w:rFonts w:hint="eastAsia" w:cs="Times New Roman"/>
                <w:b/>
                <w:bCs/>
                <w:color w:val="auto"/>
                <w:kern w:val="0"/>
                <w:sz w:val="24"/>
                <w:highlight w:val="none"/>
                <w:lang w:val="en-US" w:eastAsia="zh-CN"/>
              </w:rPr>
              <w:t>生活</w:t>
            </w:r>
            <w:r>
              <w:rPr>
                <w:rFonts w:hint="eastAsia" w:ascii="Times New Roman" w:hAnsi="Times New Roman" w:eastAsia="宋体" w:cs="Times New Roman"/>
                <w:b/>
                <w:bCs/>
                <w:color w:val="auto"/>
                <w:kern w:val="0"/>
                <w:sz w:val="24"/>
                <w:highlight w:val="none"/>
                <w:lang w:eastAsia="zh-CN"/>
              </w:rPr>
              <w:t>垃圾污染防治措施</w:t>
            </w:r>
          </w:p>
          <w:p w14:paraId="4A94D83E">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eastAsia="zh-CN"/>
              </w:rPr>
              <w:t>施工船舶</w:t>
            </w:r>
            <w:r>
              <w:rPr>
                <w:rFonts w:hint="eastAsia" w:cs="Times New Roman"/>
                <w:color w:val="auto"/>
                <w:kern w:val="0"/>
                <w:sz w:val="24"/>
                <w:highlight w:val="none"/>
                <w:lang w:val="en-US" w:eastAsia="zh-CN"/>
              </w:rPr>
              <w:t>生活</w:t>
            </w:r>
            <w:r>
              <w:rPr>
                <w:rFonts w:hint="eastAsia" w:ascii="Times New Roman" w:hAnsi="Times New Roman" w:eastAsia="宋体" w:cs="Times New Roman"/>
                <w:color w:val="auto"/>
                <w:kern w:val="0"/>
                <w:sz w:val="24"/>
                <w:highlight w:val="none"/>
                <w:lang w:eastAsia="zh-CN"/>
              </w:rPr>
              <w:t>垃圾严格按照船舶污染物监管“联单制度”进行管理，由有资质的单位接收处置。</w:t>
            </w:r>
          </w:p>
          <w:p w14:paraId="781B81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highlight w:val="none"/>
                <w:lang w:val="en-US" w:eastAsia="zh-CN"/>
              </w:rPr>
            </w:pPr>
            <w:r>
              <w:rPr>
                <w:rFonts w:hint="eastAsia"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val="en-US" w:eastAsia="zh-CN"/>
              </w:rPr>
              <w:t>疏浚物污染防治措施</w:t>
            </w:r>
          </w:p>
          <w:p w14:paraId="66087976">
            <w:pPr>
              <w:spacing w:line="360" w:lineRule="auto"/>
              <w:ind w:firstLine="480" w:firstLineChars="200"/>
              <w:jc w:val="left"/>
              <w:rPr>
                <w:rFonts w:hint="eastAsia" w:ascii="Times New Roman" w:hAnsi="Times New Roman" w:eastAsia="宋体" w:cs="Times New Roman"/>
                <w:color w:val="auto"/>
                <w:kern w:val="0"/>
                <w:sz w:val="24"/>
                <w:highlight w:val="none"/>
                <w:u w:val="none"/>
                <w:lang w:eastAsia="zh-CN"/>
              </w:rPr>
            </w:pPr>
            <w:r>
              <w:rPr>
                <w:rFonts w:hint="eastAsia" w:ascii="Times New Roman" w:hAnsi="Times New Roman" w:eastAsia="宋体" w:cs="Times New Roman"/>
                <w:color w:val="auto"/>
                <w:kern w:val="0"/>
                <w:sz w:val="24"/>
                <w:highlight w:val="none"/>
                <w:u w:val="none"/>
                <w:lang w:eastAsia="zh-CN"/>
              </w:rPr>
              <w:t>本项目维护性疏浚产生的疏浚物量约</w:t>
            </w:r>
            <w:r>
              <w:rPr>
                <w:rFonts w:hint="eastAsia" w:ascii="Times New Roman" w:hAnsi="Times New Roman" w:eastAsia="宋体" w:cs="Times New Roman"/>
                <w:color w:val="auto"/>
                <w:kern w:val="0"/>
                <w:sz w:val="24"/>
                <w:highlight w:val="none"/>
                <w:u w:val="none"/>
                <w:lang w:val="en-US" w:eastAsia="zh-CN"/>
              </w:rPr>
              <w:t>9.28万m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eastAsia="zh-CN"/>
              </w:rPr>
              <w:t>，疏浚物通过泥驳船和耙吸船运输至防城港2#倾倒区，疏浚施工前应取得倾倒许可证并缴纳废弃物海洋倾倒区，施工单位需在疏浚物运输船舶上安装GPS定位系统，方便管理部门监管。</w:t>
            </w:r>
          </w:p>
          <w:p w14:paraId="1E0A0CD8">
            <w:pPr>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项目距离防城港</w:t>
            </w:r>
            <w:r>
              <w:rPr>
                <w:rFonts w:hint="default" w:ascii="Times New Roman" w:hAnsi="Times New Roman" w:eastAsia="宋体" w:cs="Times New Roman"/>
                <w:color w:val="auto"/>
                <w:kern w:val="0"/>
                <w:sz w:val="24"/>
                <w:highlight w:val="none"/>
                <w:u w:val="none"/>
                <w:lang w:val="en-US" w:eastAsia="zh-CN"/>
              </w:rPr>
              <w:t>2#</w:t>
            </w:r>
            <w:r>
              <w:rPr>
                <w:rFonts w:hint="eastAsia" w:ascii="Times New Roman" w:hAnsi="Times New Roman" w:eastAsia="宋体" w:cs="Times New Roman"/>
                <w:color w:val="auto"/>
                <w:kern w:val="0"/>
                <w:sz w:val="24"/>
                <w:highlight w:val="none"/>
                <w:u w:val="none"/>
                <w:lang w:val="en-US" w:eastAsia="zh-CN"/>
              </w:rPr>
              <w:t>倾倒区航线距离约45km，根据生态环境部2024年第9号关于设立防城港2#倾倒区等5个倾倒区的公告范围为108°30'29.47"E、21°24'54.76"N，108°30'29.47"E、21°22'44.54"N，108°31'49.80"E、21°22'43.96"N，108°31'48.57"E、21°24'56.49"N四点连线围成的区域，面积约9.3km</w:t>
            </w:r>
            <w:r>
              <w:rPr>
                <w:rFonts w:hint="eastAsia" w:ascii="Times New Roman" w:hAnsi="Times New Roman" w:eastAsia="宋体" w:cs="Times New Roman"/>
                <w:color w:val="auto"/>
                <w:kern w:val="0"/>
                <w:sz w:val="24"/>
                <w:highlight w:val="none"/>
                <w:u w:val="none"/>
                <w:vertAlign w:val="superscript"/>
                <w:lang w:val="en-US" w:eastAsia="zh-CN"/>
              </w:rPr>
              <w:t>2</w:t>
            </w:r>
            <w:r>
              <w:rPr>
                <w:rFonts w:hint="eastAsia" w:ascii="Times New Roman" w:hAnsi="Times New Roman" w:eastAsia="宋体" w:cs="Times New Roman"/>
                <w:color w:val="auto"/>
                <w:kern w:val="0"/>
                <w:sz w:val="24"/>
                <w:highlight w:val="none"/>
                <w:u w:val="none"/>
                <w:lang w:val="en-US" w:eastAsia="zh-CN"/>
              </w:rPr>
              <w:t>。允许倾倒容量为每年206万立方米，本项目外抛疏浚物为9.28万m</w:t>
            </w:r>
            <w:r>
              <w:rPr>
                <w:rFonts w:hint="eastAsia" w:ascii="Times New Roman" w:hAnsi="Times New Roman" w:eastAsia="宋体" w:cs="Times New Roman"/>
                <w:color w:val="auto"/>
                <w:kern w:val="0"/>
                <w:sz w:val="24"/>
                <w:highlight w:val="none"/>
                <w:u w:val="none"/>
                <w:vertAlign w:val="superscript"/>
                <w:lang w:val="en-US" w:eastAsia="zh-CN"/>
              </w:rPr>
              <w:t>3</w:t>
            </w:r>
            <w:r>
              <w:rPr>
                <w:rFonts w:hint="eastAsia" w:ascii="Times New Roman" w:hAnsi="Times New Roman" w:eastAsia="宋体" w:cs="Times New Roman"/>
                <w:color w:val="auto"/>
                <w:kern w:val="0"/>
                <w:sz w:val="24"/>
                <w:highlight w:val="none"/>
                <w:u w:val="none"/>
                <w:lang w:val="en-US" w:eastAsia="zh-CN"/>
              </w:rPr>
              <w:t>，占总容量的4.5%，占比较小。</w:t>
            </w:r>
          </w:p>
          <w:p w14:paraId="0F9A62BD">
            <w:pPr>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eastAsia"/>
                <w:color w:val="auto"/>
                <w:sz w:val="24"/>
                <w:highlight w:val="none"/>
                <w:u w:val="none"/>
                <w:lang w:val="en-US" w:eastAsia="zh-CN"/>
              </w:rPr>
              <w:t>施工前，建设单位应及时与辖区相关主管单位进行沟通，予以确认抛卸位置，并办理相关手续。</w:t>
            </w:r>
          </w:p>
          <w:p w14:paraId="23ECAE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highlight w:val="none"/>
                <w:lang w:val="en-US" w:eastAsia="zh-CN"/>
              </w:rPr>
            </w:pPr>
            <w:r>
              <w:rPr>
                <w:rFonts w:hint="eastAsia" w:cs="Times New Roman"/>
                <w:b/>
                <w:bCs/>
                <w:color w:val="auto"/>
                <w:kern w:val="0"/>
                <w:sz w:val="24"/>
                <w:highlight w:val="none"/>
                <w:lang w:val="en-US" w:eastAsia="zh-CN"/>
              </w:rPr>
              <w:t>3</w:t>
            </w:r>
            <w:r>
              <w:rPr>
                <w:rFonts w:hint="eastAsia" w:ascii="Times New Roman" w:hAnsi="Times New Roman" w:eastAsia="宋体" w:cs="Times New Roman"/>
                <w:b/>
                <w:bCs/>
                <w:color w:val="auto"/>
                <w:kern w:val="0"/>
                <w:sz w:val="24"/>
                <w:highlight w:val="none"/>
                <w:lang w:val="en-US" w:eastAsia="zh-CN"/>
              </w:rPr>
              <w:t>、疏浚物倾倒管理</w:t>
            </w:r>
          </w:p>
          <w:p w14:paraId="0778E8CF">
            <w:pPr>
              <w:spacing w:line="360" w:lineRule="auto"/>
              <w:ind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本工程疏浚物的处置方式为泥驳船和耙吸船运输至</w:t>
            </w:r>
            <w:r>
              <w:rPr>
                <w:rFonts w:hint="eastAsia" w:ascii="Times New Roman" w:hAnsi="Times New Roman" w:eastAsia="宋体" w:cs="Times New Roman"/>
                <w:color w:val="auto"/>
                <w:kern w:val="0"/>
                <w:sz w:val="24"/>
                <w:highlight w:val="none"/>
                <w:lang w:val="en-US" w:eastAsia="zh-CN"/>
              </w:rPr>
              <w:t>防城港2#倾倒区进行倾倒，疏浚物倾倒过程应采取以下管理措施：</w:t>
            </w:r>
          </w:p>
          <w:p w14:paraId="167729A3">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）运泥船到位倾倒</w:t>
            </w:r>
          </w:p>
          <w:p w14:paraId="68DEC2F3">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杜绝运泥船运输过程中随意倾倒疏浚物，运泥船舶必须将疏浚泥运往指定的抛泥区。</w:t>
            </w:r>
          </w:p>
          <w:p w14:paraId="593CDACB">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）确保运泥船舱门密闭，严防泥浆泄漏</w:t>
            </w:r>
          </w:p>
          <w:p w14:paraId="0BFF592A">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运泥船在运输疏浚泥过程中应关闭舱门，并确定舱门关闭无误后方可航行。如泥舱关闭不严，在航行</w:t>
            </w:r>
            <w:r>
              <w:rPr>
                <w:rFonts w:hint="eastAsia" w:cs="Times New Roman"/>
                <w:color w:val="auto"/>
                <w:kern w:val="0"/>
                <w:sz w:val="24"/>
                <w:highlight w:val="none"/>
                <w:lang w:val="en-US" w:eastAsia="zh-CN"/>
              </w:rPr>
              <w:t>途</w:t>
            </w:r>
            <w:r>
              <w:rPr>
                <w:rFonts w:hint="eastAsia" w:ascii="Times New Roman" w:hAnsi="Times New Roman" w:eastAsia="宋体" w:cs="Times New Roman"/>
                <w:color w:val="auto"/>
                <w:kern w:val="0"/>
                <w:sz w:val="24"/>
                <w:highlight w:val="none"/>
                <w:lang w:val="en-US" w:eastAsia="zh-CN"/>
              </w:rPr>
              <w:t>中由于泥浆的泄漏入海，将导致污染事故的发生。同时，应加强同当地气象预报部门的联系，在恶劣天气条件下，应提前做好防护准备并停止疏浚作业。</w:t>
            </w:r>
          </w:p>
          <w:p w14:paraId="25F28E63">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）运泥船到位处置疏浚物</w:t>
            </w:r>
          </w:p>
          <w:p w14:paraId="471DC9FB">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本工程运泥船必须配置由海洋主管部门监管并铅封的、具有自动记录功能的</w:t>
            </w:r>
            <w:r>
              <w:rPr>
                <w:rFonts w:hint="default" w:ascii="Times New Roman" w:hAnsi="Times New Roman" w:eastAsia="宋体" w:cs="Times New Roman"/>
                <w:color w:val="auto"/>
                <w:kern w:val="0"/>
                <w:sz w:val="24"/>
                <w:highlight w:val="none"/>
                <w:lang w:val="en-US" w:eastAsia="zh-CN"/>
              </w:rPr>
              <w:t>DGPS</w:t>
            </w:r>
            <w:r>
              <w:rPr>
                <w:rFonts w:hint="eastAsia" w:ascii="Times New Roman" w:hAnsi="Times New Roman" w:eastAsia="宋体" w:cs="Times New Roman"/>
                <w:color w:val="auto"/>
                <w:kern w:val="0"/>
                <w:sz w:val="24"/>
                <w:highlight w:val="none"/>
                <w:lang w:val="en-US" w:eastAsia="zh-CN"/>
              </w:rPr>
              <w:t>接收机，每月由海洋部门取出检查是否到位处置疏浚物。</w:t>
            </w:r>
          </w:p>
          <w:p w14:paraId="6878BA97">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）倾倒区环境污染防治措施</w:t>
            </w:r>
          </w:p>
          <w:p w14:paraId="5AF5F688">
            <w:pPr>
              <w:spacing w:line="360" w:lineRule="auto"/>
              <w:ind w:firstLine="480" w:firstLineChars="200"/>
              <w:jc w:val="left"/>
              <w:rPr>
                <w:rFonts w:hint="eastAsia" w:ascii="Times New Roman" w:hAnsi="Times New Roman" w:eastAsia="宋体" w:cs="Times New Roman"/>
                <w:color w:val="auto"/>
                <w:kern w:val="0"/>
                <w:sz w:val="24"/>
                <w:highlight w:val="none"/>
                <w:lang w:eastAsia="zh-CN"/>
              </w:rPr>
            </w:pPr>
            <w:r>
              <w:rPr>
                <w:rFonts w:hint="eastAsia" w:ascii="Times New Roman" w:hAnsi="Times New Roman" w:eastAsia="宋体" w:cs="Times New Roman"/>
                <w:color w:val="auto"/>
                <w:kern w:val="0"/>
                <w:sz w:val="24"/>
                <w:highlight w:val="none"/>
                <w:lang w:val="en-US" w:eastAsia="zh-CN"/>
              </w:rPr>
              <w:t>本工程疏浚土将全部倾倒至防城港2#倾倒区。根据《中华人民共和国海洋倾废管理条例</w:t>
            </w:r>
            <w:r>
              <w:rPr>
                <w:rFonts w:hint="eastAsia" w:cs="Times New Roman"/>
                <w:color w:val="auto"/>
                <w:kern w:val="0"/>
                <w:sz w:val="24"/>
                <w:highlight w:val="none"/>
                <w:lang w:val="en-US" w:eastAsia="zh-CN"/>
              </w:rPr>
              <w:t>》等</w:t>
            </w:r>
            <w:r>
              <w:rPr>
                <w:rFonts w:hint="eastAsia" w:ascii="Times New Roman" w:hAnsi="Times New Roman" w:eastAsia="宋体" w:cs="Times New Roman"/>
                <w:color w:val="auto"/>
                <w:kern w:val="0"/>
                <w:sz w:val="24"/>
                <w:highlight w:val="none"/>
                <w:lang w:val="en-US" w:eastAsia="zh-CN"/>
              </w:rPr>
              <w:t>相关条例，需要向海洋倾倒废弃物的单位，应事先向主管部门提出申请，按规定的格式填报倾倒废弃物申请书，并附报废弃物特性和成分检验单。废弃物根据其毒性、有害物质含量和对海洋环境的影响等因素，分为三类：禁止倾倒的物质，需要获得特别许可证才能倾倒的物质，低毒或无毒的废弃物。</w:t>
            </w:r>
          </w:p>
          <w:p w14:paraId="263BA878">
            <w:pPr>
              <w:spacing w:line="360" w:lineRule="auto"/>
              <w:rPr>
                <w:rFonts w:hint="eastAsia"/>
                <w:b/>
                <w:bCs/>
                <w:color w:val="auto"/>
                <w:sz w:val="28"/>
                <w:szCs w:val="28"/>
                <w:highlight w:val="none"/>
                <w:lang w:eastAsia="zh-CN"/>
              </w:rPr>
            </w:pPr>
            <w:r>
              <w:rPr>
                <w:rFonts w:hint="eastAsia"/>
                <w:b/>
                <w:bCs/>
                <w:color w:val="auto"/>
                <w:sz w:val="28"/>
                <w:szCs w:val="28"/>
                <w:highlight w:val="none"/>
                <w:lang w:val="en-US" w:eastAsia="zh-CN"/>
              </w:rPr>
              <w:t>5.1.5</w:t>
            </w:r>
            <w:r>
              <w:rPr>
                <w:rFonts w:hint="eastAsia"/>
                <w:b/>
                <w:bCs/>
                <w:color w:val="auto"/>
                <w:sz w:val="28"/>
                <w:szCs w:val="28"/>
                <w:highlight w:val="none"/>
              </w:rPr>
              <w:t>生态环境</w:t>
            </w:r>
            <w:r>
              <w:rPr>
                <w:rFonts w:hint="eastAsia"/>
                <w:b/>
                <w:bCs/>
                <w:color w:val="auto"/>
                <w:sz w:val="28"/>
                <w:szCs w:val="28"/>
                <w:highlight w:val="none"/>
                <w:lang w:eastAsia="zh-CN"/>
              </w:rPr>
              <w:t>保护措施</w:t>
            </w:r>
          </w:p>
          <w:p w14:paraId="38BD2BEB">
            <w:pPr>
              <w:spacing w:line="360" w:lineRule="auto"/>
              <w:ind w:firstLine="480" w:firstLineChars="200"/>
              <w:jc w:val="left"/>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）加强宣传教育，增强员工对水生生态的保护意识，禁止捕捞濒危保护水生生物。若发现濒危保护水生生物，应及时联系当地海事及渔业管理部门，以便采取相应保护和救助措施。</w:t>
            </w:r>
          </w:p>
          <w:p w14:paraId="0D09041E">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）项目疏浚工程将对区域水生生态造成损失，环评要求项目业主应尽快落实本报告中提出的生态补偿措施要求，并对本次生态损失进行补偿。根据估算，生态补偿费计</w:t>
            </w:r>
            <w:r>
              <w:rPr>
                <w:rFonts w:hint="eastAsia" w:cs="Times New Roman"/>
                <w:color w:val="auto"/>
                <w:kern w:val="0"/>
                <w:sz w:val="24"/>
                <w:highlight w:val="none"/>
                <w:u w:val="single"/>
                <w:lang w:val="en-US" w:eastAsia="zh-CN"/>
              </w:rPr>
              <w:t>29.84</w:t>
            </w:r>
            <w:r>
              <w:rPr>
                <w:rFonts w:hint="eastAsia" w:ascii="Times New Roman" w:hAnsi="Times New Roman" w:eastAsia="宋体" w:cs="Times New Roman"/>
                <w:color w:val="auto"/>
                <w:kern w:val="0"/>
                <w:sz w:val="24"/>
                <w:highlight w:val="none"/>
                <w:u w:val="single"/>
                <w:lang w:val="en-US" w:eastAsia="zh-CN"/>
              </w:rPr>
              <w:t>万元</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u w:val="single"/>
                <w:lang w:val="en-US" w:eastAsia="zh-CN"/>
              </w:rPr>
              <w:t>具体的放流种类、放流地点，建设单位应咨询当地渔业主管部门后确定。建设单位应做好增殖放流效果的跟踪监测、调查和评估工作。</w:t>
            </w:r>
          </w:p>
          <w:p w14:paraId="7954B22C">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下一步建设单位应委托专业单位编制生态补偿实施方案，实施方案经充分论证后再实施。根据实施方案中的金额、要求，落实下一步的增殖放流等生态补偿措施。</w:t>
            </w:r>
          </w:p>
          <w:p w14:paraId="1113C25E">
            <w:pPr>
              <w:spacing w:line="36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5.1.6</w:t>
            </w:r>
            <w:r>
              <w:rPr>
                <w:rFonts w:hint="eastAsia" w:ascii="Times New Roman" w:hAnsi="Times New Roman" w:eastAsia="宋体" w:cs="Times New Roman"/>
                <w:b/>
                <w:bCs/>
                <w:color w:val="auto"/>
                <w:sz w:val="28"/>
                <w:szCs w:val="28"/>
                <w:highlight w:val="none"/>
                <w:lang w:eastAsia="zh-CN"/>
              </w:rPr>
              <w:t>环境风险事故风险防范措施</w:t>
            </w:r>
          </w:p>
          <w:p w14:paraId="62810E85">
            <w:pPr>
              <w:spacing w:line="360" w:lineRule="auto"/>
              <w:ind w:firstLine="562" w:firstLineChars="200"/>
              <w:jc w:val="left"/>
              <w:rPr>
                <w:rFonts w:hint="eastAsia"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5.1.6.1</w:t>
            </w:r>
            <w:r>
              <w:rPr>
                <w:rFonts w:hint="eastAsia" w:cs="Times New Roman"/>
                <w:b/>
                <w:bCs/>
                <w:color w:val="auto"/>
                <w:sz w:val="28"/>
                <w:szCs w:val="28"/>
                <w:highlight w:val="none"/>
                <w:lang w:val="en-US" w:eastAsia="zh-CN"/>
              </w:rPr>
              <w:t>风险应急物资</w:t>
            </w:r>
          </w:p>
          <w:p w14:paraId="2C44F28E">
            <w:pPr>
              <w:spacing w:line="360" w:lineRule="auto"/>
              <w:ind w:firstLine="480" w:firstLineChars="200"/>
              <w:jc w:val="left"/>
              <w:rPr>
                <w:rFonts w:hint="eastAsia" w:ascii="宋体" w:hAnsi="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本项目为</w:t>
            </w:r>
            <w:r>
              <w:rPr>
                <w:rFonts w:hint="default" w:ascii="宋体" w:hAnsi="宋体" w:eastAsia="宋体" w:cs="宋体"/>
                <w:b w:val="0"/>
                <w:bCs w:val="0"/>
                <w:color w:val="auto"/>
                <w:sz w:val="24"/>
                <w:szCs w:val="24"/>
                <w:highlight w:val="none"/>
                <w:u w:val="single"/>
                <w:lang w:val="en-US" w:eastAsia="zh-CN"/>
              </w:rPr>
              <w:t>孚宝（钦州）码头有限公司</w:t>
            </w:r>
            <w:r>
              <w:rPr>
                <w:rFonts w:hint="eastAsia" w:ascii="宋体" w:hAnsi="宋体" w:eastAsia="宋体" w:cs="宋体"/>
                <w:b w:val="0"/>
                <w:bCs w:val="0"/>
                <w:color w:val="auto"/>
                <w:sz w:val="24"/>
                <w:szCs w:val="24"/>
                <w:highlight w:val="none"/>
                <w:u w:val="single"/>
                <w:lang w:val="en-US" w:eastAsia="zh-CN"/>
              </w:rPr>
              <w:t>钦州港金谷港区金鼓江作业区16#、17#泊位码头回旋水域与金鼓江航道重叠部分维护性疏浚工程，</w:t>
            </w:r>
            <w:r>
              <w:rPr>
                <w:rFonts w:hint="default" w:ascii="宋体" w:hAnsi="宋体" w:eastAsia="宋体" w:cs="宋体"/>
                <w:b w:val="0"/>
                <w:bCs w:val="0"/>
                <w:color w:val="auto"/>
                <w:sz w:val="24"/>
                <w:szCs w:val="24"/>
                <w:highlight w:val="none"/>
                <w:u w:val="single"/>
                <w:lang w:val="en-US" w:eastAsia="zh-CN"/>
              </w:rPr>
              <w:t>孚宝（钦州）码头有限公司于2025年6月发布了突发环境事件应急预案，并已取得钦州市生态环境局备案（预案编号450702-2025-0073-H</w:t>
            </w:r>
            <w:r>
              <w:rPr>
                <w:rFonts w:hint="eastAsia" w:ascii="宋体" w:hAnsi="宋体" w:cs="宋体"/>
                <w:b w:val="0"/>
                <w:bCs w:val="0"/>
                <w:color w:val="auto"/>
                <w:sz w:val="24"/>
                <w:szCs w:val="24"/>
                <w:highlight w:val="none"/>
                <w:u w:val="single"/>
                <w:lang w:val="en-US" w:eastAsia="zh-CN"/>
              </w:rPr>
              <w:t>）。公司成立突发环境事件应急组织机构，现有工程配置了围油栏、收油机、溢油分散剂、消油剂喷洒装置、化学品回收机、有机合成吸附材料、活性炭、油拖网、溢油应急处置船等风险事故应急设施，各类应急设备堆存于码头陆域、门岗、综合楼。</w:t>
            </w:r>
          </w:p>
          <w:p w14:paraId="3B4407E7">
            <w:pPr>
              <w:spacing w:line="360" w:lineRule="auto"/>
              <w:ind w:firstLine="480" w:firstLineChars="200"/>
              <w:jc w:val="left"/>
              <w:rPr>
                <w:rFonts w:hint="eastAsia" w:ascii="宋体" w:hAnsi="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孚宝（钦州）码头有限公司金鼓江16号、17号泊位水上溢油应急救援物资根据《船舶污染海洋环境风险评估报告》的要求进行了配置，并且与钦州市桂通船舶服务有限公司（一级清污资质）签订《码头污染应急防备和应急处置服务协议》。按照协议要求，由桂通公司提供围油栏布放船、清污船、围油栏及相应的吸油材料、消油剂等，海上防污染工作全权委托桂通公司进行。桂通船舶服务有限公司配备溢油应急设备物资。</w:t>
            </w:r>
            <w:r>
              <w:rPr>
                <w:rFonts w:hint="eastAsia" w:ascii="宋体" w:hAnsi="宋体" w:cs="宋体"/>
                <w:b w:val="0"/>
                <w:bCs w:val="0"/>
                <w:color w:val="auto"/>
                <w:sz w:val="24"/>
                <w:szCs w:val="24"/>
                <w:highlight w:val="none"/>
                <w:u w:val="single"/>
                <w:lang w:val="en-US" w:eastAsia="zh-CN"/>
              </w:rPr>
              <w:t>现有环境风险防范措施及应急物资较完善。因此，现有工程采取的环境风险防范措施及配备应急物资，依托可行可靠，有效。</w:t>
            </w:r>
          </w:p>
          <w:p w14:paraId="08FC0D62">
            <w:pPr>
              <w:spacing w:line="360" w:lineRule="auto"/>
              <w:ind w:firstLine="562" w:firstLineChars="200"/>
              <w:jc w:val="left"/>
              <w:rPr>
                <w:rFonts w:hint="eastAsia"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5.1.6.2</w:t>
            </w:r>
            <w:r>
              <w:rPr>
                <w:rFonts w:hint="eastAsia" w:cs="Times New Roman"/>
                <w:b/>
                <w:bCs/>
                <w:color w:val="auto"/>
                <w:sz w:val="28"/>
                <w:szCs w:val="28"/>
                <w:highlight w:val="none"/>
                <w:lang w:val="en-US" w:eastAsia="zh-CN"/>
              </w:rPr>
              <w:t>自然灾害风险防范措施</w:t>
            </w:r>
          </w:p>
          <w:p w14:paraId="799BE287">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①施工单位应时常关注气象信息，当得知有风暴潮、台风等灾害性天气气 象时，要及时做好灾前各项准备工作，将灾害性天气带来的损失降至最低。</w:t>
            </w:r>
          </w:p>
          <w:p w14:paraId="5BADE8AA">
            <w:pPr>
              <w:spacing w:line="360" w:lineRule="auto"/>
              <w:ind w:firstLine="480" w:firstLineChars="200"/>
              <w:jc w:val="left"/>
              <w:rPr>
                <w:rFonts w:hint="default"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 xml:space="preserve"> ②施工单位应做好灾前检查，发现问题，及时纠正，做好防风；加强对灾 害性天气条件下项目周边交通安全监管，不超过安全适航抗风等级开航，避免 在恶劣天气和危及航行安全的情况下航行。</w:t>
            </w:r>
            <w:r>
              <w:rPr>
                <w:rFonts w:hint="default" w:ascii="Times New Roman" w:hAnsi="Times New Roman" w:eastAsia="宋体" w:cs="Times New Roman"/>
                <w:color w:val="auto"/>
                <w:kern w:val="0"/>
                <w:sz w:val="24"/>
                <w:highlight w:val="none"/>
                <w:u w:val="single"/>
                <w:lang w:val="en-US" w:eastAsia="zh-CN"/>
              </w:rPr>
              <w:t xml:space="preserve"> </w:t>
            </w:r>
          </w:p>
          <w:p w14:paraId="7C57B2C2">
            <w:pPr>
              <w:spacing w:line="360" w:lineRule="auto"/>
              <w:ind w:firstLine="480" w:firstLineChars="200"/>
              <w:jc w:val="left"/>
              <w:rPr>
                <w:rFonts w:hint="default"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③如有影响较大的台风过境，应尽快安排水下地形测量，如港池航道发生骤淤应尽快安排航道疏浚清淤。</w:t>
            </w:r>
          </w:p>
          <w:p w14:paraId="31D7789D">
            <w:pPr>
              <w:spacing w:line="360" w:lineRule="auto"/>
              <w:ind w:firstLine="562" w:firstLineChars="200"/>
              <w:jc w:val="left"/>
              <w:rPr>
                <w:rFonts w:hint="eastAsia"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5.1.6.3通航风险防范措施</w:t>
            </w:r>
          </w:p>
          <w:p w14:paraId="2D700EAF">
            <w:pPr>
              <w:spacing w:line="360" w:lineRule="auto"/>
              <w:ind w:firstLine="480" w:firstLineChars="200"/>
              <w:jc w:val="left"/>
              <w:rPr>
                <w:rFonts w:hint="eastAsia" w:cs="Times New Roman"/>
                <w:color w:val="auto"/>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由于项目施工区与金鼓江航道重叠，项目施工</w:t>
            </w:r>
            <w:r>
              <w:rPr>
                <w:rFonts w:hint="eastAsia" w:cs="Times New Roman"/>
                <w:color w:val="auto"/>
                <w:kern w:val="0"/>
                <w:sz w:val="24"/>
                <w:highlight w:val="none"/>
                <w:u w:val="single"/>
                <w:lang w:val="en-US" w:eastAsia="zh-CN"/>
              </w:rPr>
              <w:t>海域</w:t>
            </w:r>
            <w:r>
              <w:rPr>
                <w:rFonts w:hint="eastAsia" w:ascii="Times New Roman" w:hAnsi="Times New Roman" w:eastAsia="宋体" w:cs="Times New Roman"/>
                <w:color w:val="auto"/>
                <w:kern w:val="0"/>
                <w:sz w:val="24"/>
                <w:highlight w:val="none"/>
                <w:u w:val="single"/>
                <w:lang w:val="en-US" w:eastAsia="zh-CN"/>
              </w:rPr>
              <w:t>确权不属于孚宝（钦州）码头有限公司，施工前</w:t>
            </w:r>
            <w:r>
              <w:rPr>
                <w:rFonts w:hint="eastAsia" w:ascii="Times New Roman" w:hAnsi="Times New Roman" w:eastAsia="宋体" w:cs="Times New Roman"/>
                <w:color w:val="auto"/>
                <w:sz w:val="24"/>
                <w:highlight w:val="none"/>
                <w:u w:val="single"/>
                <w:lang w:val="en-US" w:eastAsia="zh-CN"/>
              </w:rPr>
              <w:t>建设单位应根据《</w:t>
            </w:r>
            <w:r>
              <w:rPr>
                <w:rFonts w:hint="eastAsia" w:cs="Times New Roman"/>
                <w:color w:val="auto"/>
                <w:sz w:val="24"/>
                <w:highlight w:val="none"/>
                <w:u w:val="single"/>
                <w:lang w:val="en-US" w:eastAsia="zh-CN"/>
              </w:rPr>
              <w:t>中华人民共和国</w:t>
            </w:r>
            <w:r>
              <w:rPr>
                <w:rFonts w:hint="eastAsia" w:ascii="Times New Roman" w:hAnsi="Times New Roman" w:eastAsia="宋体" w:cs="Times New Roman"/>
                <w:color w:val="auto"/>
                <w:sz w:val="24"/>
                <w:highlight w:val="none"/>
                <w:u w:val="single"/>
                <w:lang w:val="en-US" w:eastAsia="zh-CN"/>
              </w:rPr>
              <w:t>海域使用管理法》《临时海域使用暂行管理办法》等办理相关用海申请手续</w:t>
            </w:r>
            <w:r>
              <w:rPr>
                <w:rFonts w:hint="eastAsia" w:cs="Times New Roman"/>
                <w:color w:val="auto"/>
                <w:sz w:val="24"/>
                <w:highlight w:val="none"/>
                <w:u w:val="single"/>
                <w:lang w:val="en-US" w:eastAsia="zh-CN"/>
              </w:rPr>
              <w:t>。</w:t>
            </w:r>
          </w:p>
          <w:p w14:paraId="5607B452">
            <w:pPr>
              <w:spacing w:line="360" w:lineRule="auto"/>
              <w:ind w:firstLine="480" w:firstLineChars="200"/>
              <w:jc w:val="left"/>
              <w:rPr>
                <w:rFonts w:hint="eastAsia" w:cs="Times New Roman"/>
                <w:color w:val="auto"/>
                <w:sz w:val="24"/>
                <w:highlight w:val="none"/>
                <w:u w:val="single"/>
                <w:lang w:val="en-US" w:eastAsia="zh-CN"/>
              </w:rPr>
            </w:pPr>
            <w:r>
              <w:rPr>
                <w:rFonts w:hint="eastAsia" w:cs="Times New Roman"/>
                <w:color w:val="auto"/>
                <w:sz w:val="24"/>
                <w:highlight w:val="none"/>
                <w:u w:val="single"/>
                <w:lang w:val="en-US" w:eastAsia="zh-CN"/>
              </w:rPr>
              <w:t>施工作业船舶将增加所在海域的船舶流量，在采取相应的安全保障措施后对航道内过往船只的通航安全影响可控，主要措施如下：</w:t>
            </w:r>
          </w:p>
          <w:p w14:paraId="6ACAE91A">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①施工作业前应向当地海事局申请办理《水上水下施工作业许可证》，划定 施工水域，设立警示标，并向过往船只发出公告。除在施工安全作业区设置警 戒灯浮和警戒船守护外，还要求施工船舶按规定在明显易见处显示相应的信 号，尤其在锚链入水处显示灯光信号并用探照灯提示。另外，要求所有施工船 舶在专用频道 24 小时值守；</w:t>
            </w:r>
          </w:p>
          <w:p w14:paraId="06847FB9">
            <w:pPr>
              <w:spacing w:line="360" w:lineRule="auto"/>
              <w:ind w:firstLine="480" w:firstLineChars="200"/>
              <w:jc w:val="left"/>
              <w:rPr>
                <w:rFonts w:hint="default" w:ascii="Times New Roman" w:hAnsi="Times New Roman" w:eastAsia="宋体" w:cs="Times New Roman"/>
                <w:color w:val="auto"/>
                <w:kern w:val="0"/>
                <w:sz w:val="24"/>
                <w:highlight w:val="none"/>
                <w:u w:val="single"/>
                <w:lang w:val="en-US" w:eastAsia="zh-CN"/>
              </w:rPr>
            </w:pPr>
            <w:r>
              <w:rPr>
                <w:rFonts w:hint="default"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u w:val="single"/>
                <w:lang w:val="en-US" w:eastAsia="zh-CN"/>
              </w:rPr>
              <w:t>②参与施工的各种船舶（包括配合施工作业的交通船、运输船等）必须符 合安全要求，同时还必须持有各种有效证书，按规定配齐各类合格船员。船 机、通讯、消防、救生、防污等各类设备必须安全有效，并通过当地海事局的 安全检查；</w:t>
            </w:r>
            <w:r>
              <w:rPr>
                <w:rFonts w:hint="default" w:ascii="Times New Roman" w:hAnsi="Times New Roman" w:eastAsia="宋体" w:cs="Times New Roman"/>
                <w:color w:val="auto"/>
                <w:kern w:val="0"/>
                <w:sz w:val="24"/>
                <w:highlight w:val="none"/>
                <w:u w:val="single"/>
                <w:lang w:val="en-US" w:eastAsia="zh-CN"/>
              </w:rPr>
              <w:t xml:space="preserve"> </w:t>
            </w:r>
          </w:p>
          <w:p w14:paraId="6C5D84AC">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③施工船舶应严格按照施工组织设计和划定的施工作业区进行施工，每天 定时向项目部及局指挥部报告工程进展情况和安全情况，通报作业区施工船舶 分布及动态情况，禁止施工船舶随意调换作业区和随意穿越其他作业区；禁止 施工船舶将锚位抛出作业区；禁止施工船舶不按计划施工；</w:t>
            </w:r>
          </w:p>
          <w:p w14:paraId="31958F7D">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default"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u w:val="single"/>
                <w:lang w:val="en-US" w:eastAsia="zh-CN"/>
              </w:rPr>
              <w:t>④施工项目部调度室应随时与当地气象、水文站等部门保持联系，每日收 听气象预报，并做好记录，随时了解和掌握天气变化和水情动态，尤其是台风 和热带气旋出现时，以便及时采取应对措施；</w:t>
            </w:r>
          </w:p>
          <w:p w14:paraId="15B2B1C5">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⑤严格执行《水上水下施工作业通航安全管理规定》及水上航运安全管理 规定，谨慎操作，确保安全。水上施工应设专用救生船，并有专人值班，各施 工作业点应配备救生圈、救生衣等救生设备；</w:t>
            </w:r>
          </w:p>
          <w:p w14:paraId="040CCB56">
            <w:pPr>
              <w:spacing w:line="360" w:lineRule="auto"/>
              <w:ind w:firstLine="480" w:firstLineChars="200"/>
              <w:jc w:val="left"/>
              <w:rPr>
                <w:rFonts w:hint="default"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 xml:space="preserve"> ⑥施工船舶要与调度室昼夜</w:t>
            </w:r>
            <w:r>
              <w:rPr>
                <w:rFonts w:hint="eastAsia" w:cs="Times New Roman"/>
                <w:color w:val="auto"/>
                <w:kern w:val="0"/>
                <w:sz w:val="24"/>
                <w:highlight w:val="none"/>
                <w:u w:val="single"/>
                <w:lang w:val="en-US" w:eastAsia="zh-CN"/>
              </w:rPr>
              <w:t>保持通信畅通</w:t>
            </w:r>
            <w:r>
              <w:rPr>
                <w:rFonts w:hint="eastAsia" w:ascii="Times New Roman" w:hAnsi="Times New Roman" w:eastAsia="宋体" w:cs="Times New Roman"/>
                <w:color w:val="auto"/>
                <w:kern w:val="0"/>
                <w:sz w:val="24"/>
                <w:highlight w:val="none"/>
                <w:u w:val="single"/>
                <w:lang w:val="en-US" w:eastAsia="zh-CN"/>
              </w:rPr>
              <w:t xml:space="preserve">，并按规定显示有效的航行、停 泊和作业信号。在各施工作业点，夜间应按规定显示警戒灯标或采用灯光照 明，避免航行船舶碰撞水中桩墩。在显示灯光照明时应注意避免光直射水面， 影响船舶人员的瞭望。施工船舶应加强值班制度，保持 </w:t>
            </w:r>
            <w:r>
              <w:rPr>
                <w:rFonts w:hint="default" w:ascii="Times New Roman" w:hAnsi="Times New Roman" w:eastAsia="宋体" w:cs="Times New Roman"/>
                <w:color w:val="auto"/>
                <w:kern w:val="0"/>
                <w:sz w:val="24"/>
                <w:highlight w:val="none"/>
                <w:u w:val="single"/>
                <w:lang w:val="en-US" w:eastAsia="zh-CN"/>
              </w:rPr>
              <w:t xml:space="preserve">24 </w:t>
            </w:r>
            <w:r>
              <w:rPr>
                <w:rFonts w:hint="eastAsia" w:ascii="Times New Roman" w:hAnsi="Times New Roman" w:eastAsia="宋体" w:cs="Times New Roman"/>
                <w:color w:val="auto"/>
                <w:kern w:val="0"/>
                <w:sz w:val="24"/>
                <w:highlight w:val="none"/>
                <w:u w:val="single"/>
                <w:lang w:val="en-US" w:eastAsia="zh-CN"/>
              </w:rPr>
              <w:t xml:space="preserve">小时 </w:t>
            </w:r>
            <w:r>
              <w:rPr>
                <w:rFonts w:hint="default" w:ascii="Times New Roman" w:hAnsi="Times New Roman" w:eastAsia="宋体" w:cs="Times New Roman"/>
                <w:color w:val="auto"/>
                <w:kern w:val="0"/>
                <w:sz w:val="24"/>
                <w:highlight w:val="none"/>
                <w:u w:val="single"/>
                <w:lang w:val="en-US" w:eastAsia="zh-CN"/>
              </w:rPr>
              <w:t xml:space="preserve">VHF </w:t>
            </w:r>
            <w:r>
              <w:rPr>
                <w:rFonts w:hint="eastAsia" w:ascii="Times New Roman" w:hAnsi="Times New Roman" w:eastAsia="宋体" w:cs="Times New Roman"/>
                <w:color w:val="auto"/>
                <w:kern w:val="0"/>
                <w:sz w:val="24"/>
                <w:highlight w:val="none"/>
                <w:u w:val="single"/>
                <w:lang w:val="en-US" w:eastAsia="zh-CN"/>
              </w:rPr>
              <w:t>高频电话 收听和对周围情况的观察了解。船上应有夜间照明设备，设有发电设备的船 只，应备有防风灯和电池灯具；</w:t>
            </w:r>
            <w:r>
              <w:rPr>
                <w:rFonts w:hint="default" w:ascii="Times New Roman" w:hAnsi="Times New Roman" w:eastAsia="宋体" w:cs="Times New Roman"/>
                <w:color w:val="auto"/>
                <w:kern w:val="0"/>
                <w:sz w:val="24"/>
                <w:highlight w:val="none"/>
                <w:u w:val="single"/>
                <w:lang w:val="en-US" w:eastAsia="zh-CN"/>
              </w:rPr>
              <w:t xml:space="preserve"> </w:t>
            </w:r>
          </w:p>
          <w:p w14:paraId="28AA4E17">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⑦对未按推荐航道航行擅自进入安全作业区的船舶，应立即报告有关人员 及现场警戒船，进行及时纠正；</w:t>
            </w:r>
          </w:p>
          <w:p w14:paraId="6698783E">
            <w:pPr>
              <w:spacing w:line="360" w:lineRule="auto"/>
              <w:ind w:firstLine="480" w:firstLineChars="200"/>
              <w:jc w:val="left"/>
              <w:rPr>
                <w:rFonts w:hint="default" w:ascii="Times New Roman" w:hAnsi="Times New Roman" w:eastAsia="宋体" w:cs="Times New Roman"/>
                <w:color w:val="auto"/>
                <w:kern w:val="0"/>
                <w:sz w:val="24"/>
                <w:highlight w:val="none"/>
                <w:u w:val="single"/>
                <w:lang w:val="en-US" w:eastAsia="zh-CN"/>
              </w:rPr>
            </w:pPr>
            <w:r>
              <w:rPr>
                <w:rFonts w:hint="default" w:ascii="Times New Roman" w:hAnsi="Times New Roman" w:eastAsia="宋体" w:cs="Times New Roman"/>
                <w:color w:val="auto"/>
                <w:kern w:val="0"/>
                <w:sz w:val="24"/>
                <w:highlight w:val="none"/>
                <w:u w:val="single"/>
                <w:lang w:val="en-US" w:eastAsia="zh-CN"/>
              </w:rPr>
              <w:t xml:space="preserve"> </w:t>
            </w:r>
            <w:r>
              <w:rPr>
                <w:rFonts w:hint="eastAsia" w:ascii="Times New Roman" w:hAnsi="Times New Roman" w:eastAsia="宋体" w:cs="Times New Roman"/>
                <w:color w:val="auto"/>
                <w:kern w:val="0"/>
                <w:sz w:val="24"/>
                <w:highlight w:val="none"/>
                <w:u w:val="single"/>
                <w:lang w:val="en-US" w:eastAsia="zh-CN"/>
              </w:rPr>
              <w:t>⑧施工期间应结合施工船舶尺寸，合理安排施工时序，保障施工船舶顺利 进出施工区域。</w:t>
            </w:r>
          </w:p>
          <w:p w14:paraId="629200E7">
            <w:pPr>
              <w:spacing w:line="360" w:lineRule="auto"/>
              <w:ind w:firstLine="562" w:firstLineChars="200"/>
              <w:jc w:val="left"/>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5.1.6.</w:t>
            </w:r>
            <w:r>
              <w:rPr>
                <w:rFonts w:hint="eastAsia" w:cs="Times New Roman"/>
                <w:b/>
                <w:bCs/>
                <w:color w:val="auto"/>
                <w:sz w:val="28"/>
                <w:szCs w:val="28"/>
                <w:highlight w:val="none"/>
                <w:lang w:val="en-US" w:eastAsia="zh-CN"/>
              </w:rPr>
              <w:t>4</w:t>
            </w:r>
            <w:r>
              <w:rPr>
                <w:rFonts w:hint="eastAsia" w:ascii="Times New Roman" w:hAnsi="Times New Roman" w:eastAsia="宋体" w:cs="Times New Roman"/>
                <w:b/>
                <w:bCs/>
                <w:color w:val="auto"/>
                <w:sz w:val="28"/>
                <w:szCs w:val="28"/>
                <w:highlight w:val="none"/>
                <w:lang w:val="en-US" w:eastAsia="zh-CN"/>
              </w:rPr>
              <w:t>溢油风险管理</w:t>
            </w:r>
          </w:p>
          <w:p w14:paraId="58FB4F48">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项目</w:t>
            </w:r>
            <w:r>
              <w:rPr>
                <w:rFonts w:hint="eastAsia" w:ascii="Times New Roman" w:hAnsi="Times New Roman" w:eastAsia="宋体" w:cs="Times New Roman"/>
                <w:color w:val="auto"/>
                <w:kern w:val="0"/>
                <w:sz w:val="24"/>
                <w:highlight w:val="none"/>
                <w:lang w:val="en-US" w:eastAsia="zh-CN"/>
              </w:rPr>
              <w:t>施工产生的主要风险事故类型为船舶碰撞发生事故溢油。船舶溢油泄漏事故对海域的水质和鱼类的生存将产生不利影响。因此，需对溢油事故严加防范杜绝发生。一旦发生事故需尽快启动溢油应急预案。</w:t>
            </w:r>
          </w:p>
          <w:p w14:paraId="066B7314">
            <w:pPr>
              <w:numPr>
                <w:ilvl w:val="0"/>
                <w:numId w:val="23"/>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建立有效的污染事故防范体系。</w:t>
            </w:r>
          </w:p>
          <w:p w14:paraId="2E368E99">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建设单位根据实际情况，已建立了风险防控管理制度，建立了安全管理机构，采取了相应的安全管理措施、安全技术和监控措施。建立起一套严格的日常的检查制度，当班人员的自查，环保负责人的日查，各工段不定期地抽查。</w:t>
            </w:r>
          </w:p>
          <w:p w14:paraId="4C02EA52">
            <w:pPr>
              <w:numPr>
                <w:ilvl w:val="0"/>
                <w:numId w:val="23"/>
              </w:num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完善水域施工、船舶靠泊、导助航等防碰撞安全设施。</w:t>
            </w:r>
          </w:p>
          <w:p w14:paraId="32D26FFE">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①本工程回旋</w:t>
            </w:r>
            <w:r>
              <w:rPr>
                <w:rFonts w:hint="eastAsia" w:cs="Times New Roman"/>
                <w:color w:val="auto"/>
                <w:kern w:val="0"/>
                <w:sz w:val="24"/>
                <w:highlight w:val="none"/>
                <w:lang w:val="en-US" w:eastAsia="zh-CN"/>
              </w:rPr>
              <w:t>水域</w:t>
            </w:r>
            <w:r>
              <w:rPr>
                <w:rFonts w:hint="eastAsia" w:ascii="Times New Roman" w:hAnsi="Times New Roman" w:eastAsia="宋体" w:cs="Times New Roman"/>
                <w:color w:val="auto"/>
                <w:kern w:val="0"/>
                <w:sz w:val="24"/>
                <w:highlight w:val="none"/>
                <w:lang w:val="en-US" w:eastAsia="zh-CN"/>
              </w:rPr>
              <w:t>与金鼓江航道重叠，航道内及码头进港船只数量较多，船舶交通流复杂。当码头船舶在回旋水域进行靠离泊操作时，与这些交通流容易形成交叉相遇局面。码头经营单位必要时应提前配置足够马力的拖轮进行辅助，以确保安全，尽量选择白天、视线良好、流速缓时进行，并且派有警戒艇上下维护，防止过往船舶干扰的情况下，才能进行回旋靠离泊作业。</w:t>
            </w:r>
          </w:p>
          <w:p w14:paraId="4249C024">
            <w:p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②本工程船舶吨级整体较大，应加强区域导助航设施维护，码头经营单位应密切关注码头水域的冲淤变化，定期安排相应扫测工作，及时掌握通航水域水深情况，发现浅点时应及时实施维护性疏浚，确保港池水深满足到港口船舶航行安全需求。</w:t>
            </w:r>
          </w:p>
          <w:p w14:paraId="6E991201">
            <w:pPr>
              <w:numPr>
                <w:ilvl w:val="0"/>
                <w:numId w:val="23"/>
              </w:num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加强船舶航行管理与操船作业</w:t>
            </w:r>
          </w:p>
          <w:p w14:paraId="38A320BB">
            <w:p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接受海事部门船舶监管，建立进出港航道及该海域内的船舶交通管制系统，实施对船舶的全航程监控；加强导助航系统建设，配置覆盖锚地至码头作业区之间的导航设施；加强船舶航行的管理，可有效避免船舶碰撞、搁浅等。</w:t>
            </w:r>
          </w:p>
          <w:p w14:paraId="4BFB7749">
            <w:pPr>
              <w:numPr>
                <w:ilvl w:val="0"/>
                <w:numId w:val="23"/>
              </w:num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建立防污应急联动机制，在防污染应急预案编制和完善过程中应充分考虑与国家、区域和地方相关应急预案的衔接；进一步加强与钦州市等相关上级应急预案的联动机制；确保应急反应的及时性、有效性；切实做到应急体系的完整性，有序性，及时有效控制污染事故影响范围及程度。</w:t>
            </w:r>
          </w:p>
          <w:p w14:paraId="172173D3">
            <w:pPr>
              <w:numPr>
                <w:ilvl w:val="0"/>
                <w:numId w:val="23"/>
              </w:numPr>
              <w:spacing w:line="360" w:lineRule="auto"/>
              <w:ind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与周边码头建立沟通协调机制，加强船舶进出港信息通报和交通组织，防范因交通事故引发的污染事故。</w:t>
            </w:r>
          </w:p>
          <w:p w14:paraId="66318020">
            <w:pPr>
              <w:numPr>
                <w:ilvl w:val="0"/>
                <w:numId w:val="23"/>
              </w:numPr>
              <w:spacing w:line="360" w:lineRule="auto"/>
              <w:ind w:left="0" w:leftChars="0" w:firstLine="480" w:firstLineChars="200"/>
              <w:jc w:val="left"/>
              <w:rPr>
                <w:rFonts w:hint="eastAsia" w:ascii="Times New Roman" w:hAnsi="Times New Roman" w:eastAsia="宋体" w:cs="Times New Roman"/>
                <w:color w:val="auto"/>
                <w:kern w:val="0"/>
                <w:sz w:val="24"/>
                <w:highlight w:val="none"/>
                <w:u w:val="none"/>
                <w:lang w:val="en-US" w:eastAsia="zh-CN"/>
              </w:rPr>
            </w:pPr>
            <w:r>
              <w:rPr>
                <w:rFonts w:hint="eastAsia" w:ascii="Times New Roman" w:hAnsi="Times New Roman" w:eastAsia="宋体" w:cs="Times New Roman"/>
                <w:color w:val="auto"/>
                <w:kern w:val="0"/>
                <w:sz w:val="24"/>
                <w:highlight w:val="none"/>
                <w:u w:val="none"/>
                <w:lang w:val="en-US" w:eastAsia="zh-CN"/>
              </w:rPr>
              <w:t>建议管理部门长期存放一些防护性围油栏或吸油材料。一旦溢油在不利风向条件下向保护目标边缘或岸线漂移，立即动用就近应急物资，采取布放围油栏、吸油材料等防护措施，阻止污油登岸或进入保护目标范围内。</w:t>
            </w:r>
          </w:p>
          <w:p w14:paraId="1BC13CF5">
            <w:pPr>
              <w:spacing w:line="360" w:lineRule="auto"/>
              <w:ind w:firstLine="562" w:firstLineChars="200"/>
              <w:jc w:val="left"/>
              <w:rPr>
                <w:rFonts w:hint="eastAsia" w:ascii="Times New Roman" w:hAnsi="Times New Roman" w:eastAsia="宋体" w:cs="Times New Roman"/>
                <w:b/>
                <w:bCs/>
                <w:color w:val="auto"/>
                <w:sz w:val="28"/>
                <w:szCs w:val="28"/>
                <w:highlight w:val="none"/>
                <w:u w:val="none"/>
                <w:lang w:val="en-US" w:eastAsia="zh-CN"/>
              </w:rPr>
            </w:pPr>
            <w:r>
              <w:rPr>
                <w:rFonts w:hint="eastAsia" w:ascii="Times New Roman" w:hAnsi="Times New Roman" w:eastAsia="宋体" w:cs="Times New Roman"/>
                <w:b/>
                <w:bCs/>
                <w:color w:val="auto"/>
                <w:sz w:val="28"/>
                <w:szCs w:val="28"/>
                <w:highlight w:val="none"/>
                <w:u w:val="none"/>
                <w:lang w:val="en-US" w:eastAsia="zh-CN"/>
              </w:rPr>
              <w:t>5.1.6.</w:t>
            </w:r>
            <w:r>
              <w:rPr>
                <w:rFonts w:hint="eastAsia" w:cs="Times New Roman"/>
                <w:b/>
                <w:bCs/>
                <w:color w:val="auto"/>
                <w:sz w:val="28"/>
                <w:szCs w:val="28"/>
                <w:highlight w:val="none"/>
                <w:u w:val="none"/>
                <w:lang w:val="en-US" w:eastAsia="zh-CN"/>
              </w:rPr>
              <w:t>5</w:t>
            </w:r>
            <w:r>
              <w:rPr>
                <w:rFonts w:hint="eastAsia" w:ascii="Times New Roman" w:hAnsi="Times New Roman" w:eastAsia="宋体" w:cs="Times New Roman"/>
                <w:b/>
                <w:bCs/>
                <w:color w:val="auto"/>
                <w:sz w:val="28"/>
                <w:szCs w:val="28"/>
                <w:highlight w:val="none"/>
                <w:u w:val="none"/>
                <w:lang w:val="en-US" w:eastAsia="zh-CN"/>
              </w:rPr>
              <w:t>溢油事故的防范对策措施</w:t>
            </w:r>
          </w:p>
          <w:p w14:paraId="6CFE48EA">
            <w:pPr>
              <w:spacing w:line="360" w:lineRule="auto"/>
              <w:ind w:firstLine="480" w:firstLineChars="200"/>
              <w:jc w:val="left"/>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本项目为维护性疏浚工程，</w:t>
            </w:r>
            <w:r>
              <w:rPr>
                <w:rFonts w:hint="eastAsia" w:ascii="宋体" w:hAnsi="宋体" w:cs="宋体"/>
                <w:b w:val="0"/>
                <w:bCs w:val="0"/>
                <w:color w:val="auto"/>
                <w:sz w:val="24"/>
                <w:szCs w:val="24"/>
                <w:highlight w:val="none"/>
                <w:u w:val="none"/>
                <w:lang w:val="en-US" w:eastAsia="zh-CN"/>
              </w:rPr>
              <w:t>无新增建筑</w:t>
            </w:r>
            <w:r>
              <w:rPr>
                <w:rFonts w:hint="eastAsia" w:ascii="宋体" w:hAnsi="宋体" w:eastAsia="宋体" w:cs="宋体"/>
                <w:b w:val="0"/>
                <w:bCs w:val="0"/>
                <w:color w:val="auto"/>
                <w:sz w:val="24"/>
                <w:szCs w:val="24"/>
                <w:highlight w:val="none"/>
                <w:u w:val="none"/>
              </w:rPr>
              <w:t>的施工建设。</w:t>
            </w:r>
          </w:p>
          <w:p w14:paraId="0D2B489B">
            <w:pPr>
              <w:spacing w:line="360" w:lineRule="auto"/>
              <w:ind w:firstLine="480" w:firstLineChars="200"/>
              <w:jc w:val="left"/>
              <w:rPr>
                <w:rFonts w:hint="eastAsia" w:ascii="宋体" w:hAnsi="宋体" w:eastAsia="宋体" w:cs="宋体"/>
                <w:b w:val="0"/>
                <w:bCs w:val="0"/>
                <w:color w:val="auto"/>
                <w:sz w:val="24"/>
                <w:szCs w:val="24"/>
                <w:highlight w:val="none"/>
                <w:u w:val="none"/>
                <w:lang w:eastAsia="zh-CN"/>
              </w:rPr>
            </w:pPr>
            <w:r>
              <w:rPr>
                <w:rFonts w:hint="eastAsia" w:ascii="宋体" w:hAnsi="宋体" w:eastAsia="宋体" w:cs="宋体"/>
                <w:b w:val="0"/>
                <w:bCs w:val="0"/>
                <w:color w:val="auto"/>
                <w:sz w:val="24"/>
                <w:szCs w:val="24"/>
                <w:highlight w:val="none"/>
                <w:u w:val="none"/>
              </w:rPr>
              <w:t>船舶必须服从海上安全监督局领导的海上通讯联络、船舶导航、助航、引航、航道航标指示、海难救助、海事警报、气象、海况等港航监督管理。船只本身应严格实施安全管理，加强与海上安全监督部门和港方以及过往船舶的通讯联络，注意海况气象条件，以及航道附近礁石、浅滩等海事环境，制定应急计划，配备相应的船舶安全防护设施和溢油防治设施。</w:t>
            </w:r>
          </w:p>
          <w:p w14:paraId="5AFDFDE5">
            <w:pPr>
              <w:spacing w:line="360" w:lineRule="auto"/>
              <w:ind w:firstLine="480" w:firstLineChars="200"/>
              <w:jc w:val="left"/>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交管中心和海事部门等应合理安排施工期船舶靠、离港及船舶在航道行驶，避免发生船舶碰撞事故。</w:t>
            </w:r>
          </w:p>
          <w:p w14:paraId="592377B1">
            <w:pPr>
              <w:spacing w:line="360" w:lineRule="auto"/>
              <w:ind w:firstLine="480" w:firstLineChars="200"/>
              <w:jc w:val="left"/>
              <w:rPr>
                <w:rFonts w:hint="eastAsia" w:ascii="宋体" w:hAnsi="宋体" w:eastAsia="宋体" w:cs="宋体"/>
                <w:b w:val="0"/>
                <w:bCs w:val="0"/>
                <w:color w:val="auto"/>
                <w:sz w:val="24"/>
                <w:szCs w:val="24"/>
                <w:highlight w:val="none"/>
                <w:u w:val="none"/>
              </w:rPr>
            </w:pPr>
            <w:r>
              <w:rPr>
                <w:rFonts w:hint="eastAsia" w:ascii="宋体" w:hAnsi="宋体" w:eastAsia="宋体" w:cs="宋体"/>
                <w:b w:val="0"/>
                <w:bCs w:val="0"/>
                <w:color w:val="auto"/>
                <w:sz w:val="24"/>
                <w:szCs w:val="24"/>
                <w:highlight w:val="none"/>
                <w:u w:val="none"/>
              </w:rPr>
              <w:t>一旦发生事故，应立即用无线或</w:t>
            </w:r>
            <w:r>
              <w:rPr>
                <w:rFonts w:hint="eastAsia" w:ascii="宋体" w:hAnsi="宋体" w:cs="宋体"/>
                <w:b w:val="0"/>
                <w:bCs w:val="0"/>
                <w:color w:val="auto"/>
                <w:sz w:val="24"/>
                <w:szCs w:val="24"/>
                <w:highlight w:val="none"/>
                <w:u w:val="none"/>
                <w:lang w:eastAsia="zh-CN"/>
              </w:rPr>
              <w:t>有线电话</w:t>
            </w:r>
            <w:r>
              <w:rPr>
                <w:rFonts w:hint="eastAsia" w:ascii="宋体" w:hAnsi="宋体" w:eastAsia="宋体" w:cs="宋体"/>
                <w:b w:val="0"/>
                <w:bCs w:val="0"/>
                <w:color w:val="auto"/>
                <w:sz w:val="24"/>
                <w:szCs w:val="24"/>
                <w:highlight w:val="none"/>
                <w:u w:val="none"/>
              </w:rPr>
              <w:t>将溢油的时间、地点、溢油的类型、数量、原因、气象及水文情况及已采取的措施等情况报告溢油应急指挥小组，并同时报告有关公司调度。指挥小组组织实施溢油应急救助行动。溢油应急指挥小组接到事故报告后，要迅速采取营救措施，同时派专业人员赶赴现场，调查了解事故区域、污染范围，可能造成的危害程度等情况。责令事故方迅速采取可能做到的防范措施，如关闭阀门、堵漏、驳油等，</w:t>
            </w:r>
            <w:r>
              <w:rPr>
                <w:rFonts w:hint="eastAsia" w:ascii="宋体" w:hAnsi="宋体" w:cs="宋体"/>
                <w:b w:val="0"/>
                <w:bCs w:val="0"/>
                <w:color w:val="auto"/>
                <w:sz w:val="24"/>
                <w:szCs w:val="24"/>
                <w:highlight w:val="none"/>
                <w:u w:val="none"/>
                <w:lang w:eastAsia="zh-CN"/>
              </w:rPr>
              <w:t>防止</w:t>
            </w:r>
            <w:r>
              <w:rPr>
                <w:rFonts w:hint="eastAsia" w:ascii="宋体" w:hAnsi="宋体" w:eastAsia="宋体" w:cs="宋体"/>
                <w:b w:val="0"/>
                <w:bCs w:val="0"/>
                <w:color w:val="auto"/>
                <w:sz w:val="24"/>
                <w:szCs w:val="24"/>
                <w:highlight w:val="none"/>
                <w:u w:val="none"/>
              </w:rPr>
              <w:t>溢油源继续溢出；根据溢油源的类型、数量、地点、原因，评价溢油事故的规模确定反应方案；调度应急防治队伍和应急防治船舶、设备、器材以及必要的后勤支援；可能发生火情时，即通知有关方面</w:t>
            </w:r>
            <w:r>
              <w:rPr>
                <w:rFonts w:hint="eastAsia" w:ascii="宋体" w:hAnsi="宋体" w:cs="宋体"/>
                <w:b w:val="0"/>
                <w:bCs w:val="0"/>
                <w:color w:val="auto"/>
                <w:sz w:val="24"/>
                <w:szCs w:val="24"/>
                <w:highlight w:val="none"/>
                <w:u w:val="none"/>
                <w:lang w:eastAsia="zh-CN"/>
              </w:rPr>
              <w:t>启动</w:t>
            </w:r>
            <w:r>
              <w:rPr>
                <w:rFonts w:hint="eastAsia" w:ascii="宋体" w:hAnsi="宋体" w:eastAsia="宋体" w:cs="宋体"/>
                <w:b w:val="0"/>
                <w:bCs w:val="0"/>
                <w:color w:val="auto"/>
                <w:sz w:val="24"/>
                <w:szCs w:val="24"/>
                <w:highlight w:val="none"/>
                <w:u w:val="none"/>
              </w:rPr>
              <w:t>消防应急预案；派遣船舶对溢油源周围实施警戒，并监视溢油在水上的扩散；根据溢油区域的气象、风向、水流、潮流等情况，控制溢油扩散方向。</w:t>
            </w:r>
          </w:p>
          <w:p w14:paraId="5D3797A2">
            <w:pPr>
              <w:spacing w:line="360" w:lineRule="auto"/>
              <w:ind w:firstLine="480" w:firstLineChars="200"/>
              <w:jc w:val="left"/>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当发生环境风险事故超出企业/港区处置能力或可能扩大范围造成跨区域影响时，应立即向中国一马来西亚钦州产业园区行政审批局、钦州市生态环境局等管理部门报告，进一步启动《钦州市船舶污染应急反应预案》等上级预案。</w:t>
            </w:r>
          </w:p>
          <w:p w14:paraId="667D5667">
            <w:pPr>
              <w:spacing w:line="360" w:lineRule="auto"/>
              <w:ind w:firstLine="562" w:firstLineChars="200"/>
              <w:jc w:val="left"/>
              <w:rPr>
                <w:rFonts w:hint="eastAsia" w:ascii="Times New Roman" w:hAnsi="Times New Roman" w:eastAsia="宋体" w:cs="Times New Roman"/>
                <w:b/>
                <w:bCs/>
                <w:color w:val="auto"/>
                <w:sz w:val="28"/>
                <w:szCs w:val="28"/>
                <w:highlight w:val="none"/>
                <w:u w:val="single"/>
                <w:lang w:val="en-US" w:eastAsia="zh-CN"/>
              </w:rPr>
            </w:pPr>
            <w:r>
              <w:rPr>
                <w:rFonts w:hint="eastAsia" w:ascii="Times New Roman" w:hAnsi="Times New Roman" w:eastAsia="宋体" w:cs="Times New Roman"/>
                <w:b/>
                <w:bCs/>
                <w:color w:val="auto"/>
                <w:sz w:val="28"/>
                <w:szCs w:val="28"/>
                <w:highlight w:val="none"/>
                <w:u w:val="single"/>
                <w:lang w:val="en-US" w:eastAsia="zh-CN"/>
              </w:rPr>
              <w:t>5.1.6.</w:t>
            </w:r>
            <w:r>
              <w:rPr>
                <w:rFonts w:hint="eastAsia" w:cs="Times New Roman"/>
                <w:b/>
                <w:bCs/>
                <w:color w:val="auto"/>
                <w:sz w:val="28"/>
                <w:szCs w:val="28"/>
                <w:highlight w:val="none"/>
                <w:u w:val="single"/>
                <w:lang w:val="en-US" w:eastAsia="zh-CN"/>
              </w:rPr>
              <w:t>6</w:t>
            </w:r>
            <w:r>
              <w:rPr>
                <w:rFonts w:hint="eastAsia" w:ascii="Times New Roman" w:hAnsi="Times New Roman" w:eastAsia="宋体" w:cs="Times New Roman"/>
                <w:b/>
                <w:bCs/>
                <w:color w:val="auto"/>
                <w:sz w:val="28"/>
                <w:szCs w:val="28"/>
                <w:highlight w:val="none"/>
                <w:u w:val="single"/>
                <w:lang w:val="en-US" w:eastAsia="zh-CN"/>
              </w:rPr>
              <w:t>溢油处置措施</w:t>
            </w:r>
          </w:p>
          <w:p w14:paraId="7181A14A">
            <w:pPr>
              <w:numPr>
                <w:ilvl w:val="0"/>
                <w:numId w:val="24"/>
              </w:numPr>
              <w:spacing w:line="360" w:lineRule="auto"/>
              <w:ind w:firstLine="480" w:firstLineChars="200"/>
              <w:jc w:val="left"/>
              <w:rPr>
                <w:rFonts w:hint="eastAsia"/>
                <w:color w:val="auto"/>
                <w:sz w:val="24"/>
                <w:szCs w:val="24"/>
                <w:highlight w:val="none"/>
                <w:lang w:val="en-US" w:eastAsia="zh-CN"/>
              </w:rPr>
            </w:pPr>
            <w:r>
              <w:rPr>
                <w:rFonts w:hint="eastAsia"/>
                <w:color w:val="auto"/>
                <w:sz w:val="24"/>
                <w:szCs w:val="24"/>
                <w:highlight w:val="none"/>
                <w:lang w:val="en-US" w:eastAsia="zh-CN"/>
              </w:rPr>
              <w:t>针对环境敏感区的应急措施</w:t>
            </w:r>
          </w:p>
          <w:p w14:paraId="203BE07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eastAsia="宋体"/>
                <w:caps w:val="0"/>
                <w:smallCaps w:val="0"/>
                <w:color w:val="auto"/>
                <w:sz w:val="24"/>
                <w:szCs w:val="24"/>
                <w:highlight w:val="none"/>
                <w:u w:val="single" w:color="auto"/>
              </w:rPr>
            </w:pPr>
            <w:r>
              <w:rPr>
                <w:rFonts w:hint="eastAsia" w:ascii="Times New Roman" w:hAnsi="Times New Roman" w:eastAsia="宋体"/>
                <w:caps w:val="0"/>
                <w:smallCaps w:val="0"/>
                <w:color w:val="auto"/>
                <w:sz w:val="24"/>
                <w:szCs w:val="24"/>
                <w:highlight w:val="none"/>
                <w:u w:val="single" w:color="auto"/>
              </w:rPr>
              <w:t>一旦发生溢油风险事故</w:t>
            </w:r>
            <w:r>
              <w:rPr>
                <w:rFonts w:hint="eastAsia" w:ascii="Times New Roman" w:hAnsi="Times New Roman" w:eastAsia="宋体"/>
                <w:caps w:val="0"/>
                <w:smallCaps w:val="0"/>
                <w:color w:val="auto"/>
                <w:spacing w:val="-24"/>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应立即采取有效措施封堵泄漏口</w:t>
            </w:r>
            <w:r>
              <w:rPr>
                <w:rFonts w:hint="eastAsia" w:ascii="Times New Roman" w:hAnsi="Times New Roman" w:eastAsia="宋体"/>
                <w:caps w:val="0"/>
                <w:smallCaps w:val="0"/>
                <w:color w:val="auto"/>
                <w:spacing w:val="-24"/>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密切注意是否有发生火灾爆炸的危险</w:t>
            </w:r>
            <w:r>
              <w:rPr>
                <w:rFonts w:hint="eastAsia" w:ascii="Times New Roman" w:hAnsi="Times New Roman" w:eastAsia="宋体"/>
                <w:caps w:val="0"/>
                <w:smallCaps w:val="0"/>
                <w:color w:val="auto"/>
                <w:spacing w:val="-24"/>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事故现场及周边区域全部禁止明火</w:t>
            </w:r>
            <w:r>
              <w:rPr>
                <w:rFonts w:hint="eastAsia" w:ascii="Times New Roman" w:hAnsi="Times New Roman" w:eastAsia="宋体"/>
                <w:caps w:val="0"/>
                <w:smallCaps w:val="0"/>
                <w:color w:val="auto"/>
                <w:spacing w:val="-24"/>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注意消除其</w:t>
            </w:r>
            <w:r>
              <w:rPr>
                <w:rFonts w:hint="eastAsia" w:ascii="Times New Roman" w:hAnsi="Times New Roman" w:eastAsia="宋体"/>
                <w:caps w:val="0"/>
                <w:smallCaps w:val="0"/>
                <w:color w:val="auto"/>
                <w:sz w:val="24"/>
                <w:szCs w:val="24"/>
                <w:highlight w:val="none"/>
                <w:u w:val="single" w:color="auto"/>
                <w:lang w:eastAsia="zh-CN"/>
              </w:rPr>
              <w:t>他可</w:t>
            </w:r>
            <w:r>
              <w:rPr>
                <w:rFonts w:hint="eastAsia" w:ascii="Times New Roman" w:hAnsi="Times New Roman" w:eastAsia="宋体"/>
                <w:caps w:val="0"/>
                <w:smallCaps w:val="0"/>
                <w:color w:val="auto"/>
                <w:sz w:val="24"/>
                <w:szCs w:val="24"/>
                <w:highlight w:val="none"/>
                <w:u w:val="single" w:color="auto"/>
              </w:rPr>
              <w:t>能诱发火灾爆炸的因素</w:t>
            </w:r>
            <w:r>
              <w:rPr>
                <w:rFonts w:hint="eastAsia" w:ascii="Times New Roman" w:hAnsi="Times New Roman" w:eastAsia="宋体"/>
                <w:caps w:val="0"/>
                <w:smallCaps w:val="0"/>
                <w:color w:val="auto"/>
                <w:spacing w:val="-12"/>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隔离和疏散可能受伤的人员</w:t>
            </w:r>
            <w:r>
              <w:rPr>
                <w:rFonts w:hint="eastAsia" w:ascii="Times New Roman" w:hAnsi="Times New Roman" w:eastAsia="宋体"/>
                <w:caps w:val="0"/>
                <w:smallCaps w:val="0"/>
                <w:color w:val="auto"/>
                <w:spacing w:val="-12"/>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核实遇险人数</w:t>
            </w:r>
            <w:r>
              <w:rPr>
                <w:rFonts w:hint="eastAsia" w:ascii="Times New Roman" w:hAnsi="Times New Roman" w:eastAsia="宋体"/>
                <w:caps w:val="0"/>
                <w:smallCaps w:val="0"/>
                <w:color w:val="auto"/>
                <w:spacing w:val="-12"/>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遇险水域的气象海况</w:t>
            </w:r>
            <w:r>
              <w:rPr>
                <w:rFonts w:hint="eastAsia" w:ascii="Times New Roman" w:hAnsi="Times New Roman" w:eastAsia="宋体"/>
                <w:caps w:val="0"/>
                <w:smallCaps w:val="0"/>
                <w:color w:val="auto"/>
                <w:spacing w:val="-12"/>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水温及救助要求等情况；组织救助遇险人员，对受伤人员进行救护。</w:t>
            </w:r>
          </w:p>
          <w:p w14:paraId="0551D31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eastAsia="宋体"/>
                <w:caps w:val="0"/>
                <w:smallCaps w:val="0"/>
                <w:color w:val="auto"/>
                <w:sz w:val="24"/>
                <w:szCs w:val="24"/>
                <w:highlight w:val="none"/>
                <w:u w:val="single" w:color="auto"/>
              </w:rPr>
            </w:pPr>
            <w:r>
              <w:rPr>
                <w:rFonts w:hint="eastAsia" w:ascii="Times New Roman" w:hAnsi="Times New Roman" w:eastAsia="宋体"/>
                <w:caps w:val="0"/>
                <w:smallCaps w:val="0"/>
                <w:color w:val="auto"/>
                <w:sz w:val="24"/>
                <w:szCs w:val="24"/>
                <w:highlight w:val="none"/>
                <w:u w:val="single" w:color="auto"/>
              </w:rPr>
              <w:t>根据可能受到威胁的环境敏感区的优先保护次序</w:t>
            </w:r>
            <w:r>
              <w:rPr>
                <w:rFonts w:hint="eastAsia" w:ascii="Times New Roman" w:hAnsi="Times New Roman" w:eastAsia="宋体"/>
                <w:caps w:val="0"/>
                <w:smallCaps w:val="0"/>
                <w:color w:val="auto"/>
                <w:spacing w:val="-48"/>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根据不同环境敏感资源的保护内容及特性制定有针对性的溢油应急措施。</w:t>
            </w:r>
          </w:p>
          <w:p w14:paraId="4021709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eastAsia="宋体"/>
                <w:caps w:val="0"/>
                <w:smallCaps w:val="0"/>
                <w:color w:val="auto"/>
                <w:sz w:val="24"/>
                <w:szCs w:val="24"/>
                <w:highlight w:val="none"/>
                <w:u w:val="single" w:color="auto"/>
              </w:rPr>
            </w:pPr>
            <w:r>
              <w:rPr>
                <w:rFonts w:hint="eastAsia" w:ascii="Times New Roman" w:hAnsi="Times New Roman" w:eastAsia="宋体"/>
                <w:caps w:val="0"/>
                <w:smallCaps w:val="0"/>
                <w:color w:val="auto"/>
                <w:sz w:val="24"/>
                <w:szCs w:val="24"/>
                <w:highlight w:val="none"/>
                <w:u w:val="single" w:color="auto"/>
              </w:rPr>
              <w:t>溢油事故发生后</w:t>
            </w:r>
            <w:r>
              <w:rPr>
                <w:rFonts w:hint="eastAsia" w:ascii="Times New Roman" w:hAnsi="Times New Roman" w:eastAsia="宋体"/>
                <w:caps w:val="0"/>
                <w:smallCaps w:val="0"/>
                <w:color w:val="auto"/>
                <w:spacing w:val="-17"/>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根据溢油漂移轨迹</w:t>
            </w:r>
            <w:r>
              <w:rPr>
                <w:rFonts w:hint="eastAsia" w:ascii="Times New Roman" w:hAnsi="Times New Roman" w:eastAsia="宋体"/>
                <w:caps w:val="0"/>
                <w:smallCaps w:val="0"/>
                <w:color w:val="auto"/>
                <w:spacing w:val="-17"/>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在可能受影响的保护区附近</w:t>
            </w:r>
            <w:r>
              <w:rPr>
                <w:rFonts w:hint="eastAsia" w:ascii="Times New Roman" w:hAnsi="Times New Roman" w:eastAsia="宋体"/>
                <w:caps w:val="0"/>
                <w:smallCaps w:val="0"/>
                <w:color w:val="auto"/>
                <w:spacing w:val="-17"/>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沿保护区边界</w:t>
            </w:r>
            <w:r>
              <w:rPr>
                <w:rFonts w:hint="eastAsia" w:ascii="Times New Roman" w:hAnsi="Times New Roman" w:eastAsia="宋体"/>
                <w:caps w:val="0"/>
                <w:smallCaps w:val="0"/>
                <w:color w:val="auto"/>
                <w:position w:val="-3"/>
                <w:sz w:val="24"/>
                <w:szCs w:val="24"/>
                <w:highlight w:val="none"/>
                <w:u w:val="single" w:color="auto"/>
              </w:rPr>
              <w:t>线布放一般用途围油栏</w:t>
            </w:r>
            <w:r>
              <w:rPr>
                <w:rFonts w:hint="eastAsia" w:ascii="Times New Roman" w:hAnsi="Times New Roman" w:eastAsia="宋体"/>
                <w:caps w:val="0"/>
                <w:smallCaps w:val="0"/>
                <w:color w:val="auto"/>
                <w:spacing w:val="-17"/>
                <w:position w:val="-3"/>
                <w:sz w:val="24"/>
                <w:szCs w:val="24"/>
                <w:highlight w:val="none"/>
                <w:u w:val="single" w:color="auto"/>
              </w:rPr>
              <w:t>，</w:t>
            </w:r>
            <w:r>
              <w:rPr>
                <w:rFonts w:hint="eastAsia" w:ascii="Times New Roman" w:hAnsi="Times New Roman" w:eastAsia="宋体"/>
                <w:caps w:val="0"/>
                <w:smallCaps w:val="0"/>
                <w:color w:val="auto"/>
                <w:position w:val="-3"/>
                <w:sz w:val="24"/>
                <w:szCs w:val="24"/>
                <w:highlight w:val="none"/>
                <w:u w:val="single" w:color="auto"/>
              </w:rPr>
              <w:t>尽量避免或延缓油膜向保护区扩散</w:t>
            </w:r>
            <w:r>
              <w:rPr>
                <w:rFonts w:hint="eastAsia" w:ascii="Times New Roman" w:hAnsi="Times New Roman" w:eastAsia="宋体"/>
                <w:caps w:val="0"/>
                <w:smallCaps w:val="0"/>
                <w:color w:val="auto"/>
                <w:spacing w:val="-17"/>
                <w:position w:val="-3"/>
                <w:sz w:val="24"/>
                <w:szCs w:val="24"/>
                <w:highlight w:val="none"/>
                <w:u w:val="single" w:color="auto"/>
              </w:rPr>
              <w:t>，</w:t>
            </w:r>
            <w:r>
              <w:rPr>
                <w:rFonts w:hint="eastAsia" w:ascii="Times New Roman" w:hAnsi="Times New Roman" w:eastAsia="宋体"/>
                <w:caps w:val="0"/>
                <w:smallCaps w:val="0"/>
                <w:color w:val="auto"/>
                <w:spacing w:val="1"/>
                <w:position w:val="-3"/>
                <w:sz w:val="24"/>
                <w:szCs w:val="24"/>
                <w:highlight w:val="none"/>
                <w:u w:val="single" w:color="auto"/>
              </w:rPr>
              <w:t>同</w:t>
            </w:r>
            <w:r>
              <w:rPr>
                <w:rFonts w:hint="eastAsia" w:ascii="Times New Roman" w:hAnsi="Times New Roman" w:eastAsia="宋体"/>
                <w:caps w:val="0"/>
                <w:smallCaps w:val="0"/>
                <w:color w:val="auto"/>
                <w:position w:val="-3"/>
                <w:sz w:val="24"/>
                <w:szCs w:val="24"/>
                <w:highlight w:val="none"/>
                <w:u w:val="single" w:color="auto"/>
              </w:rPr>
              <w:t>时用浮油回收船</w:t>
            </w:r>
            <w:r>
              <w:rPr>
                <w:rFonts w:hint="eastAsia" w:ascii="Times New Roman" w:hAnsi="Times New Roman" w:eastAsia="宋体"/>
                <w:caps w:val="0"/>
                <w:smallCaps w:val="0"/>
                <w:color w:val="auto"/>
                <w:spacing w:val="-17"/>
                <w:position w:val="-3"/>
                <w:sz w:val="24"/>
                <w:szCs w:val="24"/>
                <w:highlight w:val="none"/>
                <w:u w:val="single" w:color="auto"/>
              </w:rPr>
              <w:t>、</w:t>
            </w:r>
            <w:r>
              <w:rPr>
                <w:rFonts w:hint="eastAsia" w:ascii="Times New Roman" w:hAnsi="Times New Roman" w:eastAsia="宋体"/>
                <w:caps w:val="0"/>
                <w:smallCaps w:val="0"/>
                <w:color w:val="auto"/>
                <w:position w:val="-3"/>
                <w:sz w:val="24"/>
                <w:szCs w:val="24"/>
                <w:highlight w:val="none"/>
                <w:u w:val="single" w:color="auto"/>
              </w:rPr>
              <w:t>围油</w:t>
            </w:r>
            <w:r>
              <w:rPr>
                <w:rFonts w:hint="eastAsia" w:ascii="Times New Roman" w:hAnsi="Times New Roman" w:eastAsia="宋体"/>
                <w:caps w:val="0"/>
                <w:smallCaps w:val="0"/>
                <w:color w:val="auto"/>
                <w:spacing w:val="2"/>
                <w:sz w:val="24"/>
                <w:szCs w:val="24"/>
                <w:highlight w:val="none"/>
                <w:u w:val="single" w:color="auto"/>
              </w:rPr>
              <w:t>栏布</w:t>
            </w:r>
            <w:r>
              <w:rPr>
                <w:rFonts w:hint="eastAsia" w:ascii="Times New Roman" w:hAnsi="Times New Roman" w:eastAsia="宋体"/>
                <w:caps w:val="0"/>
                <w:smallCaps w:val="0"/>
                <w:color w:val="auto"/>
                <w:sz w:val="24"/>
                <w:szCs w:val="24"/>
                <w:highlight w:val="none"/>
                <w:u w:val="single" w:color="auto"/>
              </w:rPr>
              <w:t>放</w:t>
            </w:r>
            <w:r>
              <w:rPr>
                <w:rFonts w:hint="eastAsia" w:ascii="Times New Roman" w:hAnsi="Times New Roman" w:eastAsia="宋体"/>
                <w:caps w:val="0"/>
                <w:smallCaps w:val="0"/>
                <w:color w:val="auto"/>
                <w:spacing w:val="2"/>
                <w:sz w:val="24"/>
                <w:szCs w:val="24"/>
                <w:highlight w:val="none"/>
                <w:u w:val="single" w:color="auto"/>
              </w:rPr>
              <w:t>艇</w:t>
            </w:r>
            <w:r>
              <w:rPr>
                <w:rFonts w:hint="eastAsia" w:ascii="Times New Roman" w:hAnsi="Times New Roman" w:eastAsia="宋体"/>
                <w:caps w:val="0"/>
                <w:smallCaps w:val="0"/>
                <w:color w:val="auto"/>
                <w:sz w:val="24"/>
                <w:szCs w:val="24"/>
                <w:highlight w:val="none"/>
                <w:u w:val="single" w:color="auto"/>
              </w:rPr>
              <w:t>拖</w:t>
            </w:r>
            <w:r>
              <w:rPr>
                <w:rFonts w:hint="eastAsia" w:ascii="Times New Roman" w:hAnsi="Times New Roman" w:eastAsia="宋体"/>
                <w:caps w:val="0"/>
                <w:smallCaps w:val="0"/>
                <w:color w:val="auto"/>
                <w:spacing w:val="2"/>
                <w:sz w:val="24"/>
                <w:szCs w:val="24"/>
                <w:highlight w:val="none"/>
                <w:u w:val="single" w:color="auto"/>
              </w:rPr>
              <w:t>带</w:t>
            </w:r>
            <w:r>
              <w:rPr>
                <w:rFonts w:hint="eastAsia" w:ascii="Times New Roman" w:hAnsi="Times New Roman" w:eastAsia="宋体"/>
                <w:caps w:val="0"/>
                <w:smallCaps w:val="0"/>
                <w:color w:val="auto"/>
                <w:sz w:val="24"/>
                <w:szCs w:val="24"/>
                <w:highlight w:val="none"/>
                <w:u w:val="single" w:color="auto"/>
              </w:rPr>
              <w:t>导</w:t>
            </w:r>
            <w:r>
              <w:rPr>
                <w:rFonts w:hint="eastAsia" w:ascii="Times New Roman" w:hAnsi="Times New Roman" w:eastAsia="宋体"/>
                <w:caps w:val="0"/>
                <w:smallCaps w:val="0"/>
                <w:color w:val="auto"/>
                <w:spacing w:val="2"/>
                <w:sz w:val="24"/>
                <w:szCs w:val="24"/>
                <w:highlight w:val="none"/>
                <w:u w:val="single" w:color="auto"/>
              </w:rPr>
              <w:t>流</w:t>
            </w:r>
            <w:r>
              <w:rPr>
                <w:rFonts w:hint="eastAsia" w:ascii="Times New Roman" w:hAnsi="Times New Roman" w:eastAsia="宋体"/>
                <w:caps w:val="0"/>
                <w:smallCaps w:val="0"/>
                <w:color w:val="auto"/>
                <w:sz w:val="24"/>
                <w:szCs w:val="24"/>
                <w:highlight w:val="none"/>
                <w:u w:val="single" w:color="auto"/>
              </w:rPr>
              <w:t>型围</w:t>
            </w:r>
            <w:r>
              <w:rPr>
                <w:rFonts w:hint="eastAsia" w:ascii="Times New Roman" w:hAnsi="Times New Roman" w:eastAsia="宋体"/>
                <w:caps w:val="0"/>
                <w:smallCaps w:val="0"/>
                <w:color w:val="auto"/>
                <w:spacing w:val="2"/>
                <w:sz w:val="24"/>
                <w:szCs w:val="24"/>
                <w:highlight w:val="none"/>
                <w:u w:val="single" w:color="auto"/>
              </w:rPr>
              <w:t>油栏</w:t>
            </w:r>
            <w:r>
              <w:rPr>
                <w:rFonts w:hint="eastAsia" w:ascii="Times New Roman" w:hAnsi="Times New Roman" w:eastAsia="宋体"/>
                <w:caps w:val="0"/>
                <w:smallCaps w:val="0"/>
                <w:color w:val="auto"/>
                <w:sz w:val="24"/>
                <w:szCs w:val="24"/>
                <w:highlight w:val="none"/>
                <w:u w:val="single" w:color="auto"/>
              </w:rPr>
              <w:t>组</w:t>
            </w:r>
            <w:r>
              <w:rPr>
                <w:rFonts w:hint="eastAsia" w:ascii="Times New Roman" w:hAnsi="Times New Roman" w:eastAsia="宋体"/>
                <w:caps w:val="0"/>
                <w:smallCaps w:val="0"/>
                <w:color w:val="auto"/>
                <w:spacing w:val="5"/>
                <w:sz w:val="24"/>
                <w:szCs w:val="24"/>
                <w:highlight w:val="none"/>
                <w:u w:val="single" w:color="auto"/>
              </w:rPr>
              <w:t>成</w:t>
            </w:r>
            <w:r>
              <w:rPr>
                <w:rFonts w:ascii="Times New Roman" w:hAnsi="Times New Roman" w:eastAsia="宋体"/>
                <w:caps w:val="0"/>
                <w:smallCaps w:val="0"/>
                <w:color w:val="auto"/>
                <w:spacing w:val="-1"/>
                <w:sz w:val="24"/>
                <w:szCs w:val="24"/>
                <w:highlight w:val="none"/>
                <w:u w:val="single" w:color="auto"/>
              </w:rPr>
              <w:t>“</w:t>
            </w:r>
            <w:r>
              <w:rPr>
                <w:rFonts w:ascii="Times New Roman" w:hAnsi="Times New Roman" w:eastAsia="宋体"/>
                <w:caps w:val="0"/>
                <w:smallCaps w:val="0"/>
                <w:color w:val="auto"/>
                <w:sz w:val="24"/>
                <w:szCs w:val="24"/>
                <w:highlight w:val="none"/>
                <w:u w:val="single" w:color="auto"/>
              </w:rPr>
              <w:t>V</w:t>
            </w:r>
            <w:r>
              <w:rPr>
                <w:rFonts w:ascii="Times New Roman" w:hAnsi="Times New Roman" w:eastAsia="宋体"/>
                <w:caps w:val="0"/>
                <w:smallCaps w:val="0"/>
                <w:color w:val="auto"/>
                <w:spacing w:val="1"/>
                <w:sz w:val="24"/>
                <w:szCs w:val="24"/>
                <w:highlight w:val="none"/>
                <w:u w:val="single" w:color="auto"/>
              </w:rPr>
              <w:t>”</w:t>
            </w:r>
            <w:r>
              <w:rPr>
                <w:rFonts w:hint="eastAsia" w:ascii="Times New Roman" w:hAnsi="Times New Roman" w:eastAsia="宋体"/>
                <w:caps w:val="0"/>
                <w:smallCaps w:val="0"/>
                <w:color w:val="auto"/>
                <w:spacing w:val="2"/>
                <w:sz w:val="24"/>
                <w:szCs w:val="24"/>
                <w:highlight w:val="none"/>
                <w:u w:val="single" w:color="auto"/>
              </w:rPr>
              <w:t>字</w:t>
            </w:r>
            <w:r>
              <w:rPr>
                <w:rFonts w:hint="eastAsia" w:ascii="Times New Roman" w:hAnsi="Times New Roman" w:eastAsia="宋体"/>
                <w:caps w:val="0"/>
                <w:smallCaps w:val="0"/>
                <w:color w:val="auto"/>
                <w:sz w:val="24"/>
                <w:szCs w:val="24"/>
                <w:highlight w:val="none"/>
                <w:u w:val="single" w:color="auto"/>
              </w:rPr>
              <w:t>型</w:t>
            </w:r>
            <w:r>
              <w:rPr>
                <w:rFonts w:hint="eastAsia" w:ascii="Times New Roman" w:hAnsi="Times New Roman" w:eastAsia="宋体"/>
                <w:caps w:val="0"/>
                <w:smallCaps w:val="0"/>
                <w:color w:val="auto"/>
                <w:spacing w:val="2"/>
                <w:sz w:val="24"/>
                <w:szCs w:val="24"/>
                <w:highlight w:val="none"/>
                <w:u w:val="single" w:color="auto"/>
              </w:rPr>
              <w:t>高</w:t>
            </w:r>
            <w:r>
              <w:rPr>
                <w:rFonts w:hint="eastAsia" w:ascii="Times New Roman" w:hAnsi="Times New Roman" w:eastAsia="宋体"/>
                <w:caps w:val="0"/>
                <w:smallCaps w:val="0"/>
                <w:color w:val="auto"/>
                <w:sz w:val="24"/>
                <w:szCs w:val="24"/>
                <w:highlight w:val="none"/>
                <w:u w:val="single" w:color="auto"/>
              </w:rPr>
              <w:t>效</w:t>
            </w:r>
            <w:r>
              <w:rPr>
                <w:rFonts w:hint="eastAsia" w:ascii="Times New Roman" w:hAnsi="Times New Roman" w:eastAsia="宋体"/>
                <w:caps w:val="0"/>
                <w:smallCaps w:val="0"/>
                <w:color w:val="auto"/>
                <w:spacing w:val="2"/>
                <w:sz w:val="24"/>
                <w:szCs w:val="24"/>
                <w:highlight w:val="none"/>
                <w:u w:val="single" w:color="auto"/>
              </w:rPr>
              <w:t>应急</w:t>
            </w:r>
            <w:r>
              <w:rPr>
                <w:rFonts w:hint="eastAsia" w:ascii="Times New Roman" w:hAnsi="Times New Roman" w:eastAsia="宋体"/>
                <w:caps w:val="0"/>
                <w:smallCaps w:val="0"/>
                <w:color w:val="auto"/>
                <w:sz w:val="24"/>
                <w:szCs w:val="24"/>
                <w:highlight w:val="none"/>
                <w:u w:val="single" w:color="auto"/>
              </w:rPr>
              <w:t>组</w:t>
            </w:r>
            <w:r>
              <w:rPr>
                <w:rFonts w:hint="eastAsia" w:ascii="Times New Roman" w:hAnsi="Times New Roman" w:eastAsia="宋体"/>
                <w:caps w:val="0"/>
                <w:smallCaps w:val="0"/>
                <w:color w:val="auto"/>
                <w:spacing w:val="2"/>
                <w:sz w:val="24"/>
                <w:szCs w:val="24"/>
                <w:highlight w:val="none"/>
                <w:u w:val="single" w:color="auto"/>
              </w:rPr>
              <w:t>合</w:t>
            </w:r>
            <w:r>
              <w:rPr>
                <w:rFonts w:hint="eastAsia" w:ascii="Times New Roman" w:hAnsi="Times New Roman" w:eastAsia="宋体"/>
                <w:caps w:val="0"/>
                <w:smallCaps w:val="0"/>
                <w:color w:val="auto"/>
                <w:sz w:val="24"/>
                <w:szCs w:val="24"/>
                <w:highlight w:val="none"/>
                <w:u w:val="single" w:color="auto"/>
              </w:rPr>
              <w:t>，</w:t>
            </w:r>
            <w:r>
              <w:rPr>
                <w:rFonts w:hint="eastAsia" w:ascii="Times New Roman" w:hAnsi="Times New Roman" w:eastAsia="宋体"/>
                <w:caps w:val="0"/>
                <w:smallCaps w:val="0"/>
                <w:color w:val="auto"/>
                <w:spacing w:val="2"/>
                <w:sz w:val="24"/>
                <w:szCs w:val="24"/>
                <w:highlight w:val="none"/>
                <w:u w:val="single" w:color="auto"/>
              </w:rPr>
              <w:t>在</w:t>
            </w:r>
            <w:r>
              <w:rPr>
                <w:rFonts w:hint="eastAsia" w:ascii="Times New Roman" w:hAnsi="Times New Roman" w:eastAsia="宋体"/>
                <w:caps w:val="0"/>
                <w:smallCaps w:val="0"/>
                <w:color w:val="auto"/>
                <w:sz w:val="24"/>
                <w:szCs w:val="24"/>
                <w:highlight w:val="none"/>
                <w:u w:val="single" w:color="auto"/>
              </w:rPr>
              <w:t>溢</w:t>
            </w:r>
            <w:r>
              <w:rPr>
                <w:rFonts w:hint="eastAsia" w:ascii="Times New Roman" w:hAnsi="Times New Roman" w:eastAsia="宋体"/>
                <w:caps w:val="0"/>
                <w:smallCaps w:val="0"/>
                <w:color w:val="auto"/>
                <w:spacing w:val="2"/>
                <w:sz w:val="24"/>
                <w:szCs w:val="24"/>
                <w:highlight w:val="none"/>
                <w:u w:val="single" w:color="auto"/>
              </w:rPr>
              <w:t>油</w:t>
            </w:r>
            <w:r>
              <w:rPr>
                <w:rFonts w:hint="eastAsia" w:ascii="Times New Roman" w:hAnsi="Times New Roman" w:eastAsia="宋体"/>
                <w:caps w:val="0"/>
                <w:smallCaps w:val="0"/>
                <w:color w:val="auto"/>
                <w:sz w:val="24"/>
                <w:szCs w:val="24"/>
                <w:highlight w:val="none"/>
                <w:u w:val="single" w:color="auto"/>
              </w:rPr>
              <w:t>流向</w:t>
            </w:r>
            <w:r>
              <w:rPr>
                <w:rFonts w:hint="eastAsia" w:ascii="Times New Roman" w:hAnsi="Times New Roman" w:eastAsia="宋体"/>
                <w:caps w:val="0"/>
                <w:smallCaps w:val="0"/>
                <w:color w:val="auto"/>
                <w:spacing w:val="2"/>
                <w:sz w:val="24"/>
                <w:szCs w:val="24"/>
                <w:highlight w:val="none"/>
                <w:u w:val="single" w:color="auto"/>
              </w:rPr>
              <w:t>的下</w:t>
            </w:r>
            <w:r>
              <w:rPr>
                <w:rFonts w:hint="eastAsia" w:ascii="Times New Roman" w:hAnsi="Times New Roman" w:eastAsia="宋体"/>
                <w:caps w:val="0"/>
                <w:smallCaps w:val="0"/>
                <w:color w:val="auto"/>
                <w:sz w:val="24"/>
                <w:szCs w:val="24"/>
                <w:highlight w:val="none"/>
                <w:u w:val="single" w:color="auto"/>
              </w:rPr>
              <w:t>风</w:t>
            </w:r>
            <w:r>
              <w:rPr>
                <w:rFonts w:hint="eastAsia" w:ascii="Times New Roman" w:hAnsi="Times New Roman" w:eastAsia="宋体"/>
                <w:caps w:val="0"/>
                <w:smallCaps w:val="0"/>
                <w:color w:val="auto"/>
                <w:spacing w:val="2"/>
                <w:sz w:val="24"/>
                <w:szCs w:val="24"/>
                <w:highlight w:val="none"/>
                <w:u w:val="single" w:color="auto"/>
              </w:rPr>
              <w:t>向</w:t>
            </w:r>
            <w:r>
              <w:rPr>
                <w:rFonts w:hint="eastAsia" w:ascii="Times New Roman" w:hAnsi="Times New Roman" w:eastAsia="宋体"/>
                <w:caps w:val="0"/>
                <w:smallCaps w:val="0"/>
                <w:color w:val="auto"/>
                <w:sz w:val="24"/>
                <w:szCs w:val="24"/>
                <w:highlight w:val="none"/>
                <w:u w:val="single" w:color="auto"/>
              </w:rPr>
              <w:t>，</w:t>
            </w:r>
            <w:r>
              <w:rPr>
                <w:rFonts w:hint="eastAsia" w:ascii="Times New Roman" w:hAnsi="Times New Roman" w:eastAsia="宋体"/>
                <w:caps w:val="0"/>
                <w:smallCaps w:val="0"/>
                <w:color w:val="auto"/>
                <w:spacing w:val="2"/>
                <w:sz w:val="24"/>
                <w:szCs w:val="24"/>
                <w:highlight w:val="none"/>
                <w:u w:val="single" w:color="auto"/>
              </w:rPr>
              <w:t>进行</w:t>
            </w:r>
            <w:r>
              <w:rPr>
                <w:rFonts w:hint="eastAsia" w:ascii="Times New Roman" w:hAnsi="Times New Roman" w:eastAsia="宋体"/>
                <w:caps w:val="0"/>
                <w:smallCaps w:val="0"/>
                <w:color w:val="auto"/>
                <w:sz w:val="24"/>
                <w:szCs w:val="24"/>
                <w:highlight w:val="none"/>
                <w:u w:val="single" w:color="auto"/>
              </w:rPr>
              <w:t>溢油回收处置。</w:t>
            </w:r>
          </w:p>
          <w:p w14:paraId="4D982E3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eastAsia="宋体"/>
                <w:caps w:val="0"/>
                <w:smallCaps w:val="0"/>
                <w:color w:val="auto"/>
                <w:sz w:val="24"/>
                <w:szCs w:val="24"/>
                <w:highlight w:val="none"/>
                <w:u w:val="single" w:color="auto"/>
              </w:rPr>
            </w:pPr>
            <w:r>
              <w:rPr>
                <w:rFonts w:hint="eastAsia" w:ascii="Times New Roman" w:hAnsi="Times New Roman" w:eastAsia="宋体"/>
                <w:caps w:val="0"/>
                <w:smallCaps w:val="0"/>
                <w:color w:val="auto"/>
                <w:sz w:val="24"/>
                <w:szCs w:val="24"/>
                <w:highlight w:val="none"/>
                <w:u w:val="single" w:color="auto"/>
              </w:rPr>
              <w:t>鉴于保护区特殊的水质及海洋生态环境保护要求</w:t>
            </w:r>
            <w:r>
              <w:rPr>
                <w:rFonts w:hint="eastAsia" w:ascii="Times New Roman" w:hAnsi="Times New Roman" w:eastAsia="宋体"/>
                <w:caps w:val="0"/>
                <w:smallCaps w:val="0"/>
                <w:color w:val="auto"/>
                <w:spacing w:val="-48"/>
                <w:sz w:val="24"/>
                <w:szCs w:val="24"/>
                <w:highlight w:val="none"/>
                <w:u w:val="single" w:color="auto"/>
              </w:rPr>
              <w:t>，</w:t>
            </w:r>
            <w:r>
              <w:rPr>
                <w:rFonts w:hint="eastAsia" w:ascii="Times New Roman" w:hAnsi="Times New Roman" w:eastAsia="宋体"/>
                <w:caps w:val="0"/>
                <w:smallCaps w:val="0"/>
                <w:color w:val="auto"/>
                <w:sz w:val="24"/>
                <w:szCs w:val="24"/>
                <w:highlight w:val="none"/>
                <w:u w:val="single" w:color="auto"/>
              </w:rPr>
              <w:t>严禁在保护区周围使用溢油分散剂，避免对保护区造成二次污染。</w:t>
            </w:r>
          </w:p>
          <w:p w14:paraId="4EFF2D87">
            <w:pPr>
              <w:numPr>
                <w:ilvl w:val="0"/>
                <w:numId w:val="24"/>
              </w:numPr>
              <w:spacing w:line="360" w:lineRule="auto"/>
              <w:ind w:firstLine="480" w:firstLineChars="200"/>
              <w:jc w:val="left"/>
              <w:rPr>
                <w:rFonts w:hint="default" w:ascii="Times New Roman" w:hAnsi="Times New Roman" w:eastAsia="宋体" w:cs="Times New Roman"/>
                <w:caps w:val="0"/>
                <w:smallCaps w:val="0"/>
                <w:color w:val="auto"/>
                <w:sz w:val="24"/>
                <w:szCs w:val="24"/>
                <w:highlight w:val="none"/>
                <w:u w:val="single" w:color="auto"/>
                <w:lang w:val="en-US" w:eastAsia="zh-CN"/>
              </w:rPr>
            </w:pPr>
            <w:r>
              <w:rPr>
                <w:rFonts w:hint="eastAsia" w:ascii="Times New Roman" w:hAnsi="Times New Roman" w:eastAsia="宋体" w:cs="Times New Roman"/>
                <w:caps w:val="0"/>
                <w:smallCaps w:val="0"/>
                <w:color w:val="auto"/>
                <w:sz w:val="24"/>
                <w:szCs w:val="24"/>
                <w:highlight w:val="none"/>
                <w:u w:val="single" w:color="auto"/>
                <w:lang w:val="en-US" w:eastAsia="zh-CN"/>
              </w:rPr>
              <w:t>航道内溢油污染的处置措施</w:t>
            </w:r>
          </w:p>
          <w:p w14:paraId="142D9F4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aps w:val="0"/>
                <w:smallCaps w:val="0"/>
                <w:color w:val="auto"/>
                <w:sz w:val="24"/>
                <w:szCs w:val="24"/>
                <w:highlight w:val="none"/>
                <w:u w:val="single" w:color="auto"/>
              </w:rPr>
            </w:pPr>
            <w:r>
              <w:rPr>
                <w:rFonts w:hint="eastAsia" w:ascii="Times New Roman" w:hAnsi="Times New Roman" w:eastAsia="宋体" w:cs="Times New Roman"/>
                <w:caps w:val="0"/>
                <w:smallCaps w:val="0"/>
                <w:color w:val="auto"/>
                <w:sz w:val="24"/>
                <w:szCs w:val="24"/>
                <w:highlight w:val="none"/>
                <w:u w:val="single" w:color="auto"/>
              </w:rPr>
              <w:t>航道、锚地处溢油由于水流速度大于0.7节，溢油除平潮期间可以短时间围住溢油外，公认多数时间是围不住的。多数溢油会从围油栏下部流走，如果风力稍大，也可能从倾斜的围油栏上部翻过流散。为此，采取下列处理方法：</w:t>
            </w:r>
          </w:p>
          <w:p w14:paraId="225433F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caps w:val="0"/>
                <w:smallCaps w:val="0"/>
                <w:color w:val="auto"/>
                <w:sz w:val="24"/>
                <w:szCs w:val="24"/>
                <w:highlight w:val="none"/>
                <w:u w:val="single" w:color="auto"/>
              </w:rPr>
            </w:pPr>
            <w:r>
              <w:rPr>
                <w:rFonts w:hint="eastAsia" w:ascii="Times New Roman" w:hAnsi="Times New Roman" w:eastAsia="宋体" w:cs="Times New Roman"/>
                <w:caps w:val="0"/>
                <w:smallCaps w:val="0"/>
                <w:color w:val="auto"/>
                <w:sz w:val="24"/>
                <w:szCs w:val="24"/>
                <w:highlight w:val="none"/>
                <w:u w:val="single" w:color="auto"/>
              </w:rPr>
              <w:t>一旦在航道、锚地海域发生溢油事故，围控设备、清污设备要尽快到达溢油现场。视风和流速情况，能围则围，否则溢油扩散，给后续工作造成更大困难。</w:t>
            </w:r>
          </w:p>
          <w:p w14:paraId="3DA382B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color w:val="auto"/>
                <w:highlight w:val="none"/>
                <w:lang w:val="en-US" w:eastAsia="zh-CN"/>
              </w:rPr>
            </w:pPr>
            <w:r>
              <w:rPr>
                <w:rFonts w:hint="eastAsia" w:ascii="Times New Roman" w:hAnsi="Times New Roman" w:eastAsia="宋体" w:cs="Times New Roman"/>
                <w:caps w:val="0"/>
                <w:smallCaps w:val="0"/>
                <w:color w:val="auto"/>
                <w:sz w:val="24"/>
                <w:szCs w:val="24"/>
                <w:highlight w:val="none"/>
                <w:u w:val="single" w:color="auto"/>
              </w:rPr>
              <w:t>用浮油回收船、围油栏布放艇拖带导流型围油栏组成“V”字型高效应急组合，在溢油流向的下风向，迎着回收。并随时调整“V”的张口或进行流动回收，哪里有油污带就在哪里回收。迅速调动其他或社会清污能力予以支援，组织另一组“高效应急组合”第二防线的回收作业，而后才组织其他清污处置。吸油材料进行吸附回收，慎用分散剂，确保周围保护区不受二次污染。</w:t>
            </w:r>
          </w:p>
        </w:tc>
      </w:tr>
      <w:tr w14:paraId="1491E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4" w:hRule="atLeast"/>
          <w:jc w:val="center"/>
        </w:trPr>
        <w:tc>
          <w:tcPr>
            <w:tcW w:w="746" w:type="dxa"/>
            <w:noWrap w:val="0"/>
            <w:tcMar>
              <w:left w:w="28" w:type="dxa"/>
              <w:right w:w="28" w:type="dxa"/>
            </w:tcMar>
            <w:vAlign w:val="center"/>
          </w:tcPr>
          <w:p w14:paraId="4908EFE7">
            <w:pPr>
              <w:adjustRightInd w:val="0"/>
              <w:snapToGrid w:val="0"/>
              <w:jc w:val="center"/>
              <w:rPr>
                <w:bCs/>
                <w:color w:val="auto"/>
                <w:szCs w:val="21"/>
                <w:highlight w:val="none"/>
              </w:rPr>
            </w:pPr>
            <w:r>
              <w:rPr>
                <w:rFonts w:hint="eastAsia" w:ascii="宋体" w:hAnsi="宋体" w:cs="宋体"/>
                <w:color w:val="auto"/>
                <w:kern w:val="0"/>
                <w:sz w:val="24"/>
                <w:szCs w:val="21"/>
                <w:highlight w:val="none"/>
              </w:rPr>
              <w:t>运营期环境影响和保护措施</w:t>
            </w:r>
          </w:p>
        </w:tc>
        <w:tc>
          <w:tcPr>
            <w:tcW w:w="8162" w:type="dxa"/>
            <w:noWrap w:val="0"/>
            <w:vAlign w:val="center"/>
          </w:tcPr>
          <w:p w14:paraId="1395F005">
            <w:pPr>
              <w:spacing w:line="360" w:lineRule="auto"/>
              <w:ind w:firstLine="480" w:firstLineChars="200"/>
              <w:rPr>
                <w:rFonts w:hint="default" w:eastAsia="宋体"/>
                <w:bCs/>
                <w:color w:val="auto"/>
                <w:spacing w:val="-10"/>
                <w:highlight w:val="none"/>
                <w:lang w:val="en-US" w:eastAsia="zh-CN"/>
              </w:rPr>
            </w:pPr>
            <w:r>
              <w:rPr>
                <w:rFonts w:hint="eastAsia" w:ascii="Times New Roman" w:hAnsi="Times New Roman" w:eastAsia="宋体" w:cs="Times New Roman"/>
                <w:color w:val="auto"/>
                <w:sz w:val="24"/>
                <w:highlight w:val="none"/>
                <w:lang w:val="en-US" w:eastAsia="zh-CN"/>
              </w:rPr>
              <w:t>本项目不涉及运营期，无运营期生态环境保护措施。</w:t>
            </w:r>
          </w:p>
        </w:tc>
      </w:tr>
      <w:tr w14:paraId="3529F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746" w:type="dxa"/>
            <w:noWrap w:val="0"/>
            <w:tcMar>
              <w:left w:w="28" w:type="dxa"/>
              <w:right w:w="28" w:type="dxa"/>
            </w:tcMar>
            <w:vAlign w:val="center"/>
          </w:tcPr>
          <w:p w14:paraId="3CC342AA">
            <w:pPr>
              <w:adjustRightInd w:val="0"/>
              <w:snapToGrid w:val="0"/>
              <w:jc w:val="center"/>
              <w:rPr>
                <w:rFonts w:hint="eastAsia" w:ascii="宋体" w:hAnsi="宋体" w:eastAsia="宋体" w:cs="宋体"/>
                <w:color w:val="auto"/>
                <w:kern w:val="0"/>
                <w:sz w:val="24"/>
                <w:szCs w:val="21"/>
                <w:highlight w:val="none"/>
                <w:lang w:eastAsia="zh-CN"/>
              </w:rPr>
            </w:pPr>
            <w:r>
              <w:rPr>
                <w:rFonts w:hint="eastAsia" w:ascii="宋体" w:hAnsi="宋体" w:cs="宋体"/>
                <w:color w:val="auto"/>
                <w:kern w:val="0"/>
                <w:sz w:val="24"/>
                <w:szCs w:val="21"/>
                <w:highlight w:val="none"/>
                <w:lang w:eastAsia="zh-CN"/>
              </w:rPr>
              <w:t>其他</w:t>
            </w:r>
          </w:p>
        </w:tc>
        <w:tc>
          <w:tcPr>
            <w:tcW w:w="8162" w:type="dxa"/>
            <w:noWrap w:val="0"/>
            <w:vAlign w:val="center"/>
          </w:tcPr>
          <w:p w14:paraId="0C15E276">
            <w:pPr>
              <w:pStyle w:val="204"/>
              <w:numPr>
                <w:ilvl w:val="0"/>
                <w:numId w:val="0"/>
              </w:numPr>
              <w:adjustRightInd/>
              <w:snapToGrid/>
              <w:spacing w:line="360" w:lineRule="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5.3.1环境管理与监测计划</w:t>
            </w:r>
          </w:p>
          <w:p w14:paraId="6211A6E0">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环境管理和环境监测是防止工程建设对环境造成污染的主要手段，在项目施工过程中会对周围环境产生一定的污染影响，通过采用环境污染控制措施减轻污染影响。</w:t>
            </w:r>
          </w:p>
          <w:p w14:paraId="50E2167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环境管理</w:t>
            </w:r>
          </w:p>
          <w:p w14:paraId="63062BF9">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为了有效保护项目所在区域环境质量，切实保证本报告提出各项施工期环境保护措施的落实，建设单位应加强施工期环境管理，设置环境管理机构，制定环境管理制度，具体如下：</w:t>
            </w:r>
          </w:p>
          <w:p w14:paraId="4E479896">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①定期对施工人员进行环境保护知识的教育，加强环保知识宣传，明确环境保护的重要性，严格执行各种环境保护规章制度。</w:t>
            </w:r>
          </w:p>
          <w:p w14:paraId="0BB85621">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②制定施工期的环境管理和环境保护行动计划，制定年度实施计划，纳入施工过程，并监督、落实监测计划等。</w:t>
            </w:r>
          </w:p>
          <w:p w14:paraId="5082C998">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按环境影响报告表所提出的环境保护措施与对策建议，与施工单位和监理单位签订环境保护措施责任书，并负责监督检查各类施工船只执行环境影响报告表提出的各项环境保护措施的落实情况，确保建设项目主体工程与环保设施“三同时”。</w:t>
            </w:r>
          </w:p>
          <w:p w14:paraId="654AEA98">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④制定施工期水质、生态环境监测计划，并组织监测计划的实施；组织人员定期检查和维修施工机械，监督其正常运转，减少事故的发生。</w:t>
            </w:r>
          </w:p>
          <w:p w14:paraId="0D08633C">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⑤负责环境状况及各种污染物排放监测数据的统计，上报与存档并定期向主管部门汇报。</w:t>
            </w:r>
          </w:p>
          <w:p w14:paraId="4D9EA8E3">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监测计划</w:t>
            </w:r>
          </w:p>
          <w:p w14:paraId="3736D455">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环境监测作为环境监督管理的主要实施手段，通过监测可以及时掌握工程周边海域的环境变化情况，从而反馈给项目决策部门，为拟建项目的环境管理提供科学依据。结合项目施工特点和项目周围的环境敏感目标，提出以下施工期海洋环境监测方案</w:t>
            </w:r>
          </w:p>
          <w:p w14:paraId="30579706">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①监测站位布设</w:t>
            </w:r>
          </w:p>
          <w:p w14:paraId="24FAC76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根据《海洋监测规范》（GB17378-2007）监测站位布设原则，本项目主要在项目周边海域选择监测点，项目施工期共设</w:t>
            </w:r>
            <w:r>
              <w:rPr>
                <w:rFonts w:hint="default"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rPr>
              <w:t>个监测站位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其中1个设在疏浚区域，另外2个分别设置在港池所在金鼓江航道上下游。</w:t>
            </w:r>
          </w:p>
          <w:p w14:paraId="4F114B18">
            <w:pPr>
              <w:spacing w:line="360" w:lineRule="auto"/>
              <w:jc w:val="center"/>
              <w:rPr>
                <w:rFonts w:hint="eastAsia" w:ascii="Times New Roman" w:hAnsi="Times New Roman" w:eastAsia="宋体" w:cs="Times New Roman"/>
                <w:b/>
                <w:bCs/>
                <w:color w:val="auto"/>
                <w:sz w:val="24"/>
                <w:highlight w:val="none"/>
                <w:u w:val="single"/>
                <w:lang w:val="en-US" w:eastAsia="zh-CN"/>
              </w:rPr>
            </w:pPr>
            <w:r>
              <w:rPr>
                <w:rFonts w:hint="eastAsia" w:ascii="Times New Roman" w:hAnsi="Times New Roman" w:eastAsia="宋体" w:cs="Times New Roman"/>
                <w:b/>
                <w:bCs/>
                <w:color w:val="auto"/>
                <w:sz w:val="24"/>
                <w:highlight w:val="none"/>
                <w:u w:val="single"/>
                <w:lang w:val="en-US" w:eastAsia="zh-CN"/>
              </w:rPr>
              <w:t xml:space="preserve">表 </w:t>
            </w:r>
            <w:r>
              <w:rPr>
                <w:rFonts w:hint="default" w:ascii="Times New Roman" w:hAnsi="Times New Roman" w:eastAsia="宋体" w:cs="Times New Roman"/>
                <w:b/>
                <w:bCs/>
                <w:color w:val="auto"/>
                <w:sz w:val="24"/>
                <w:highlight w:val="none"/>
                <w:u w:val="single"/>
                <w:lang w:val="en-US" w:eastAsia="zh-CN"/>
              </w:rPr>
              <w:t xml:space="preserve">5.3-1 </w:t>
            </w:r>
            <w:r>
              <w:rPr>
                <w:rFonts w:hint="eastAsia" w:ascii="Times New Roman" w:hAnsi="Times New Roman" w:eastAsia="宋体" w:cs="Times New Roman"/>
                <w:b/>
                <w:bCs/>
                <w:color w:val="auto"/>
                <w:sz w:val="24"/>
                <w:highlight w:val="none"/>
                <w:u w:val="single"/>
                <w:lang w:val="en-US" w:eastAsia="zh-CN"/>
              </w:rPr>
              <w:t>项目施工期监测站位坐标</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725"/>
              <w:gridCol w:w="1538"/>
              <w:gridCol w:w="1387"/>
              <w:gridCol w:w="2544"/>
            </w:tblGrid>
            <w:tr w14:paraId="105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Merge w:val="restart"/>
                  <w:vAlign w:val="center"/>
                </w:tcPr>
                <w:p w14:paraId="7314A1FF">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监测站点</w:t>
                  </w:r>
                </w:p>
              </w:tc>
              <w:tc>
                <w:tcPr>
                  <w:tcW w:w="1725" w:type="dxa"/>
                  <w:vMerge w:val="restart"/>
                  <w:vAlign w:val="center"/>
                </w:tcPr>
                <w:p w14:paraId="4B3DF1BE">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点位名称</w:t>
                  </w:r>
                </w:p>
              </w:tc>
              <w:tc>
                <w:tcPr>
                  <w:tcW w:w="2925" w:type="dxa"/>
                  <w:gridSpan w:val="2"/>
                  <w:vAlign w:val="center"/>
                </w:tcPr>
                <w:p w14:paraId="05A9EE2E">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eastAsia="宋体" w:cs="Times New Roman"/>
                      <w:color w:val="auto"/>
                      <w:sz w:val="21"/>
                      <w:szCs w:val="21"/>
                      <w:highlight w:val="none"/>
                      <w:u w:val="single"/>
                      <w:vertAlign w:val="baseline"/>
                      <w:lang w:val="en-US" w:eastAsia="zh-CN"/>
                    </w:rPr>
                    <w:t>地理坐标</w:t>
                  </w:r>
                </w:p>
              </w:tc>
              <w:tc>
                <w:tcPr>
                  <w:tcW w:w="2544" w:type="dxa"/>
                  <w:vMerge w:val="restart"/>
                  <w:vAlign w:val="center"/>
                </w:tcPr>
                <w:p w14:paraId="26953CD4">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调查内容</w:t>
                  </w:r>
                </w:p>
              </w:tc>
            </w:tr>
            <w:tr w14:paraId="6BA8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Merge w:val="continue"/>
                  <w:vAlign w:val="center"/>
                </w:tcPr>
                <w:p w14:paraId="102D117F">
                  <w:pPr>
                    <w:pStyle w:val="54"/>
                    <w:jc w:val="center"/>
                    <w:rPr>
                      <w:rFonts w:hint="default" w:ascii="Times New Roman" w:hAnsi="Times New Roman" w:eastAsia="宋体" w:cs="Times New Roman"/>
                      <w:color w:val="auto"/>
                      <w:sz w:val="21"/>
                      <w:szCs w:val="21"/>
                      <w:highlight w:val="none"/>
                      <w:u w:val="single"/>
                      <w:vertAlign w:val="baseline"/>
                      <w:lang w:val="en-US" w:eastAsia="zh-CN"/>
                    </w:rPr>
                  </w:pPr>
                </w:p>
              </w:tc>
              <w:tc>
                <w:tcPr>
                  <w:tcW w:w="1725" w:type="dxa"/>
                  <w:vMerge w:val="continue"/>
                  <w:vAlign w:val="center"/>
                </w:tcPr>
                <w:p w14:paraId="6B585CDB">
                  <w:pPr>
                    <w:pStyle w:val="54"/>
                    <w:jc w:val="center"/>
                    <w:rPr>
                      <w:rFonts w:hint="default" w:ascii="Times New Roman" w:hAnsi="Times New Roman" w:eastAsia="宋体" w:cs="Times New Roman"/>
                      <w:color w:val="auto"/>
                      <w:sz w:val="21"/>
                      <w:szCs w:val="21"/>
                      <w:highlight w:val="none"/>
                      <w:u w:val="single"/>
                      <w:vertAlign w:val="baseline"/>
                      <w:lang w:val="en-US" w:eastAsia="zh-CN"/>
                    </w:rPr>
                  </w:pPr>
                </w:p>
              </w:tc>
              <w:tc>
                <w:tcPr>
                  <w:tcW w:w="1538" w:type="dxa"/>
                  <w:vAlign w:val="center"/>
                </w:tcPr>
                <w:p w14:paraId="42B6A1AB">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经度（E）</w:t>
                  </w:r>
                </w:p>
              </w:tc>
              <w:tc>
                <w:tcPr>
                  <w:tcW w:w="1387" w:type="dxa"/>
                  <w:vAlign w:val="center"/>
                </w:tcPr>
                <w:p w14:paraId="31309CA1">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纬度（N）</w:t>
                  </w:r>
                </w:p>
              </w:tc>
              <w:tc>
                <w:tcPr>
                  <w:tcW w:w="2544" w:type="dxa"/>
                  <w:vMerge w:val="continue"/>
                </w:tcPr>
                <w:p w14:paraId="0D6D452B">
                  <w:pPr>
                    <w:pStyle w:val="54"/>
                    <w:jc w:val="center"/>
                    <w:rPr>
                      <w:rFonts w:hint="default" w:ascii="Times New Roman" w:hAnsi="Times New Roman" w:eastAsia="宋体" w:cs="Times New Roman"/>
                      <w:color w:val="auto"/>
                      <w:sz w:val="21"/>
                      <w:szCs w:val="21"/>
                      <w:highlight w:val="none"/>
                      <w:u w:val="single"/>
                      <w:vertAlign w:val="baseline"/>
                      <w:lang w:val="en-US" w:eastAsia="zh-CN"/>
                    </w:rPr>
                  </w:pPr>
                </w:p>
              </w:tc>
            </w:tr>
            <w:tr w14:paraId="2A44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Pr>
                <w:p w14:paraId="2A323474">
                  <w:pPr>
                    <w:keepNext w:val="0"/>
                    <w:keepLines w:val="0"/>
                    <w:widowControl/>
                    <w:suppressLineNumbers w:val="0"/>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eastAsia="宋体" w:cs="Times New Roman"/>
                      <w:color w:val="auto"/>
                      <w:kern w:val="0"/>
                      <w:sz w:val="21"/>
                      <w:szCs w:val="21"/>
                      <w:highlight w:val="none"/>
                      <w:u w:val="single"/>
                      <w:lang w:val="en-US" w:eastAsia="zh-CN" w:bidi="ar"/>
                    </w:rPr>
                    <w:t>S1</w:t>
                  </w:r>
                </w:p>
              </w:tc>
              <w:tc>
                <w:tcPr>
                  <w:tcW w:w="1725" w:type="dxa"/>
                </w:tcPr>
                <w:p w14:paraId="6F829D3A">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项目上游500m</w:t>
                  </w:r>
                </w:p>
              </w:tc>
              <w:tc>
                <w:tcPr>
                  <w:tcW w:w="1538" w:type="dxa"/>
                </w:tcPr>
                <w:p w14:paraId="5295B136">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108.63797583</w:t>
                  </w:r>
                </w:p>
              </w:tc>
              <w:tc>
                <w:tcPr>
                  <w:tcW w:w="1387" w:type="dxa"/>
                </w:tcPr>
                <w:p w14:paraId="5E916CB0">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21.71510498</w:t>
                  </w:r>
                </w:p>
              </w:tc>
              <w:tc>
                <w:tcPr>
                  <w:tcW w:w="2544" w:type="dxa"/>
                </w:tcPr>
                <w:p w14:paraId="535282D0">
                  <w:pPr>
                    <w:pStyle w:val="54"/>
                    <w:jc w:val="center"/>
                    <w:rPr>
                      <w:rFonts w:hint="default" w:ascii="Times New Roman" w:hAnsi="Times New Roman" w:eastAsia="宋体" w:cs="Times New Roman"/>
                      <w:color w:val="auto"/>
                      <w:sz w:val="21"/>
                      <w:szCs w:val="21"/>
                      <w:highlight w:val="none"/>
                      <w:u w:val="single"/>
                      <w:vertAlign w:val="baseline"/>
                      <w:lang w:val="en-US" w:eastAsia="zh-CN"/>
                    </w:rPr>
                  </w:pPr>
                  <w:r>
                    <w:rPr>
                      <w:rFonts w:hint="eastAsia" w:ascii="Times New Roman" w:hAnsi="Times New Roman" w:eastAsia="宋体" w:cs="Times New Roman"/>
                      <w:color w:val="auto"/>
                      <w:sz w:val="21"/>
                      <w:szCs w:val="21"/>
                      <w:highlight w:val="none"/>
                      <w:u w:val="single"/>
                      <w:vertAlign w:val="baseline"/>
                      <w:lang w:val="en-US" w:eastAsia="zh-CN"/>
                    </w:rPr>
                    <w:t>水质，沉积物，海洋生态</w:t>
                  </w:r>
                </w:p>
              </w:tc>
            </w:tr>
            <w:tr w14:paraId="7609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Pr>
                <w:p w14:paraId="44B3B38B">
                  <w:pPr>
                    <w:keepNext w:val="0"/>
                    <w:keepLines w:val="0"/>
                    <w:widowControl/>
                    <w:suppressLineNumbers w:val="0"/>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eastAsia="宋体" w:cs="Times New Roman"/>
                      <w:color w:val="auto"/>
                      <w:kern w:val="0"/>
                      <w:sz w:val="21"/>
                      <w:szCs w:val="21"/>
                      <w:highlight w:val="none"/>
                      <w:u w:val="single"/>
                      <w:lang w:val="en-US" w:eastAsia="zh-CN" w:bidi="ar"/>
                    </w:rPr>
                    <w:t>S2</w:t>
                  </w:r>
                </w:p>
              </w:tc>
              <w:tc>
                <w:tcPr>
                  <w:tcW w:w="1725" w:type="dxa"/>
                </w:tcPr>
                <w:p w14:paraId="76209CCF">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项目施工区</w:t>
                  </w:r>
                </w:p>
              </w:tc>
              <w:tc>
                <w:tcPr>
                  <w:tcW w:w="1538" w:type="dxa"/>
                </w:tcPr>
                <w:p w14:paraId="694D427F">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108.63737366</w:t>
                  </w:r>
                </w:p>
              </w:tc>
              <w:tc>
                <w:tcPr>
                  <w:tcW w:w="1387" w:type="dxa"/>
                </w:tcPr>
                <w:p w14:paraId="01CD1A32">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21.70858803</w:t>
                  </w:r>
                </w:p>
              </w:tc>
              <w:tc>
                <w:tcPr>
                  <w:tcW w:w="2544" w:type="dxa"/>
                </w:tcPr>
                <w:p w14:paraId="0C369558">
                  <w:pPr>
                    <w:pStyle w:val="54"/>
                    <w:jc w:val="center"/>
                    <w:rPr>
                      <w:rFonts w:hint="default" w:ascii="Times New Roman" w:hAnsi="Times New Roman" w:cs="Times New Roman"/>
                      <w:color w:val="auto"/>
                      <w:sz w:val="21"/>
                      <w:szCs w:val="21"/>
                      <w:highlight w:val="none"/>
                      <w:u w:val="single"/>
                      <w:vertAlign w:val="baseline"/>
                    </w:rPr>
                  </w:pPr>
                  <w:r>
                    <w:rPr>
                      <w:rFonts w:hint="eastAsia" w:ascii="Times New Roman" w:hAnsi="Times New Roman" w:eastAsia="宋体" w:cs="Times New Roman"/>
                      <w:color w:val="auto"/>
                      <w:sz w:val="21"/>
                      <w:szCs w:val="21"/>
                      <w:highlight w:val="none"/>
                      <w:u w:val="single"/>
                      <w:vertAlign w:val="baseline"/>
                      <w:lang w:val="en-US" w:eastAsia="zh-CN"/>
                    </w:rPr>
                    <w:t>水质，沉积物，海洋生态</w:t>
                  </w:r>
                </w:p>
              </w:tc>
            </w:tr>
            <w:tr w14:paraId="7C33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tcPr>
                <w:p w14:paraId="3DB45CC4">
                  <w:pPr>
                    <w:keepNext w:val="0"/>
                    <w:keepLines w:val="0"/>
                    <w:widowControl/>
                    <w:suppressLineNumbers w:val="0"/>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eastAsia="宋体" w:cs="Times New Roman"/>
                      <w:color w:val="auto"/>
                      <w:kern w:val="0"/>
                      <w:sz w:val="21"/>
                      <w:szCs w:val="21"/>
                      <w:highlight w:val="none"/>
                      <w:u w:val="single"/>
                      <w:lang w:val="en-US" w:eastAsia="zh-CN" w:bidi="ar"/>
                    </w:rPr>
                    <w:t>S3</w:t>
                  </w:r>
                </w:p>
              </w:tc>
              <w:tc>
                <w:tcPr>
                  <w:tcW w:w="1725" w:type="dxa"/>
                </w:tcPr>
                <w:p w14:paraId="37ACC658">
                  <w:pPr>
                    <w:keepNext w:val="0"/>
                    <w:keepLines w:val="0"/>
                    <w:widowControl/>
                    <w:suppressLineNumbers w:val="0"/>
                    <w:jc w:val="center"/>
                    <w:rPr>
                      <w:rFonts w:hint="default" w:ascii="Times New Roman" w:hAnsi="Times New Roman" w:eastAsia="宋体" w:cs="Times New Roman"/>
                      <w:color w:val="auto"/>
                      <w:kern w:val="0"/>
                      <w:sz w:val="21"/>
                      <w:szCs w:val="21"/>
                      <w:highlight w:val="none"/>
                      <w:u w:val="single"/>
                      <w:lang w:val="en-US" w:eastAsia="zh-CN" w:bidi="ar"/>
                    </w:rPr>
                  </w:pPr>
                  <w:r>
                    <w:rPr>
                      <w:rFonts w:hint="eastAsia" w:cs="Times New Roman"/>
                      <w:color w:val="auto"/>
                      <w:kern w:val="0"/>
                      <w:sz w:val="21"/>
                      <w:szCs w:val="21"/>
                      <w:highlight w:val="none"/>
                      <w:u w:val="single"/>
                      <w:lang w:val="en-US" w:eastAsia="zh-CN" w:bidi="ar"/>
                    </w:rPr>
                    <w:t>项目下游500m</w:t>
                  </w:r>
                </w:p>
              </w:tc>
              <w:tc>
                <w:tcPr>
                  <w:tcW w:w="1538" w:type="dxa"/>
                </w:tcPr>
                <w:p w14:paraId="6CF047E7">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108.63629859</w:t>
                  </w:r>
                </w:p>
              </w:tc>
              <w:tc>
                <w:tcPr>
                  <w:tcW w:w="1387" w:type="dxa"/>
                </w:tcPr>
                <w:p w14:paraId="121821E4">
                  <w:pPr>
                    <w:pStyle w:val="54"/>
                    <w:jc w:val="center"/>
                    <w:rPr>
                      <w:rFonts w:hint="default" w:ascii="Times New Roman" w:hAnsi="Times New Roman" w:cs="Times New Roman"/>
                      <w:color w:val="auto"/>
                      <w:sz w:val="21"/>
                      <w:szCs w:val="21"/>
                      <w:highlight w:val="none"/>
                      <w:u w:val="single"/>
                      <w:vertAlign w:val="baseline"/>
                    </w:rPr>
                  </w:pPr>
                  <w:r>
                    <w:rPr>
                      <w:rFonts w:hint="default" w:ascii="Times New Roman" w:hAnsi="Times New Roman" w:cs="Times New Roman"/>
                      <w:color w:val="auto"/>
                      <w:sz w:val="21"/>
                      <w:szCs w:val="21"/>
                      <w:highlight w:val="none"/>
                      <w:u w:val="single"/>
                      <w:vertAlign w:val="baseline"/>
                    </w:rPr>
                    <w:t>21.70119328</w:t>
                  </w:r>
                </w:p>
              </w:tc>
              <w:tc>
                <w:tcPr>
                  <w:tcW w:w="2544" w:type="dxa"/>
                </w:tcPr>
                <w:p w14:paraId="49B2419C">
                  <w:pPr>
                    <w:pStyle w:val="54"/>
                    <w:jc w:val="center"/>
                    <w:rPr>
                      <w:rFonts w:hint="default" w:ascii="Times New Roman" w:hAnsi="Times New Roman" w:cs="Times New Roman"/>
                      <w:color w:val="auto"/>
                      <w:sz w:val="21"/>
                      <w:szCs w:val="21"/>
                      <w:highlight w:val="none"/>
                      <w:u w:val="single"/>
                      <w:vertAlign w:val="baseline"/>
                    </w:rPr>
                  </w:pPr>
                  <w:r>
                    <w:rPr>
                      <w:rFonts w:hint="eastAsia" w:ascii="Times New Roman" w:hAnsi="Times New Roman" w:eastAsia="宋体" w:cs="Times New Roman"/>
                      <w:color w:val="auto"/>
                      <w:sz w:val="21"/>
                      <w:szCs w:val="21"/>
                      <w:highlight w:val="none"/>
                      <w:u w:val="single"/>
                      <w:vertAlign w:val="baseline"/>
                      <w:lang w:val="en-US" w:eastAsia="zh-CN"/>
                    </w:rPr>
                    <w:t>水质，沉积物，海洋生态</w:t>
                  </w:r>
                </w:p>
              </w:tc>
            </w:tr>
          </w:tbl>
          <w:p w14:paraId="3591777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highlight w:val="none"/>
                <w:lang w:val="en-US" w:eastAsia="zh-CN"/>
              </w:rPr>
            </w:pPr>
          </w:p>
          <w:p w14:paraId="04FA1AE3">
            <w:pPr>
              <w:pStyle w:val="54"/>
              <w:rPr>
                <w:rFonts w:hint="eastAsia"/>
                <w:color w:val="auto"/>
                <w:highlight w:val="none"/>
                <w:lang w:val="en-US" w:eastAsia="zh-CN"/>
              </w:rPr>
            </w:pPr>
            <w:r>
              <w:rPr>
                <w:color w:val="auto"/>
                <w:highlight w:val="none"/>
              </w:rPr>
              <w:drawing>
                <wp:inline distT="0" distB="0" distL="114300" distR="114300">
                  <wp:extent cx="5098415" cy="4715510"/>
                  <wp:effectExtent l="0" t="0" r="6985" b="889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68"/>
                          <a:stretch>
                            <a:fillRect/>
                          </a:stretch>
                        </pic:blipFill>
                        <pic:spPr>
                          <a:xfrm>
                            <a:off x="0" y="0"/>
                            <a:ext cx="5098415" cy="4715510"/>
                          </a:xfrm>
                          <a:prstGeom prst="rect">
                            <a:avLst/>
                          </a:prstGeom>
                          <a:noFill/>
                          <a:ln>
                            <a:noFill/>
                          </a:ln>
                        </pic:spPr>
                      </pic:pic>
                    </a:graphicData>
                  </a:graphic>
                </wp:inline>
              </w:drawing>
            </w:r>
          </w:p>
          <w:p w14:paraId="045E851A">
            <w:pPr>
              <w:spacing w:line="360" w:lineRule="auto"/>
              <w:ind w:firstLine="480" w:firstLineChars="200"/>
              <w:jc w:val="center"/>
              <w:rPr>
                <w:rFonts w:hint="default" w:ascii="Times New Roman" w:hAnsi="Times New Roman" w:eastAsia="宋体" w:cs="Times New Roman"/>
                <w:color w:val="auto"/>
                <w:sz w:val="24"/>
                <w:highlight w:val="none"/>
                <w:u w:val="single"/>
                <w:lang w:val="en-US" w:eastAsia="zh-CN"/>
              </w:rPr>
            </w:pPr>
            <w:r>
              <w:rPr>
                <w:rFonts w:hint="eastAsia" w:cs="Times New Roman"/>
                <w:color w:val="auto"/>
                <w:sz w:val="24"/>
                <w:highlight w:val="none"/>
                <w:u w:val="single"/>
                <w:lang w:val="en-US" w:eastAsia="zh-CN"/>
              </w:rPr>
              <w:t>图5.3-1 项目施工期监测点位示意图</w:t>
            </w:r>
          </w:p>
          <w:p w14:paraId="66967FB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②监测时间：大潮期</w:t>
            </w:r>
          </w:p>
          <w:p w14:paraId="0F180342">
            <w:pPr>
              <w:numPr>
                <w:ilvl w:val="0"/>
                <w:numId w:val="25"/>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水质监测，监测项目：水温、pH、盐度、悬浮物、溶解氧</w:t>
            </w:r>
            <w:r>
              <w:rPr>
                <w:rFonts w:hint="default" w:ascii="Times New Roman" w:hAnsi="Times New Roman" w:eastAsia="宋体" w:cs="Times New Roman"/>
                <w:color w:val="auto"/>
                <w:sz w:val="24"/>
                <w:highlight w:val="none"/>
                <w:lang w:val="en-US" w:eastAsia="zh-CN"/>
              </w:rPr>
              <w:t>(DO)</w:t>
            </w:r>
            <w:r>
              <w:rPr>
                <w:rFonts w:hint="eastAsia" w:ascii="Times New Roman" w:hAnsi="Times New Roman" w:eastAsia="宋体" w:cs="Times New Roman"/>
                <w:color w:val="auto"/>
                <w:sz w:val="24"/>
                <w:highlight w:val="none"/>
                <w:lang w:val="en-US" w:eastAsia="zh-CN"/>
              </w:rPr>
              <w:t>、化学需氧量</w:t>
            </w:r>
            <w:r>
              <w:rPr>
                <w:rFonts w:hint="default" w:ascii="Times New Roman" w:hAnsi="Times New Roman" w:eastAsia="宋体" w:cs="Times New Roman"/>
                <w:color w:val="auto"/>
                <w:sz w:val="24"/>
                <w:highlight w:val="none"/>
                <w:lang w:val="en-US" w:eastAsia="zh-CN"/>
              </w:rPr>
              <w:t>(COD)</w:t>
            </w:r>
            <w:r>
              <w:rPr>
                <w:rFonts w:hint="eastAsia" w:ascii="Times New Roman" w:hAnsi="Times New Roman" w:eastAsia="宋体" w:cs="Times New Roman"/>
                <w:color w:val="auto"/>
                <w:sz w:val="24"/>
                <w:highlight w:val="none"/>
                <w:lang w:val="en-US" w:eastAsia="zh-CN"/>
              </w:rPr>
              <w:t>、生化需氧量（</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）铵盐、硝酸盐、亚硝酸盐、无机氮、活性磷酸盐、石油类、挥发酚、铜</w:t>
            </w:r>
            <w:r>
              <w:rPr>
                <w:rFonts w:hint="default" w:ascii="Times New Roman" w:hAnsi="Times New Roman" w:eastAsia="宋体" w:cs="Times New Roman"/>
                <w:color w:val="auto"/>
                <w:sz w:val="24"/>
                <w:highlight w:val="none"/>
                <w:lang w:val="en-US" w:eastAsia="zh-CN"/>
              </w:rPr>
              <w:t>(Cu)</w:t>
            </w:r>
            <w:r>
              <w:rPr>
                <w:rFonts w:hint="eastAsia" w:ascii="Times New Roman" w:hAnsi="Times New Roman" w:eastAsia="宋体" w:cs="Times New Roman"/>
                <w:color w:val="auto"/>
                <w:sz w:val="24"/>
                <w:highlight w:val="none"/>
                <w:lang w:val="en-US" w:eastAsia="zh-CN"/>
              </w:rPr>
              <w:t>、铅</w:t>
            </w:r>
            <w:r>
              <w:rPr>
                <w:rFonts w:hint="default" w:ascii="Times New Roman" w:hAnsi="Times New Roman" w:eastAsia="宋体" w:cs="Times New Roman"/>
                <w:color w:val="auto"/>
                <w:sz w:val="24"/>
                <w:highlight w:val="none"/>
                <w:lang w:val="en-US" w:eastAsia="zh-CN"/>
              </w:rPr>
              <w:t>(Pb)</w:t>
            </w:r>
            <w:r>
              <w:rPr>
                <w:rFonts w:hint="eastAsia" w:ascii="Times New Roman" w:hAnsi="Times New Roman" w:eastAsia="宋体" w:cs="Times New Roman"/>
                <w:color w:val="auto"/>
                <w:sz w:val="24"/>
                <w:highlight w:val="none"/>
                <w:lang w:val="en-US" w:eastAsia="zh-CN"/>
              </w:rPr>
              <w:t>、镉</w:t>
            </w:r>
            <w:r>
              <w:rPr>
                <w:rFonts w:hint="default" w:ascii="Times New Roman" w:hAnsi="Times New Roman" w:eastAsia="宋体" w:cs="Times New Roman"/>
                <w:color w:val="auto"/>
                <w:sz w:val="24"/>
                <w:highlight w:val="none"/>
                <w:lang w:val="en-US" w:eastAsia="zh-CN"/>
              </w:rPr>
              <w:t>(Cd)</w:t>
            </w:r>
            <w:r>
              <w:rPr>
                <w:rFonts w:hint="eastAsia" w:ascii="Times New Roman" w:hAnsi="Times New Roman" w:eastAsia="宋体" w:cs="Times New Roman"/>
                <w:color w:val="auto"/>
                <w:sz w:val="24"/>
                <w:highlight w:val="none"/>
                <w:lang w:val="en-US" w:eastAsia="zh-CN"/>
              </w:rPr>
              <w:t>、锌</w:t>
            </w:r>
            <w:r>
              <w:rPr>
                <w:rFonts w:hint="default" w:ascii="Times New Roman" w:hAnsi="Times New Roman" w:eastAsia="宋体" w:cs="Times New Roman"/>
                <w:color w:val="auto"/>
                <w:sz w:val="24"/>
                <w:highlight w:val="none"/>
                <w:lang w:val="en-US" w:eastAsia="zh-CN"/>
              </w:rPr>
              <w:t>(Zn)</w:t>
            </w:r>
            <w:r>
              <w:rPr>
                <w:rFonts w:hint="eastAsia" w:ascii="Times New Roman" w:hAnsi="Times New Roman" w:eastAsia="宋体" w:cs="Times New Roman"/>
                <w:color w:val="auto"/>
                <w:sz w:val="24"/>
                <w:highlight w:val="none"/>
                <w:lang w:val="en-US" w:eastAsia="zh-CN"/>
              </w:rPr>
              <w:t>、总汞</w:t>
            </w:r>
            <w:r>
              <w:rPr>
                <w:rFonts w:hint="default" w:ascii="Times New Roman" w:hAnsi="Times New Roman" w:eastAsia="宋体" w:cs="Times New Roman"/>
                <w:color w:val="auto"/>
                <w:sz w:val="24"/>
                <w:highlight w:val="none"/>
                <w:lang w:val="en-US" w:eastAsia="zh-CN"/>
              </w:rPr>
              <w:t>(Hg)</w:t>
            </w:r>
            <w:r>
              <w:rPr>
                <w:rFonts w:hint="eastAsia" w:ascii="Times New Roman" w:hAnsi="Times New Roman" w:eastAsia="宋体" w:cs="Times New Roman"/>
                <w:color w:val="auto"/>
                <w:sz w:val="24"/>
                <w:highlight w:val="none"/>
                <w:lang w:val="en-US" w:eastAsia="zh-CN"/>
              </w:rPr>
              <w:t>、砷</w:t>
            </w:r>
            <w:r>
              <w:rPr>
                <w:rFonts w:hint="default" w:ascii="Times New Roman" w:hAnsi="Times New Roman" w:eastAsia="宋体" w:cs="Times New Roman"/>
                <w:color w:val="auto"/>
                <w:sz w:val="24"/>
                <w:highlight w:val="none"/>
                <w:lang w:val="en-US" w:eastAsia="zh-CN"/>
              </w:rPr>
              <w:t>(As)</w:t>
            </w:r>
            <w:r>
              <w:rPr>
                <w:rFonts w:hint="eastAsia" w:ascii="Times New Roman" w:hAnsi="Times New Roman" w:eastAsia="宋体" w:cs="Times New Roman"/>
                <w:color w:val="auto"/>
                <w:sz w:val="24"/>
                <w:highlight w:val="none"/>
                <w:lang w:val="en-US" w:eastAsia="zh-CN"/>
              </w:rPr>
              <w:t>和铬</w:t>
            </w:r>
            <w:r>
              <w:rPr>
                <w:rFonts w:hint="default" w:ascii="Times New Roman" w:hAnsi="Times New Roman" w:eastAsia="宋体" w:cs="Times New Roman"/>
                <w:color w:val="auto"/>
                <w:sz w:val="24"/>
                <w:highlight w:val="none"/>
                <w:lang w:val="en-US" w:eastAsia="zh-CN"/>
              </w:rPr>
              <w:t>(Cr)</w:t>
            </w:r>
            <w:r>
              <w:rPr>
                <w:rFonts w:hint="eastAsia" w:ascii="Times New Roman" w:hAnsi="Times New Roman" w:eastAsia="宋体" w:cs="Times New Roman"/>
                <w:color w:val="auto"/>
                <w:sz w:val="24"/>
                <w:highlight w:val="none"/>
                <w:lang w:val="en-US" w:eastAsia="zh-CN"/>
              </w:rPr>
              <w:t>共</w:t>
            </w:r>
            <w:r>
              <w:rPr>
                <w:rFonts w:hint="default" w:ascii="Times New Roman" w:hAnsi="Times New Roman" w:eastAsia="宋体" w:cs="Times New Roman"/>
                <w:color w:val="auto"/>
                <w:sz w:val="24"/>
                <w:highlight w:val="none"/>
                <w:lang w:val="en-US" w:eastAsia="zh-CN"/>
              </w:rPr>
              <w:t>21</w:t>
            </w:r>
            <w:r>
              <w:rPr>
                <w:rFonts w:hint="eastAsia" w:ascii="Times New Roman" w:hAnsi="Times New Roman" w:eastAsia="宋体" w:cs="Times New Roman"/>
                <w:color w:val="auto"/>
                <w:sz w:val="24"/>
                <w:highlight w:val="none"/>
                <w:lang w:val="en-US" w:eastAsia="zh-CN"/>
              </w:rPr>
              <w:t>项。</w:t>
            </w:r>
          </w:p>
          <w:p w14:paraId="0391E2C9">
            <w:pPr>
              <w:numPr>
                <w:ilvl w:val="0"/>
                <w:numId w:val="26"/>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沉积物监测，监测项目：</w:t>
            </w:r>
            <w:r>
              <w:rPr>
                <w:rFonts w:hint="default" w:ascii="Times New Roman" w:hAnsi="Times New Roman" w:eastAsia="宋体" w:cs="Times New Roman"/>
                <w:color w:val="auto"/>
                <w:sz w:val="24"/>
                <w:highlight w:val="none"/>
                <w:lang w:val="en-US" w:eastAsia="zh-CN"/>
              </w:rPr>
              <w:t>Cu</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Pb</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Zn</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Cd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Hg</w:t>
            </w:r>
            <w:r>
              <w:rPr>
                <w:rFonts w:hint="eastAsia" w:ascii="Times New Roman" w:hAnsi="Times New Roman" w:eastAsia="宋体" w:cs="Times New Roman"/>
                <w:color w:val="auto"/>
                <w:sz w:val="24"/>
                <w:highlight w:val="none"/>
                <w:lang w:val="en-US" w:eastAsia="zh-CN"/>
              </w:rPr>
              <w:t>、石油类和有机碳等</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项。</w:t>
            </w:r>
          </w:p>
          <w:p w14:paraId="0A204C9D">
            <w:pPr>
              <w:numPr>
                <w:ilvl w:val="0"/>
                <w:numId w:val="26"/>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海洋生态监测，监测项目：底栖生物、鱼卵仔鱼。</w:t>
            </w:r>
          </w:p>
          <w:p w14:paraId="5D5BD0E4">
            <w:pPr>
              <w:numPr>
                <w:ilvl w:val="0"/>
                <w:numId w:val="0"/>
              </w:num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③监测频率：施工期开始后</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个月和结束后</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个月各监测一次。</w:t>
            </w:r>
          </w:p>
          <w:p w14:paraId="6DA4DC53">
            <w:pPr>
              <w:numPr>
                <w:ilvl w:val="0"/>
                <w:numId w:val="21"/>
              </w:numPr>
              <w:spacing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其他要求</w:t>
            </w:r>
          </w:p>
          <w:p w14:paraId="627F6D4B">
            <w:pPr>
              <w:spacing w:line="360" w:lineRule="auto"/>
              <w:ind w:firstLine="480" w:firstLineChars="200"/>
              <w:rPr>
                <w:rFonts w:hint="eastAsia"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①</w:t>
            </w:r>
            <w:r>
              <w:rPr>
                <w:rFonts w:hint="eastAsia" w:ascii="Times New Roman" w:hAnsi="Times New Roman" w:eastAsia="宋体" w:cs="Times New Roman"/>
                <w:color w:val="auto"/>
                <w:kern w:val="0"/>
                <w:sz w:val="24"/>
                <w:highlight w:val="none"/>
                <w:u w:val="single"/>
                <w:lang w:val="en-US" w:eastAsia="zh-CN"/>
              </w:rPr>
              <w:t>施工前</w:t>
            </w:r>
            <w:r>
              <w:rPr>
                <w:rFonts w:hint="eastAsia" w:ascii="Times New Roman" w:hAnsi="Times New Roman" w:eastAsia="宋体" w:cs="Times New Roman"/>
                <w:color w:val="auto"/>
                <w:sz w:val="24"/>
                <w:highlight w:val="none"/>
                <w:u w:val="single"/>
                <w:lang w:val="en-US" w:eastAsia="zh-CN"/>
              </w:rPr>
              <w:t>建设单位应根据《</w:t>
            </w:r>
            <w:r>
              <w:rPr>
                <w:rFonts w:hint="eastAsia" w:cs="Times New Roman"/>
                <w:color w:val="auto"/>
                <w:sz w:val="24"/>
                <w:highlight w:val="none"/>
                <w:u w:val="single"/>
                <w:lang w:val="en-US" w:eastAsia="zh-CN"/>
              </w:rPr>
              <w:t>中华人民共和国</w:t>
            </w:r>
            <w:r>
              <w:rPr>
                <w:rFonts w:hint="eastAsia" w:ascii="Times New Roman" w:hAnsi="Times New Roman" w:eastAsia="宋体" w:cs="Times New Roman"/>
                <w:color w:val="auto"/>
                <w:sz w:val="24"/>
                <w:highlight w:val="none"/>
                <w:u w:val="single"/>
                <w:lang w:val="en-US" w:eastAsia="zh-CN"/>
              </w:rPr>
              <w:t>海域使用管理法》《临时海域使用暂行管理办法》等办理相关用海申请手续</w:t>
            </w:r>
            <w:r>
              <w:rPr>
                <w:rFonts w:hint="eastAsia" w:cs="Times New Roman"/>
                <w:color w:val="auto"/>
                <w:sz w:val="24"/>
                <w:highlight w:val="none"/>
                <w:u w:val="single"/>
                <w:lang w:val="en-US" w:eastAsia="zh-CN"/>
              </w:rPr>
              <w:t>，办理水下施工许可证等文件。</w:t>
            </w:r>
          </w:p>
          <w:p w14:paraId="087F53A0">
            <w:pPr>
              <w:spacing w:line="360" w:lineRule="auto"/>
              <w:ind w:firstLine="480" w:firstLineChars="200"/>
              <w:rPr>
                <w:rFonts w:hint="default" w:ascii="Times New Roman" w:hAnsi="Times New Roman" w:eastAsia="宋体" w:cs="Times New Roman"/>
                <w:color w:val="auto"/>
                <w:sz w:val="24"/>
                <w:highlight w:val="none"/>
                <w:u w:val="single"/>
                <w:lang w:val="en-US" w:eastAsia="zh-CN"/>
              </w:rPr>
            </w:pPr>
            <w:r>
              <w:rPr>
                <w:rFonts w:hint="eastAsia" w:ascii="Times New Roman" w:hAnsi="Times New Roman" w:eastAsia="宋体" w:cs="Times New Roman"/>
                <w:color w:val="auto"/>
                <w:sz w:val="24"/>
                <w:highlight w:val="none"/>
                <w:u w:val="single"/>
                <w:lang w:val="en-US" w:eastAsia="zh-CN"/>
              </w:rPr>
              <w:t>②</w:t>
            </w:r>
            <w:r>
              <w:rPr>
                <w:rFonts w:hint="eastAsia" w:cs="Times New Roman"/>
                <w:color w:val="auto"/>
                <w:sz w:val="24"/>
                <w:highlight w:val="none"/>
                <w:u w:val="single"/>
                <w:lang w:val="en-US" w:eastAsia="zh-CN"/>
              </w:rPr>
              <w:t>施工前建设单位应根据《中华人民共和国海洋环境保护法》向生态环境部珠江流域南海海域生态环境监督管理局申请废弃物海洋倾倒许可证，疏浚物倾倒需按照指定航线航行及指定倾倒区进行抛泥。</w:t>
            </w:r>
          </w:p>
          <w:p w14:paraId="6A27E08A">
            <w:pPr>
              <w:spacing w:line="360" w:lineRule="auto"/>
              <w:ind w:firstLine="480" w:firstLineChars="200"/>
              <w:rPr>
                <w:rFonts w:hint="default" w:ascii="Times New Roman" w:hAnsi="Times New Roman" w:eastAsia="宋体" w:cs="Times New Roman"/>
                <w:color w:val="auto"/>
                <w:sz w:val="24"/>
                <w:highlight w:val="none"/>
                <w:u w:val="single"/>
                <w:lang w:val="en-US" w:eastAsia="zh-CN"/>
              </w:rPr>
            </w:pPr>
            <w:r>
              <w:rPr>
                <w:rFonts w:hint="eastAsia" w:cs="Times New Roman"/>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施工期间，施工单位应在施工海域设置醒目的警示标志，预留船舶通航通道，并与码头管理处</w:t>
            </w:r>
            <w:r>
              <w:rPr>
                <w:rFonts w:hint="eastAsia"/>
                <w:color w:val="auto"/>
                <w:highlight w:val="none"/>
                <w:lang w:eastAsia="zh-CN"/>
              </w:rPr>
              <w:t>、</w:t>
            </w:r>
            <w:r>
              <w:rPr>
                <w:rFonts w:hint="eastAsia" w:ascii="Times New Roman" w:hAnsi="Times New Roman" w:eastAsia="宋体" w:cs="Times New Roman"/>
                <w:color w:val="auto"/>
                <w:sz w:val="24"/>
                <w:highlight w:val="none"/>
                <w:lang w:val="en-US" w:eastAsia="zh-CN"/>
              </w:rPr>
              <w:t>航道管理中心加强联系，密切协调，</w:t>
            </w:r>
            <w:r>
              <w:rPr>
                <w:rFonts w:hint="eastAsia" w:ascii="Times New Roman" w:hAnsi="Times New Roman" w:eastAsia="宋体" w:cs="Times New Roman"/>
                <w:color w:val="auto"/>
                <w:sz w:val="24"/>
                <w:highlight w:val="none"/>
                <w:u w:val="single"/>
                <w:lang w:val="en-US" w:eastAsia="zh-CN"/>
              </w:rPr>
              <w:t>在周边码头船舶进出港时提前避让，</w:t>
            </w:r>
            <w:r>
              <w:rPr>
                <w:rFonts w:hint="eastAsia" w:cs="Times New Roman"/>
                <w:color w:val="auto"/>
                <w:sz w:val="24"/>
                <w:highlight w:val="none"/>
                <w:u w:val="single"/>
                <w:lang w:val="en-US" w:eastAsia="zh-CN"/>
              </w:rPr>
              <w:t>做好施工区周围的水布置和安全要求。</w:t>
            </w:r>
          </w:p>
          <w:p w14:paraId="0CC7709F">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④</w:t>
            </w:r>
            <w:r>
              <w:rPr>
                <w:rFonts w:hint="eastAsia" w:ascii="Times New Roman" w:hAnsi="Times New Roman" w:eastAsia="宋体" w:cs="Times New Roman"/>
                <w:color w:val="auto"/>
                <w:sz w:val="24"/>
                <w:highlight w:val="none"/>
                <w:lang w:val="en-US" w:eastAsia="zh-CN"/>
              </w:rPr>
              <w:t>建设单位应加强监督管理，制定相应的对策措施，尽量减少疏浚对周边码头通航环境的不利影响，避免风险事故的发生。</w:t>
            </w:r>
          </w:p>
          <w:p w14:paraId="2AB78CD6">
            <w:pPr>
              <w:spacing w:line="360" w:lineRule="auto"/>
              <w:ind w:firstLine="480" w:firstLineChars="200"/>
              <w:jc w:val="left"/>
              <w:rPr>
                <w:rFonts w:hint="eastAsia" w:ascii="Times New Roman" w:hAnsi="Times New Roman" w:eastAsia="宋体" w:cs="Times New Roman"/>
                <w:color w:val="auto"/>
                <w:kern w:val="0"/>
                <w:sz w:val="24"/>
                <w:highlight w:val="none"/>
                <w:u w:val="single"/>
                <w:lang w:val="en-US" w:eastAsia="zh-CN"/>
              </w:rPr>
            </w:pPr>
            <w:r>
              <w:rPr>
                <w:rFonts w:hint="eastAsia" w:cs="Times New Roman"/>
                <w:color w:val="auto"/>
                <w:sz w:val="24"/>
                <w:highlight w:val="none"/>
                <w:u w:val="single"/>
                <w:lang w:val="en-US" w:eastAsia="zh-CN"/>
              </w:rPr>
              <w:t>⑤施工结束后应委托专业单位编制生态补偿实施方案，实施方案经充分论证后再实施。根据实施方案中的金额、要求，落实下一步的增殖放流等生态补偿措施。</w:t>
            </w:r>
            <w:r>
              <w:rPr>
                <w:rFonts w:hint="eastAsia" w:ascii="Times New Roman" w:hAnsi="Times New Roman" w:eastAsia="宋体" w:cs="Times New Roman"/>
                <w:color w:val="auto"/>
                <w:kern w:val="0"/>
                <w:sz w:val="24"/>
                <w:highlight w:val="none"/>
                <w:u w:val="single"/>
                <w:lang w:val="en-US" w:eastAsia="zh-CN"/>
              </w:rPr>
              <w:t>建设单位应咨询当地渔业主管部门后确定</w:t>
            </w:r>
            <w:r>
              <w:rPr>
                <w:rFonts w:hint="eastAsia" w:cs="Times New Roman"/>
                <w:color w:val="auto"/>
                <w:kern w:val="0"/>
                <w:sz w:val="24"/>
                <w:highlight w:val="none"/>
                <w:u w:val="single"/>
                <w:lang w:val="en-US" w:eastAsia="zh-CN"/>
              </w:rPr>
              <w:t>生态补偿方式，具体放流种类、放流地点等</w:t>
            </w:r>
            <w:r>
              <w:rPr>
                <w:rFonts w:hint="eastAsia" w:ascii="Times New Roman" w:hAnsi="Times New Roman" w:eastAsia="宋体" w:cs="Times New Roman"/>
                <w:color w:val="auto"/>
                <w:kern w:val="0"/>
                <w:sz w:val="24"/>
                <w:highlight w:val="none"/>
                <w:u w:val="single"/>
                <w:lang w:val="en-US" w:eastAsia="zh-CN"/>
              </w:rPr>
              <w:t>。建设单位应做好增殖放流效果的跟踪监测、调查和评估工作。</w:t>
            </w:r>
          </w:p>
          <w:p w14:paraId="696A12A0">
            <w:pPr>
              <w:pStyle w:val="204"/>
              <w:numPr>
                <w:ilvl w:val="0"/>
                <w:numId w:val="0"/>
              </w:numPr>
              <w:adjustRightInd/>
              <w:snapToGrid/>
              <w:spacing w:line="360" w:lineRule="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5.3.2“三同时”环保设施验收一览表</w:t>
            </w:r>
          </w:p>
          <w:p w14:paraId="1700434A">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根据《国务院关于修改</w:t>
            </w:r>
            <w:bookmarkStart w:id="132" w:name="_GoBack"/>
            <w:r>
              <w:rPr>
                <w:rFonts w:hint="eastAsia" w:ascii="Times New Roman" w:hAnsi="Times New Roman" w:eastAsia="宋体" w:cs="Times New Roman"/>
                <w:color w:val="auto"/>
                <w:sz w:val="24"/>
                <w:highlight w:val="none"/>
              </w:rPr>
              <w:t>&lt;</w:t>
            </w:r>
            <w:bookmarkEnd w:id="132"/>
            <w:r>
              <w:rPr>
                <w:rFonts w:hint="eastAsia" w:ascii="Times New Roman" w:hAnsi="Times New Roman" w:eastAsia="宋体" w:cs="Times New Roman"/>
                <w:color w:val="auto"/>
                <w:sz w:val="24"/>
                <w:highlight w:val="none"/>
              </w:rPr>
              <w:t>建设项目竣工环境保护管理条例</w:t>
            </w:r>
            <w:r>
              <w:rPr>
                <w:rFonts w:hint="default" w:ascii="Times New Roman" w:hAnsi="Times New Roman" w:eastAsia="宋体" w:cs="Times New Roman"/>
                <w:color w:val="auto"/>
                <w:sz w:val="24"/>
                <w:highlight w:val="none"/>
              </w:rPr>
              <w:t>&gt;</w:t>
            </w:r>
            <w:r>
              <w:rPr>
                <w:rFonts w:hint="eastAsia" w:ascii="Times New Roman" w:hAnsi="Times New Roman" w:eastAsia="宋体" w:cs="Times New Roman"/>
                <w:color w:val="auto"/>
                <w:sz w:val="24"/>
                <w:highlight w:val="none"/>
              </w:rPr>
              <w:t>的决定》（国务院令第</w:t>
            </w:r>
            <w:r>
              <w:rPr>
                <w:rFonts w:hint="default" w:ascii="Times New Roman" w:hAnsi="Times New Roman" w:eastAsia="宋体" w:cs="Times New Roman"/>
                <w:color w:val="auto"/>
                <w:sz w:val="24"/>
                <w:highlight w:val="none"/>
              </w:rPr>
              <w:t>682</w:t>
            </w:r>
            <w:r>
              <w:rPr>
                <w:rFonts w:hint="eastAsia" w:ascii="Times New Roman" w:hAnsi="Times New Roman" w:eastAsia="宋体" w:cs="Times New Roman"/>
                <w:color w:val="auto"/>
                <w:sz w:val="24"/>
                <w:highlight w:val="none"/>
              </w:rPr>
              <w:t>号），以及《环保部关于发布</w:t>
            </w:r>
            <w:r>
              <w:rPr>
                <w:rFonts w:hint="default" w:ascii="Times New Roman" w:hAnsi="Times New Roman" w:eastAsia="宋体" w:cs="Times New Roman"/>
                <w:color w:val="auto"/>
                <w:sz w:val="24"/>
                <w:highlight w:val="none"/>
              </w:rPr>
              <w:t>&lt;</w:t>
            </w:r>
            <w:r>
              <w:rPr>
                <w:rFonts w:hint="eastAsia" w:ascii="Times New Roman" w:hAnsi="Times New Roman" w:eastAsia="宋体" w:cs="Times New Roman"/>
                <w:color w:val="auto"/>
                <w:sz w:val="24"/>
                <w:highlight w:val="none"/>
              </w:rPr>
              <w:t>建设项目竣工环境保护验收暂行办法</w:t>
            </w:r>
            <w:r>
              <w:rPr>
                <w:rFonts w:hint="default" w:ascii="Times New Roman" w:hAnsi="Times New Roman" w:eastAsia="宋体" w:cs="Times New Roman"/>
                <w:color w:val="auto"/>
                <w:sz w:val="24"/>
                <w:highlight w:val="none"/>
              </w:rPr>
              <w:t>&gt;</w:t>
            </w:r>
            <w:r>
              <w:rPr>
                <w:rFonts w:hint="eastAsia" w:ascii="Times New Roman" w:hAnsi="Times New Roman" w:eastAsia="宋体" w:cs="Times New Roman"/>
                <w:color w:val="auto"/>
                <w:sz w:val="24"/>
                <w:highlight w:val="none"/>
              </w:rPr>
              <w:t>的公告》（国环规环评〔</w:t>
            </w:r>
            <w:r>
              <w:rPr>
                <w:rFonts w:hint="default" w:ascii="Times New Roman" w:hAnsi="Times New Roman" w:eastAsia="宋体" w:cs="Times New Roman"/>
                <w:color w:val="auto"/>
                <w:sz w:val="24"/>
                <w:highlight w:val="none"/>
              </w:rPr>
              <w:t>2017</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rPr>
              <w:t>号文）要求，建设单位应严格落实建设项目的环保措施，强化项目环境管理，严格落实“三同时”制度、企业自主环保竣工验收制度。对各项环保工程措施“三同时”的落实情况、效果及工程建设对环境影响进行调查。本项目环境保护措施及“三同时”验收要求</w:t>
            </w:r>
            <w:r>
              <w:rPr>
                <w:rFonts w:hint="eastAsia" w:ascii="Times New Roman" w:hAnsi="Times New Roman" w:eastAsia="宋体" w:cs="Times New Roman"/>
                <w:color w:val="auto"/>
                <w:sz w:val="24"/>
                <w:highlight w:val="none"/>
                <w:lang w:val="en-US" w:eastAsia="zh-CN"/>
              </w:rPr>
              <w:t>见下表。</w:t>
            </w:r>
          </w:p>
          <w:p w14:paraId="13FE58B3">
            <w:pPr>
              <w:spacing w:line="360" w:lineRule="auto"/>
              <w:ind w:firstLine="422" w:firstLineChars="200"/>
              <w:jc w:val="center"/>
              <w:rPr>
                <w:rFonts w:hint="default"/>
                <w:b/>
                <w:bCs/>
                <w:color w:val="auto"/>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表5.3-1</w:t>
            </w:r>
            <w:r>
              <w:rPr>
                <w:rFonts w:hint="eastAsia"/>
                <w:b/>
                <w:bCs/>
                <w:color w:val="auto"/>
                <w:highlight w:val="none"/>
                <w:lang w:val="en-US" w:eastAsia="zh-CN"/>
              </w:rPr>
              <w:t>“三同时”环境设施验收一览表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67"/>
              <w:gridCol w:w="2768"/>
              <w:gridCol w:w="1154"/>
              <w:gridCol w:w="2041"/>
            </w:tblGrid>
            <w:tr w14:paraId="0195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14:paraId="35CC84AA">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类别</w:t>
                  </w:r>
                </w:p>
              </w:tc>
              <w:tc>
                <w:tcPr>
                  <w:tcW w:w="1267" w:type="dxa"/>
                  <w:noWrap w:val="0"/>
                  <w:vAlign w:val="center"/>
                </w:tcPr>
                <w:p w14:paraId="5DED1303">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项目</w:t>
                  </w:r>
                </w:p>
              </w:tc>
              <w:tc>
                <w:tcPr>
                  <w:tcW w:w="2768" w:type="dxa"/>
                  <w:noWrap w:val="0"/>
                  <w:vAlign w:val="center"/>
                </w:tcPr>
                <w:p w14:paraId="39956424">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环保治理措施</w:t>
                  </w:r>
                </w:p>
              </w:tc>
              <w:tc>
                <w:tcPr>
                  <w:tcW w:w="1154" w:type="dxa"/>
                  <w:noWrap w:val="0"/>
                  <w:vAlign w:val="center"/>
                </w:tcPr>
                <w:p w14:paraId="70D41F73">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环保验收措施</w:t>
                  </w:r>
                </w:p>
              </w:tc>
              <w:tc>
                <w:tcPr>
                  <w:tcW w:w="2041" w:type="dxa"/>
                  <w:noWrap w:val="0"/>
                  <w:vAlign w:val="center"/>
                </w:tcPr>
                <w:p w14:paraId="1D3AC438">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验收标准或内容</w:t>
                  </w:r>
                </w:p>
              </w:tc>
            </w:tr>
            <w:tr w14:paraId="5FC8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restart"/>
                  <w:noWrap w:val="0"/>
                  <w:vAlign w:val="center"/>
                </w:tcPr>
                <w:p w14:paraId="4A7049A0">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废水</w:t>
                  </w:r>
                </w:p>
              </w:tc>
              <w:tc>
                <w:tcPr>
                  <w:tcW w:w="1267" w:type="dxa"/>
                  <w:noWrap w:val="0"/>
                  <w:vAlign w:val="center"/>
                </w:tcPr>
                <w:p w14:paraId="52A83CED">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施工船舶生活污水</w:t>
                  </w:r>
                </w:p>
              </w:tc>
              <w:tc>
                <w:tcPr>
                  <w:tcW w:w="2768" w:type="dxa"/>
                  <w:noWrap w:val="0"/>
                  <w:vAlign w:val="center"/>
                </w:tcPr>
                <w:p w14:paraId="4434024D">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施工船舶生活污水采用船上配备的储污水箱进行收集和贮存，上岸后委托有处理能力单位回收处理，禁止在施工水域排放。</w:t>
                  </w:r>
                </w:p>
              </w:tc>
              <w:tc>
                <w:tcPr>
                  <w:tcW w:w="1154" w:type="dxa"/>
                  <w:noWrap w:val="0"/>
                  <w:vAlign w:val="center"/>
                </w:tcPr>
                <w:p w14:paraId="05C2106A">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vMerge w:val="restart"/>
                  <w:noWrap w:val="0"/>
                  <w:vAlign w:val="center"/>
                </w:tcPr>
                <w:p w14:paraId="4B358712">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《船舶水污染物排放控制标准》（GB3552-2018）</w:t>
                  </w:r>
                </w:p>
              </w:tc>
            </w:tr>
            <w:tr w14:paraId="644E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noWrap w:val="0"/>
                  <w:vAlign w:val="center"/>
                </w:tcPr>
                <w:p w14:paraId="16BA522C">
                  <w:pPr>
                    <w:pStyle w:val="54"/>
                    <w:jc w:val="center"/>
                    <w:rPr>
                      <w:rFonts w:hint="default" w:ascii="Times New Roman" w:hAnsi="Times New Roman" w:eastAsia="宋体" w:cs="Times New Roman"/>
                      <w:color w:val="auto"/>
                      <w:sz w:val="21"/>
                      <w:szCs w:val="21"/>
                      <w:highlight w:val="none"/>
                      <w:vertAlign w:val="baseline"/>
                      <w:lang w:val="en-US" w:eastAsia="zh-CN"/>
                    </w:rPr>
                  </w:pPr>
                </w:p>
              </w:tc>
              <w:tc>
                <w:tcPr>
                  <w:tcW w:w="1267" w:type="dxa"/>
                  <w:noWrap w:val="0"/>
                  <w:vAlign w:val="center"/>
                </w:tcPr>
                <w:p w14:paraId="0C9D683A">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施工船舶含油污水</w:t>
                  </w:r>
                </w:p>
              </w:tc>
              <w:tc>
                <w:tcPr>
                  <w:tcW w:w="2768" w:type="dxa"/>
                  <w:noWrap w:val="0"/>
                  <w:vAlign w:val="center"/>
                </w:tcPr>
                <w:p w14:paraId="3F938FD2">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施工船舶含油污水交由具有相应接收能力从事船舶污染物接收的单位接收处理，禁止在施工水域排放。</w:t>
                  </w:r>
                </w:p>
              </w:tc>
              <w:tc>
                <w:tcPr>
                  <w:tcW w:w="1154" w:type="dxa"/>
                  <w:noWrap w:val="0"/>
                  <w:vAlign w:val="center"/>
                </w:tcPr>
                <w:p w14:paraId="55E3AE24">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vMerge w:val="continue"/>
                  <w:noWrap w:val="0"/>
                  <w:vAlign w:val="center"/>
                </w:tcPr>
                <w:p w14:paraId="41FF67A2">
                  <w:pPr>
                    <w:pStyle w:val="54"/>
                    <w:jc w:val="center"/>
                    <w:rPr>
                      <w:rFonts w:hint="default" w:ascii="Times New Roman" w:hAnsi="Times New Roman" w:eastAsia="宋体" w:cs="Times New Roman"/>
                      <w:color w:val="auto"/>
                      <w:sz w:val="21"/>
                      <w:szCs w:val="21"/>
                      <w:highlight w:val="none"/>
                      <w:vertAlign w:val="baseline"/>
                      <w:lang w:val="en-US" w:eastAsia="zh-CN"/>
                    </w:rPr>
                  </w:pPr>
                </w:p>
              </w:tc>
            </w:tr>
            <w:tr w14:paraId="4263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14:paraId="2829A357">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废气</w:t>
                  </w:r>
                </w:p>
              </w:tc>
              <w:tc>
                <w:tcPr>
                  <w:tcW w:w="1267" w:type="dxa"/>
                  <w:noWrap w:val="0"/>
                  <w:vAlign w:val="center"/>
                </w:tcPr>
                <w:p w14:paraId="23923072">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施工船舶废气</w:t>
                  </w:r>
                </w:p>
              </w:tc>
              <w:tc>
                <w:tcPr>
                  <w:tcW w:w="2768" w:type="dxa"/>
                  <w:noWrap w:val="0"/>
                  <w:vAlign w:val="center"/>
                </w:tcPr>
                <w:p w14:paraId="21982A4C">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施工船舶使用合格的燃料油，选用硫含量小于等于0.5%m/m的船用燃油；加强施工船舶的日常维护保养，确保船舶正常运行，避免不正常运行产生的废气。</w:t>
                  </w:r>
                </w:p>
              </w:tc>
              <w:tc>
                <w:tcPr>
                  <w:tcW w:w="1154" w:type="dxa"/>
                  <w:noWrap w:val="0"/>
                  <w:vAlign w:val="center"/>
                </w:tcPr>
                <w:p w14:paraId="47D40CD1">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571A7769">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《船舶发动机排气污染物排放限值及测量方法（中国第一、二阶段）》（GB15097-2016）第二阶段标准</w:t>
                  </w:r>
                </w:p>
              </w:tc>
            </w:tr>
            <w:tr w14:paraId="39F0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restart"/>
                  <w:noWrap w:val="0"/>
                  <w:vAlign w:val="center"/>
                </w:tcPr>
                <w:p w14:paraId="71D45B36">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固废</w:t>
                  </w:r>
                </w:p>
              </w:tc>
              <w:tc>
                <w:tcPr>
                  <w:tcW w:w="1267" w:type="dxa"/>
                  <w:noWrap w:val="0"/>
                  <w:vAlign w:val="center"/>
                </w:tcPr>
                <w:p w14:paraId="4F8823A9">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施工船舶生活垃圾</w:t>
                  </w:r>
                </w:p>
              </w:tc>
              <w:tc>
                <w:tcPr>
                  <w:tcW w:w="2768" w:type="dxa"/>
                  <w:noWrap w:val="0"/>
                  <w:vAlign w:val="center"/>
                </w:tcPr>
                <w:p w14:paraId="29EB0423">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施工船舶生活垃圾应做好日常的收集、分类与储存工作，定期接收至岸上，交由环卫部门接收处理，严禁将船舶生活垃圾倾倒入海污染水域。</w:t>
                  </w:r>
                </w:p>
              </w:tc>
              <w:tc>
                <w:tcPr>
                  <w:tcW w:w="1154" w:type="dxa"/>
                  <w:noWrap w:val="0"/>
                  <w:vAlign w:val="center"/>
                </w:tcPr>
                <w:p w14:paraId="03073983">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相关处置协议</w:t>
                  </w:r>
                </w:p>
              </w:tc>
              <w:tc>
                <w:tcPr>
                  <w:tcW w:w="2041" w:type="dxa"/>
                  <w:noWrap w:val="0"/>
                  <w:vAlign w:val="center"/>
                </w:tcPr>
                <w:p w14:paraId="1840AD46">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《船舶水污染物排放控制标准》（GB3552-2018）</w:t>
                  </w:r>
                </w:p>
              </w:tc>
            </w:tr>
            <w:tr w14:paraId="4D79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noWrap w:val="0"/>
                  <w:vAlign w:val="center"/>
                </w:tcPr>
                <w:p w14:paraId="5773C1BD">
                  <w:pPr>
                    <w:pStyle w:val="54"/>
                    <w:jc w:val="center"/>
                    <w:rPr>
                      <w:rFonts w:hint="default" w:ascii="Times New Roman" w:hAnsi="Times New Roman" w:eastAsia="宋体" w:cs="Times New Roman"/>
                      <w:color w:val="auto"/>
                      <w:sz w:val="21"/>
                      <w:szCs w:val="21"/>
                      <w:highlight w:val="none"/>
                      <w:vertAlign w:val="baseline"/>
                      <w:lang w:val="en-US" w:eastAsia="zh-CN"/>
                    </w:rPr>
                  </w:pPr>
                </w:p>
              </w:tc>
              <w:tc>
                <w:tcPr>
                  <w:tcW w:w="1267" w:type="dxa"/>
                  <w:noWrap w:val="0"/>
                  <w:vAlign w:val="center"/>
                </w:tcPr>
                <w:p w14:paraId="66D15EEB">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疏浚废弃物</w:t>
                  </w:r>
                </w:p>
              </w:tc>
              <w:tc>
                <w:tcPr>
                  <w:tcW w:w="2768" w:type="dxa"/>
                  <w:noWrap w:val="0"/>
                  <w:vAlign w:val="center"/>
                </w:tcPr>
                <w:p w14:paraId="3116DD98">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疏浚淤泥拟采用水下抛卸方式，外抛至防城港2＃倾倒区。</w:t>
                  </w:r>
                </w:p>
              </w:tc>
              <w:tc>
                <w:tcPr>
                  <w:tcW w:w="1154" w:type="dxa"/>
                  <w:noWrap w:val="0"/>
                  <w:vAlign w:val="center"/>
                </w:tcPr>
                <w:p w14:paraId="195FF0F2">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倾倒许可证及</w:t>
                  </w:r>
                  <w:r>
                    <w:rPr>
                      <w:rFonts w:hint="default" w:ascii="Times New Roman" w:hAnsi="Times New Roman" w:eastAsia="宋体" w:cs="Times New Roman"/>
                      <w:b w:val="0"/>
                      <w:bCs w:val="0"/>
                      <w:color w:val="auto"/>
                      <w:sz w:val="21"/>
                      <w:szCs w:val="21"/>
                      <w:highlight w:val="none"/>
                    </w:rPr>
                    <w:t>相关处置协议</w:t>
                  </w:r>
                </w:p>
              </w:tc>
              <w:tc>
                <w:tcPr>
                  <w:tcW w:w="2041" w:type="dxa"/>
                  <w:noWrap w:val="0"/>
                  <w:vAlign w:val="center"/>
                </w:tcPr>
                <w:p w14:paraId="3BC60C59">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疏浚物抛卸至指定区域</w:t>
                  </w:r>
                </w:p>
              </w:tc>
            </w:tr>
            <w:tr w14:paraId="7B7A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14:paraId="48333F96">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噪声</w:t>
                  </w:r>
                </w:p>
              </w:tc>
              <w:tc>
                <w:tcPr>
                  <w:tcW w:w="1267" w:type="dxa"/>
                  <w:noWrap w:val="0"/>
                  <w:vAlign w:val="center"/>
                </w:tcPr>
                <w:p w14:paraId="0C13E76A">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施工船舶噪声</w:t>
                  </w:r>
                </w:p>
              </w:tc>
              <w:tc>
                <w:tcPr>
                  <w:tcW w:w="2768" w:type="dxa"/>
                  <w:noWrap w:val="0"/>
                  <w:vAlign w:val="center"/>
                </w:tcPr>
                <w:p w14:paraId="13A318EC">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施工船舶采用低噪声船舶；做好施工船舶的维护保养工作，使施工机械保持良好的运行状态；加强施工船舶的管理，避免不必要的船舶汽笛鸣放。</w:t>
                  </w:r>
                </w:p>
              </w:tc>
              <w:tc>
                <w:tcPr>
                  <w:tcW w:w="1154" w:type="dxa"/>
                  <w:noWrap w:val="0"/>
                  <w:vAlign w:val="center"/>
                </w:tcPr>
                <w:p w14:paraId="1878CAB4">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0AA12256">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《建筑施工环境噪声排放标准》（GB12523-</w:t>
                  </w:r>
                  <w:r>
                    <w:rPr>
                      <w:rFonts w:hint="eastAsia" w:ascii="Times New Roman" w:hAnsi="Times New Roman" w:eastAsia="宋体" w:cs="Times New Roman"/>
                      <w:b w:val="0"/>
                      <w:bCs w:val="0"/>
                      <w:color w:val="auto"/>
                      <w:sz w:val="21"/>
                      <w:szCs w:val="21"/>
                      <w:highlight w:val="none"/>
                      <w:lang w:val="en-US" w:eastAsia="zh-CN"/>
                    </w:rPr>
                    <w:t>2025</w:t>
                  </w:r>
                  <w:r>
                    <w:rPr>
                      <w:rFonts w:hint="default" w:ascii="Times New Roman" w:hAnsi="Times New Roman" w:eastAsia="宋体" w:cs="Times New Roman"/>
                      <w:b w:val="0"/>
                      <w:bCs w:val="0"/>
                      <w:color w:val="auto"/>
                      <w:sz w:val="21"/>
                      <w:szCs w:val="21"/>
                      <w:highlight w:val="none"/>
                    </w:rPr>
                    <w:t>）</w:t>
                  </w:r>
                </w:p>
              </w:tc>
            </w:tr>
            <w:tr w14:paraId="6751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14:paraId="39481C36">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环境风险</w:t>
                  </w:r>
                </w:p>
              </w:tc>
              <w:tc>
                <w:tcPr>
                  <w:tcW w:w="1267" w:type="dxa"/>
                  <w:noWrap w:val="0"/>
                  <w:vAlign w:val="center"/>
                </w:tcPr>
                <w:p w14:paraId="2DF7145C">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环境风险防范措施</w:t>
                  </w:r>
                </w:p>
              </w:tc>
              <w:tc>
                <w:tcPr>
                  <w:tcW w:w="2768" w:type="dxa"/>
                  <w:noWrap w:val="0"/>
                  <w:vAlign w:val="center"/>
                </w:tcPr>
                <w:p w14:paraId="381D4D9D">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做好风险防范措施</w:t>
                  </w:r>
                </w:p>
              </w:tc>
              <w:tc>
                <w:tcPr>
                  <w:tcW w:w="1154" w:type="dxa"/>
                  <w:noWrap w:val="0"/>
                  <w:vAlign w:val="center"/>
                </w:tcPr>
                <w:p w14:paraId="1923BE17">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是否落实</w:t>
                  </w:r>
                </w:p>
              </w:tc>
              <w:tc>
                <w:tcPr>
                  <w:tcW w:w="2041" w:type="dxa"/>
                  <w:noWrap w:val="0"/>
                  <w:vAlign w:val="center"/>
                </w:tcPr>
                <w:p w14:paraId="7B4B20C0">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《建设项目环境风险评价技术导则》</w:t>
                  </w:r>
                </w:p>
              </w:tc>
            </w:tr>
            <w:tr w14:paraId="2EC9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14:paraId="0CE00C8A">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生态</w:t>
                  </w:r>
                </w:p>
              </w:tc>
              <w:tc>
                <w:tcPr>
                  <w:tcW w:w="1267" w:type="dxa"/>
                  <w:noWrap w:val="0"/>
                  <w:vAlign w:val="center"/>
                </w:tcPr>
                <w:p w14:paraId="18CCFAED">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生态补偿</w:t>
                  </w:r>
                </w:p>
              </w:tc>
              <w:tc>
                <w:tcPr>
                  <w:tcW w:w="2768" w:type="dxa"/>
                  <w:noWrap w:val="0"/>
                  <w:vAlign w:val="center"/>
                </w:tcPr>
                <w:p w14:paraId="648B6E93">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委托专业的第三方机构开展生态补偿工作，具体的补偿措施和方案在实施之前，建设单位应协调主管部门确定</w:t>
                  </w:r>
                </w:p>
              </w:tc>
              <w:tc>
                <w:tcPr>
                  <w:tcW w:w="1154" w:type="dxa"/>
                  <w:noWrap w:val="0"/>
                  <w:vAlign w:val="center"/>
                </w:tcPr>
                <w:p w14:paraId="78A62FBE">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相关委托协议及生态修复文件、照片</w:t>
                  </w:r>
                </w:p>
              </w:tc>
              <w:tc>
                <w:tcPr>
                  <w:tcW w:w="2041" w:type="dxa"/>
                  <w:noWrap w:val="0"/>
                  <w:vAlign w:val="center"/>
                </w:tcPr>
                <w:p w14:paraId="4C98824B">
                  <w:pPr>
                    <w:pStyle w:val="54"/>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eastAsia="zh-CN"/>
                    </w:rPr>
                    <w:t>实施</w:t>
                  </w:r>
                  <w:r>
                    <w:rPr>
                      <w:rFonts w:hint="default" w:ascii="Times New Roman" w:hAnsi="Times New Roman" w:eastAsia="宋体" w:cs="Times New Roman"/>
                      <w:b w:val="0"/>
                      <w:bCs w:val="0"/>
                      <w:color w:val="auto"/>
                      <w:sz w:val="21"/>
                      <w:szCs w:val="21"/>
                      <w:highlight w:val="none"/>
                    </w:rPr>
                    <w:t>生态补偿方案</w:t>
                  </w:r>
                </w:p>
              </w:tc>
            </w:tr>
          </w:tbl>
          <w:p w14:paraId="0F7A4004">
            <w:pPr>
              <w:pStyle w:val="54"/>
              <w:rPr>
                <w:rFonts w:hint="default"/>
                <w:color w:val="auto"/>
                <w:highlight w:val="none"/>
                <w:lang w:val="en-US" w:eastAsia="zh-CN"/>
              </w:rPr>
            </w:pPr>
          </w:p>
        </w:tc>
      </w:tr>
      <w:tr w14:paraId="77A44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3" w:hRule="atLeast"/>
          <w:jc w:val="center"/>
        </w:trPr>
        <w:tc>
          <w:tcPr>
            <w:tcW w:w="746" w:type="dxa"/>
            <w:noWrap w:val="0"/>
            <w:tcMar>
              <w:left w:w="28" w:type="dxa"/>
              <w:right w:w="28" w:type="dxa"/>
            </w:tcMar>
            <w:vAlign w:val="center"/>
          </w:tcPr>
          <w:p w14:paraId="2FA99086">
            <w:pPr>
              <w:adjustRightInd w:val="0"/>
              <w:snapToGrid w:val="0"/>
              <w:jc w:val="center"/>
              <w:rPr>
                <w:rFonts w:hint="eastAsia" w:ascii="宋体" w:hAnsi="宋体" w:cs="宋体"/>
                <w:color w:val="auto"/>
                <w:kern w:val="0"/>
                <w:sz w:val="24"/>
                <w:szCs w:val="21"/>
                <w:highlight w:val="none"/>
                <w:lang w:eastAsia="zh-CN"/>
              </w:rPr>
            </w:pPr>
            <w:r>
              <w:rPr>
                <w:rFonts w:hint="eastAsia" w:ascii="宋体" w:hAnsi="宋体" w:cs="宋体"/>
                <w:color w:val="auto"/>
                <w:kern w:val="0"/>
                <w:sz w:val="24"/>
                <w:szCs w:val="21"/>
                <w:highlight w:val="none"/>
                <w:lang w:eastAsia="zh-CN"/>
              </w:rPr>
              <w:t>环保投资</w:t>
            </w:r>
          </w:p>
        </w:tc>
        <w:tc>
          <w:tcPr>
            <w:tcW w:w="8162" w:type="dxa"/>
            <w:noWrap w:val="0"/>
            <w:vAlign w:val="center"/>
          </w:tcPr>
          <w:p w14:paraId="239D4172">
            <w:pPr>
              <w:adjustRightInd w:val="0"/>
              <w:snapToGrid w:val="0"/>
              <w:spacing w:line="360" w:lineRule="auto"/>
              <w:rPr>
                <w:b/>
                <w:bCs/>
                <w:color w:val="auto"/>
                <w:sz w:val="28"/>
                <w:szCs w:val="28"/>
                <w:highlight w:val="none"/>
              </w:rPr>
            </w:pPr>
            <w:r>
              <w:rPr>
                <w:rFonts w:hint="eastAsia"/>
                <w:b/>
                <w:bCs/>
                <w:color w:val="auto"/>
                <w:sz w:val="28"/>
                <w:szCs w:val="28"/>
                <w:highlight w:val="none"/>
                <w:lang w:val="en-US" w:eastAsia="zh-CN"/>
              </w:rPr>
              <w:t>5.4.1</w:t>
            </w:r>
            <w:r>
              <w:rPr>
                <w:rFonts w:hint="eastAsia"/>
                <w:b/>
                <w:bCs/>
                <w:color w:val="auto"/>
                <w:sz w:val="28"/>
                <w:szCs w:val="28"/>
                <w:highlight w:val="none"/>
              </w:rPr>
              <w:t>环保投资</w:t>
            </w:r>
          </w:p>
          <w:p w14:paraId="2EBD7697">
            <w:pPr>
              <w:spacing w:line="360" w:lineRule="auto"/>
              <w:ind w:firstLine="480" w:firstLineChars="200"/>
              <w:rPr>
                <w:rFonts w:hint="eastAsia"/>
                <w:color w:val="auto"/>
                <w:highlight w:val="none"/>
              </w:rPr>
            </w:pPr>
            <w:r>
              <w:rPr>
                <w:rFonts w:hint="eastAsia"/>
                <w:color w:val="auto"/>
                <w:sz w:val="24"/>
                <w:highlight w:val="none"/>
                <w:lang w:eastAsia="zh-CN"/>
              </w:rPr>
              <w:t>项目总投资</w:t>
            </w:r>
            <w:r>
              <w:rPr>
                <w:rFonts w:hint="eastAsia"/>
                <w:color w:val="auto"/>
                <w:sz w:val="24"/>
                <w:highlight w:val="none"/>
                <w:lang w:val="en-US" w:eastAsia="zh-CN"/>
              </w:rPr>
              <w:t>300.0万元，其中环保投资</w:t>
            </w:r>
            <w:r>
              <w:rPr>
                <w:rFonts w:hint="eastAsia"/>
                <w:color w:val="auto"/>
                <w:sz w:val="24"/>
                <w:highlight w:val="none"/>
                <w:u w:val="single"/>
                <w:lang w:val="en-US" w:eastAsia="zh-CN"/>
              </w:rPr>
              <w:t>70.34万元，占总投资的23.45%</w:t>
            </w:r>
            <w:r>
              <w:rPr>
                <w:rFonts w:hint="eastAsia"/>
                <w:color w:val="auto"/>
                <w:sz w:val="24"/>
                <w:highlight w:val="none"/>
                <w:lang w:val="en-US" w:eastAsia="zh-CN"/>
              </w:rPr>
              <w:t>。</w:t>
            </w:r>
            <w:r>
              <w:rPr>
                <w:rFonts w:hint="eastAsia"/>
                <w:color w:val="auto"/>
                <w:sz w:val="24"/>
                <w:highlight w:val="none"/>
              </w:rPr>
              <w:t>根据本项目采取的环保措施，项目环保投资见下表。</w:t>
            </w:r>
          </w:p>
          <w:p w14:paraId="0D74E7FB">
            <w:pPr>
              <w:adjustRightInd w:val="0"/>
              <w:snapToGrid w:val="0"/>
              <w:ind w:firstLine="391"/>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5.4-1</w:t>
            </w:r>
            <w:r>
              <w:rPr>
                <w:rFonts w:hint="eastAsia"/>
                <w:b/>
                <w:bCs/>
                <w:color w:val="auto"/>
                <w:szCs w:val="21"/>
                <w:highlight w:val="none"/>
              </w:rPr>
              <w:t>环保投资</w:t>
            </w:r>
            <w:r>
              <w:rPr>
                <w:b/>
                <w:bCs/>
                <w:color w:val="auto"/>
                <w:szCs w:val="21"/>
                <w:highlight w:val="none"/>
              </w:rPr>
              <w:t>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376"/>
              <w:gridCol w:w="3749"/>
              <w:gridCol w:w="820"/>
              <w:gridCol w:w="1327"/>
            </w:tblGrid>
            <w:tr w14:paraId="7113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noWrap w:val="0"/>
                  <w:vAlign w:val="center"/>
                </w:tcPr>
                <w:p w14:paraId="35C61042">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阶段</w:t>
                  </w:r>
                </w:p>
              </w:tc>
              <w:tc>
                <w:tcPr>
                  <w:tcW w:w="1376" w:type="dxa"/>
                  <w:noWrap w:val="0"/>
                  <w:vAlign w:val="center"/>
                </w:tcPr>
                <w:p w14:paraId="2580497F">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类别</w:t>
                  </w:r>
                </w:p>
              </w:tc>
              <w:tc>
                <w:tcPr>
                  <w:tcW w:w="3749" w:type="dxa"/>
                  <w:noWrap w:val="0"/>
                  <w:vAlign w:val="center"/>
                </w:tcPr>
                <w:p w14:paraId="6948DEE3">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环保措施</w:t>
                  </w:r>
                </w:p>
              </w:tc>
              <w:tc>
                <w:tcPr>
                  <w:tcW w:w="820" w:type="dxa"/>
                  <w:noWrap w:val="0"/>
                  <w:vAlign w:val="center"/>
                </w:tcPr>
                <w:p w14:paraId="51552B3F">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金额</w:t>
                  </w:r>
                </w:p>
                <w:p w14:paraId="623E334A">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（万元）</w:t>
                  </w:r>
                </w:p>
              </w:tc>
              <w:tc>
                <w:tcPr>
                  <w:tcW w:w="1327" w:type="dxa"/>
                  <w:noWrap w:val="0"/>
                  <w:vAlign w:val="center"/>
                </w:tcPr>
                <w:p w14:paraId="791B4381">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备注</w:t>
                  </w:r>
                </w:p>
              </w:tc>
            </w:tr>
            <w:tr w14:paraId="6BA9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restart"/>
                  <w:noWrap w:val="0"/>
                  <w:vAlign w:val="center"/>
                </w:tcPr>
                <w:p w14:paraId="2424D9D9">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w:t>
                  </w:r>
                </w:p>
              </w:tc>
              <w:tc>
                <w:tcPr>
                  <w:tcW w:w="1376" w:type="dxa"/>
                  <w:noWrap w:val="0"/>
                  <w:vAlign w:val="center"/>
                </w:tcPr>
                <w:p w14:paraId="41E7964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船舶污染物</w:t>
                  </w:r>
                </w:p>
              </w:tc>
              <w:tc>
                <w:tcPr>
                  <w:tcW w:w="3749" w:type="dxa"/>
                  <w:noWrap w:val="0"/>
                  <w:vAlign w:val="center"/>
                </w:tcPr>
                <w:p w14:paraId="45290DF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收集施工船舶生活污水、船舶舱底含油污水、船舶生活垃圾，交由有接收能力的单位接收处理</w:t>
                  </w:r>
                </w:p>
              </w:tc>
              <w:tc>
                <w:tcPr>
                  <w:tcW w:w="820" w:type="dxa"/>
                  <w:noWrap w:val="0"/>
                  <w:vAlign w:val="center"/>
                </w:tcPr>
                <w:p w14:paraId="57CBC1FD">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p>
              </w:tc>
              <w:tc>
                <w:tcPr>
                  <w:tcW w:w="1327" w:type="dxa"/>
                  <w:noWrap w:val="0"/>
                  <w:vAlign w:val="center"/>
                </w:tcPr>
                <w:p w14:paraId="35519B3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F1D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33495518">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6F903A4C">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废水</w:t>
                  </w:r>
                </w:p>
              </w:tc>
              <w:tc>
                <w:tcPr>
                  <w:tcW w:w="3749" w:type="dxa"/>
                  <w:noWrap w:val="0"/>
                  <w:vAlign w:val="center"/>
                </w:tcPr>
                <w:p w14:paraId="0C45C20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防污帘</w:t>
                  </w:r>
                </w:p>
              </w:tc>
              <w:tc>
                <w:tcPr>
                  <w:tcW w:w="820" w:type="dxa"/>
                  <w:noWrap w:val="0"/>
                  <w:vAlign w:val="center"/>
                </w:tcPr>
                <w:p w14:paraId="0153CCA6">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w:t>
                  </w:r>
                </w:p>
              </w:tc>
              <w:tc>
                <w:tcPr>
                  <w:tcW w:w="1327" w:type="dxa"/>
                  <w:noWrap w:val="0"/>
                  <w:vAlign w:val="center"/>
                </w:tcPr>
                <w:p w14:paraId="1ACB03E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7316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589D78F0">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5F162F29">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风险防范</w:t>
                  </w:r>
                </w:p>
              </w:tc>
              <w:tc>
                <w:tcPr>
                  <w:tcW w:w="3749" w:type="dxa"/>
                  <w:noWrap w:val="0"/>
                  <w:vAlign w:val="center"/>
                </w:tcPr>
                <w:p w14:paraId="437849D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溢油应急设施、吸油毡等物资</w:t>
                  </w:r>
                </w:p>
              </w:tc>
              <w:tc>
                <w:tcPr>
                  <w:tcW w:w="820" w:type="dxa"/>
                  <w:noWrap w:val="0"/>
                  <w:vAlign w:val="center"/>
                </w:tcPr>
                <w:p w14:paraId="6796BAF9">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327" w:type="dxa"/>
                  <w:noWrap w:val="0"/>
                  <w:vAlign w:val="center"/>
                </w:tcPr>
                <w:p w14:paraId="5A677B94">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u w:val="single"/>
                      <w:lang w:val="en-US" w:eastAsia="zh-CN"/>
                    </w:rPr>
                    <w:t>建设单位提供</w:t>
                  </w:r>
                </w:p>
              </w:tc>
            </w:tr>
            <w:tr w14:paraId="4AE8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4" w:type="dxa"/>
                  <w:vMerge w:val="continue"/>
                  <w:noWrap w:val="0"/>
                  <w:vAlign w:val="center"/>
                </w:tcPr>
                <w:p w14:paraId="5D3A9D83">
                  <w:pPr>
                    <w:adjustRightInd w:val="0"/>
                    <w:snapToGrid w:val="0"/>
                    <w:jc w:val="center"/>
                    <w:rPr>
                      <w:rFonts w:hint="eastAsia" w:ascii="Times New Roman" w:hAnsi="Times New Roman" w:eastAsia="宋体" w:cs="Times New Roman"/>
                      <w:color w:val="auto"/>
                      <w:highlight w:val="none"/>
                      <w:lang w:val="en-US" w:eastAsia="zh-CN"/>
                    </w:rPr>
                  </w:pPr>
                </w:p>
              </w:tc>
              <w:tc>
                <w:tcPr>
                  <w:tcW w:w="1376" w:type="dxa"/>
                  <w:noWrap w:val="0"/>
                  <w:vAlign w:val="center"/>
                </w:tcPr>
                <w:p w14:paraId="154C109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环境监测</w:t>
                  </w:r>
                </w:p>
              </w:tc>
              <w:tc>
                <w:tcPr>
                  <w:tcW w:w="3749" w:type="dxa"/>
                  <w:noWrap w:val="0"/>
                  <w:vAlign w:val="center"/>
                </w:tcPr>
                <w:p w14:paraId="257D7950">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施工期水质、沉积物、生态等监测费用</w:t>
                  </w:r>
                </w:p>
              </w:tc>
              <w:tc>
                <w:tcPr>
                  <w:tcW w:w="820" w:type="dxa"/>
                  <w:noWrap w:val="0"/>
                  <w:vAlign w:val="center"/>
                </w:tcPr>
                <w:p w14:paraId="3069C77D">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w:t>
                  </w:r>
                </w:p>
              </w:tc>
              <w:tc>
                <w:tcPr>
                  <w:tcW w:w="1327" w:type="dxa"/>
                  <w:noWrap w:val="0"/>
                  <w:vAlign w:val="center"/>
                </w:tcPr>
                <w:p w14:paraId="7278C78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4FB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40" w:type="dxa"/>
                  <w:gridSpan w:val="2"/>
                  <w:noWrap w:val="0"/>
                  <w:vAlign w:val="center"/>
                </w:tcPr>
                <w:p w14:paraId="3F35044C">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环保监理</w:t>
                  </w:r>
                </w:p>
              </w:tc>
              <w:tc>
                <w:tcPr>
                  <w:tcW w:w="3749" w:type="dxa"/>
                  <w:noWrap w:val="0"/>
                  <w:vAlign w:val="center"/>
                </w:tcPr>
                <w:p w14:paraId="758653EE">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监理费</w:t>
                  </w:r>
                </w:p>
              </w:tc>
              <w:tc>
                <w:tcPr>
                  <w:tcW w:w="820" w:type="dxa"/>
                  <w:noWrap w:val="0"/>
                  <w:vAlign w:val="center"/>
                </w:tcPr>
                <w:p w14:paraId="5EBDF1F3">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w:t>
                  </w:r>
                </w:p>
              </w:tc>
              <w:tc>
                <w:tcPr>
                  <w:tcW w:w="1327" w:type="dxa"/>
                  <w:noWrap w:val="0"/>
                  <w:vAlign w:val="center"/>
                </w:tcPr>
                <w:p w14:paraId="39F5A3B5">
                  <w:pPr>
                    <w:adjustRightInd w:val="0"/>
                    <w:snapToGrid w:val="0"/>
                    <w:jc w:val="center"/>
                    <w:rPr>
                      <w:rFonts w:hint="eastAsia" w:ascii="Times New Roman" w:hAnsi="Times New Roman" w:eastAsia="宋体" w:cs="Times New Roman"/>
                      <w:color w:val="auto"/>
                      <w:highlight w:val="none"/>
                      <w:lang w:val="en-US" w:eastAsia="zh-CN"/>
                    </w:rPr>
                  </w:pPr>
                </w:p>
              </w:tc>
            </w:tr>
            <w:tr w14:paraId="68AA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2040" w:type="dxa"/>
                  <w:gridSpan w:val="2"/>
                  <w:noWrap w:val="0"/>
                  <w:vAlign w:val="center"/>
                </w:tcPr>
                <w:p w14:paraId="095B6A21">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生态补偿</w:t>
                  </w:r>
                </w:p>
              </w:tc>
              <w:tc>
                <w:tcPr>
                  <w:tcW w:w="3749" w:type="dxa"/>
                  <w:noWrap w:val="0"/>
                  <w:vAlign w:val="center"/>
                </w:tcPr>
                <w:p w14:paraId="071968C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水生生态补偿（渔业增殖放流等）</w:t>
                  </w:r>
                </w:p>
              </w:tc>
              <w:tc>
                <w:tcPr>
                  <w:tcW w:w="820" w:type="dxa"/>
                  <w:noWrap w:val="0"/>
                  <w:vAlign w:val="center"/>
                </w:tcPr>
                <w:p w14:paraId="5C8EB331">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u w:val="single"/>
                      <w:lang w:val="en-US" w:eastAsia="zh-CN"/>
                    </w:rPr>
                    <w:t>29.84</w:t>
                  </w:r>
                </w:p>
              </w:tc>
              <w:tc>
                <w:tcPr>
                  <w:tcW w:w="1327" w:type="dxa"/>
                  <w:noWrap w:val="0"/>
                  <w:vAlign w:val="center"/>
                </w:tcPr>
                <w:p w14:paraId="34547368">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影响期限低于3年，按照3年进行补偿</w:t>
                  </w:r>
                </w:p>
              </w:tc>
            </w:tr>
            <w:tr w14:paraId="7246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89" w:type="dxa"/>
                  <w:gridSpan w:val="3"/>
                  <w:noWrap w:val="0"/>
                  <w:vAlign w:val="center"/>
                </w:tcPr>
                <w:p w14:paraId="716B6164">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合计/</w:t>
                  </w:r>
                </w:p>
              </w:tc>
              <w:tc>
                <w:tcPr>
                  <w:tcW w:w="820" w:type="dxa"/>
                  <w:noWrap w:val="0"/>
                  <w:vAlign w:val="center"/>
                </w:tcPr>
                <w:p w14:paraId="37F7C395">
                  <w:pPr>
                    <w:adjustRightInd w:val="0"/>
                    <w:snapToGrid w:val="0"/>
                    <w:jc w:val="center"/>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70.34</w:t>
                  </w:r>
                </w:p>
              </w:tc>
              <w:tc>
                <w:tcPr>
                  <w:tcW w:w="1327" w:type="dxa"/>
                  <w:noWrap w:val="0"/>
                  <w:vAlign w:val="center"/>
                </w:tcPr>
                <w:p w14:paraId="7243E6ED">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bl>
          <w:p w14:paraId="7B9D52C1">
            <w:pPr>
              <w:pStyle w:val="20"/>
              <w:rPr>
                <w:bCs/>
                <w:color w:val="auto"/>
                <w:spacing w:val="-10"/>
                <w:highlight w:val="none"/>
              </w:rPr>
            </w:pPr>
          </w:p>
        </w:tc>
      </w:tr>
    </w:tbl>
    <w:p w14:paraId="2105E2CF">
      <w:pPr>
        <w:adjustRightInd w:val="0"/>
        <w:snapToGrid w:val="0"/>
        <w:spacing w:line="360" w:lineRule="auto"/>
        <w:rPr>
          <w:b/>
          <w:color w:val="auto"/>
          <w:kern w:val="0"/>
          <w:sz w:val="28"/>
          <w:szCs w:val="28"/>
          <w:highlight w:val="none"/>
        </w:rPr>
        <w:sectPr>
          <w:pgSz w:w="11907" w:h="16840"/>
          <w:pgMar w:top="1701" w:right="1531" w:bottom="2127" w:left="1531" w:header="851" w:footer="851" w:gutter="0"/>
          <w:cols w:space="720" w:num="1"/>
          <w:docGrid w:linePitch="312" w:charSpace="0"/>
        </w:sectPr>
      </w:pPr>
    </w:p>
    <w:p w14:paraId="607BE5BA">
      <w:pPr>
        <w:pStyle w:val="2"/>
        <w:snapToGrid/>
        <w:spacing w:before="0" w:after="0" w:line="360" w:lineRule="auto"/>
        <w:jc w:val="center"/>
        <w:rPr>
          <w:color w:val="auto"/>
          <w:highlight w:val="none"/>
        </w:rPr>
      </w:pPr>
      <w:bookmarkStart w:id="43" w:name="_Toc10116"/>
      <w:bookmarkStart w:id="44" w:name="_Toc15519"/>
      <w:bookmarkStart w:id="45" w:name="_Toc5837"/>
      <w:bookmarkStart w:id="46" w:name="_Toc23076"/>
      <w:r>
        <w:rPr>
          <w:rFonts w:hint="eastAsia"/>
          <w:color w:val="auto"/>
          <w:highlight w:val="none"/>
        </w:rPr>
        <w:t>六</w:t>
      </w:r>
      <w:r>
        <w:rPr>
          <w:color w:val="auto"/>
          <w:highlight w:val="none"/>
        </w:rPr>
        <w:t>、</w:t>
      </w:r>
      <w:bookmarkStart w:id="47" w:name="_Hlk54167917"/>
      <w:r>
        <w:rPr>
          <w:rFonts w:hint="eastAsia"/>
          <w:color w:val="auto"/>
          <w:highlight w:val="none"/>
        </w:rPr>
        <w:t>生态</w:t>
      </w:r>
      <w:r>
        <w:rPr>
          <w:color w:val="auto"/>
          <w:highlight w:val="none"/>
        </w:rPr>
        <w:t>环境保护措施监督检查清单</w:t>
      </w:r>
      <w:bookmarkEnd w:id="43"/>
      <w:bookmarkEnd w:id="44"/>
      <w:bookmarkEnd w:id="45"/>
      <w:bookmarkEnd w:id="46"/>
      <w:bookmarkEnd w:id="47"/>
    </w:p>
    <w:tbl>
      <w:tblPr>
        <w:tblStyle w:val="4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4032"/>
        <w:gridCol w:w="2122"/>
        <w:gridCol w:w="941"/>
        <w:gridCol w:w="787"/>
      </w:tblGrid>
      <w:tr w14:paraId="1F833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1178" w:type="dxa"/>
            <w:vMerge w:val="restart"/>
            <w:tcBorders>
              <w:tl2br w:val="single" w:color="auto" w:sz="4" w:space="0"/>
            </w:tcBorders>
            <w:noWrap w:val="0"/>
            <w:vAlign w:val="top"/>
          </w:tcPr>
          <w:p w14:paraId="1802DFB2">
            <w:pPr>
              <w:pStyle w:val="40"/>
              <w:adjustRightInd w:val="0"/>
              <w:snapToGrid w:val="0"/>
              <w:spacing w:before="72" w:beforeLines="30" w:beforeAutospacing="0" w:after="0" w:afterAutospacing="0"/>
              <w:jc w:val="center"/>
              <w:rPr>
                <w:rFonts w:hint="eastAsia" w:ascii="Times New Roman" w:hAnsi="Times New Roman" w:eastAsia="宋体"/>
                <w:color w:val="auto"/>
                <w:kern w:val="2"/>
                <w:sz w:val="21"/>
                <w:szCs w:val="21"/>
                <w:highlight w:val="none"/>
                <w:lang w:eastAsia="zh-CN"/>
              </w:rPr>
            </w:pPr>
            <w:bookmarkStart w:id="48" w:name="_Toc22775"/>
            <w:bookmarkStart w:id="49" w:name="_Toc14402"/>
            <w:bookmarkStart w:id="50" w:name="_Toc12768"/>
            <w:r>
              <w:rPr>
                <w:rFonts w:ascii="Times New Roman" w:hAnsi="Times New Roman"/>
                <w:color w:val="auto"/>
                <w:kern w:val="2"/>
                <w:sz w:val="21"/>
                <w:szCs w:val="21"/>
                <w:highlight w:val="none"/>
              </w:rPr>
              <w:t>内容</w:t>
            </w:r>
            <w:bookmarkEnd w:id="48"/>
            <w:bookmarkEnd w:id="49"/>
            <w:bookmarkEnd w:id="50"/>
          </w:p>
          <w:p w14:paraId="5EFAF46D">
            <w:pPr>
              <w:pStyle w:val="40"/>
              <w:adjustRightInd w:val="0"/>
              <w:snapToGrid w:val="0"/>
              <w:spacing w:before="72" w:beforeLines="30" w:beforeAutospacing="0" w:after="0" w:afterAutospacing="0"/>
              <w:jc w:val="center"/>
              <w:outlineLvl w:val="0"/>
              <w:rPr>
                <w:rFonts w:hint="eastAsia" w:ascii="Times New Roman" w:hAnsi="Times New Roman" w:eastAsia="宋体"/>
                <w:color w:val="auto"/>
                <w:kern w:val="2"/>
                <w:sz w:val="21"/>
                <w:szCs w:val="21"/>
                <w:highlight w:val="none"/>
                <w:lang w:eastAsia="zh-CN"/>
              </w:rPr>
            </w:pPr>
          </w:p>
          <w:p w14:paraId="09AA0E2A">
            <w:pPr>
              <w:pStyle w:val="40"/>
              <w:adjustRightInd w:val="0"/>
              <w:snapToGrid w:val="0"/>
              <w:spacing w:before="0" w:beforeAutospacing="0" w:after="0" w:afterAutospacing="0" w:line="14" w:lineRule="auto"/>
              <w:rPr>
                <w:rFonts w:hint="eastAsia" w:ascii="Times New Roman" w:hAnsi="Times New Roman" w:eastAsia="宋体"/>
                <w:color w:val="auto"/>
                <w:kern w:val="2"/>
                <w:sz w:val="21"/>
                <w:szCs w:val="21"/>
                <w:highlight w:val="none"/>
                <w:lang w:eastAsia="zh-CN"/>
              </w:rPr>
            </w:pPr>
          </w:p>
          <w:p w14:paraId="3E77136F">
            <w:pPr>
              <w:pStyle w:val="40"/>
              <w:adjustRightInd w:val="0"/>
              <w:snapToGrid w:val="0"/>
              <w:spacing w:before="0" w:beforeAutospacing="0" w:after="0" w:afterAutospacing="0"/>
              <w:outlineLvl w:val="0"/>
              <w:rPr>
                <w:rFonts w:ascii="Times New Roman" w:hAnsi="Times New Roman"/>
                <w:color w:val="auto"/>
                <w:kern w:val="2"/>
                <w:sz w:val="21"/>
                <w:szCs w:val="21"/>
                <w:highlight w:val="none"/>
              </w:rPr>
            </w:pPr>
            <w:bookmarkStart w:id="51" w:name="_Toc25369"/>
            <w:bookmarkStart w:id="52" w:name="_Toc31996"/>
            <w:bookmarkStart w:id="53" w:name="_Toc22319"/>
            <w:bookmarkStart w:id="54" w:name="_Toc1682"/>
            <w:bookmarkStart w:id="55" w:name="_Toc11667"/>
            <w:bookmarkStart w:id="56" w:name="_Toc19227"/>
            <w:bookmarkStart w:id="57" w:name="_Toc3766"/>
            <w:bookmarkStart w:id="58" w:name="_Toc22177"/>
            <w:bookmarkStart w:id="59" w:name="_Toc18720"/>
            <w:bookmarkStart w:id="60" w:name="_Toc30139"/>
            <w:bookmarkStart w:id="61" w:name="_Toc11463"/>
            <w:r>
              <w:rPr>
                <w:rFonts w:ascii="Times New Roman" w:hAnsi="Times New Roman"/>
                <w:color w:val="auto"/>
                <w:kern w:val="2"/>
                <w:sz w:val="21"/>
                <w:szCs w:val="21"/>
                <w:highlight w:val="none"/>
              </w:rPr>
              <w:t>要素</w:t>
            </w:r>
            <w:bookmarkEnd w:id="51"/>
            <w:bookmarkEnd w:id="52"/>
            <w:bookmarkEnd w:id="53"/>
            <w:bookmarkEnd w:id="54"/>
            <w:bookmarkEnd w:id="55"/>
            <w:bookmarkEnd w:id="56"/>
            <w:bookmarkEnd w:id="57"/>
            <w:bookmarkEnd w:id="58"/>
            <w:bookmarkEnd w:id="59"/>
            <w:bookmarkEnd w:id="60"/>
            <w:bookmarkEnd w:id="61"/>
          </w:p>
        </w:tc>
        <w:tc>
          <w:tcPr>
            <w:tcW w:w="6154" w:type="dxa"/>
            <w:gridSpan w:val="2"/>
            <w:noWrap w:val="0"/>
            <w:vAlign w:val="center"/>
          </w:tcPr>
          <w:p w14:paraId="0F48EDFD">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62" w:name="_Toc5768"/>
            <w:bookmarkStart w:id="63" w:name="_Toc20613"/>
            <w:bookmarkStart w:id="64" w:name="_Toc12464"/>
            <w:bookmarkStart w:id="65" w:name="_Toc31966"/>
            <w:bookmarkStart w:id="66" w:name="_Toc17397"/>
            <w:bookmarkStart w:id="67" w:name="_Toc6855"/>
            <w:bookmarkStart w:id="68" w:name="_Toc4499"/>
            <w:bookmarkStart w:id="69" w:name="_Toc10347"/>
            <w:bookmarkStart w:id="70" w:name="_Toc32053"/>
            <w:bookmarkStart w:id="71" w:name="_Toc2074"/>
            <w:bookmarkStart w:id="72" w:name="_Toc18546"/>
            <w:r>
              <w:rPr>
                <w:rFonts w:ascii="Times New Roman" w:hAnsi="Times New Roman"/>
                <w:color w:val="auto"/>
                <w:kern w:val="2"/>
                <w:sz w:val="21"/>
                <w:szCs w:val="21"/>
                <w:highlight w:val="none"/>
              </w:rPr>
              <w:t>施工期</w:t>
            </w:r>
            <w:bookmarkEnd w:id="62"/>
            <w:bookmarkEnd w:id="63"/>
            <w:bookmarkEnd w:id="64"/>
            <w:bookmarkEnd w:id="65"/>
            <w:bookmarkEnd w:id="66"/>
            <w:bookmarkEnd w:id="67"/>
            <w:bookmarkEnd w:id="68"/>
            <w:bookmarkEnd w:id="69"/>
            <w:bookmarkEnd w:id="70"/>
            <w:bookmarkEnd w:id="71"/>
            <w:bookmarkEnd w:id="72"/>
          </w:p>
        </w:tc>
        <w:tc>
          <w:tcPr>
            <w:tcW w:w="1728" w:type="dxa"/>
            <w:gridSpan w:val="2"/>
            <w:noWrap w:val="0"/>
            <w:vAlign w:val="center"/>
          </w:tcPr>
          <w:p w14:paraId="0F6BB521">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73" w:name="_Toc23011"/>
            <w:bookmarkStart w:id="74" w:name="_Toc26005"/>
            <w:bookmarkStart w:id="75" w:name="_Toc17943"/>
            <w:bookmarkStart w:id="76" w:name="_Toc30749"/>
            <w:bookmarkStart w:id="77" w:name="_Toc31349"/>
            <w:bookmarkStart w:id="78" w:name="_Toc19003"/>
            <w:bookmarkStart w:id="79" w:name="_Toc7858"/>
            <w:bookmarkStart w:id="80" w:name="_Toc12042"/>
            <w:bookmarkStart w:id="81" w:name="_Toc18212"/>
            <w:bookmarkStart w:id="82" w:name="_Toc26295"/>
            <w:bookmarkStart w:id="83" w:name="_Toc16883"/>
            <w:r>
              <w:rPr>
                <w:rFonts w:ascii="Times New Roman" w:hAnsi="Times New Roman"/>
                <w:color w:val="auto"/>
                <w:kern w:val="2"/>
                <w:sz w:val="21"/>
                <w:szCs w:val="21"/>
                <w:highlight w:val="none"/>
              </w:rPr>
              <w:t>运营期</w:t>
            </w:r>
            <w:bookmarkEnd w:id="73"/>
            <w:bookmarkEnd w:id="74"/>
            <w:bookmarkEnd w:id="75"/>
            <w:bookmarkEnd w:id="76"/>
            <w:bookmarkEnd w:id="77"/>
            <w:bookmarkEnd w:id="78"/>
            <w:bookmarkEnd w:id="79"/>
            <w:bookmarkEnd w:id="80"/>
            <w:bookmarkEnd w:id="81"/>
            <w:bookmarkEnd w:id="82"/>
            <w:bookmarkEnd w:id="83"/>
          </w:p>
        </w:tc>
      </w:tr>
      <w:tr w14:paraId="6BE01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1178" w:type="dxa"/>
            <w:vMerge w:val="continue"/>
            <w:noWrap w:val="0"/>
            <w:vAlign w:val="top"/>
          </w:tcPr>
          <w:p w14:paraId="055CB6CD">
            <w:pPr>
              <w:pStyle w:val="40"/>
              <w:adjustRightInd w:val="0"/>
              <w:snapToGrid w:val="0"/>
              <w:spacing w:before="0" w:beforeAutospacing="0" w:after="0" w:afterAutospacing="0"/>
              <w:ind w:firstLine="840"/>
              <w:jc w:val="center"/>
              <w:rPr>
                <w:rFonts w:ascii="Times New Roman" w:hAnsi="Times New Roman"/>
                <w:color w:val="auto"/>
                <w:kern w:val="2"/>
                <w:sz w:val="21"/>
                <w:szCs w:val="21"/>
                <w:highlight w:val="none"/>
              </w:rPr>
            </w:pPr>
          </w:p>
        </w:tc>
        <w:tc>
          <w:tcPr>
            <w:tcW w:w="4032" w:type="dxa"/>
            <w:noWrap w:val="0"/>
            <w:vAlign w:val="center"/>
          </w:tcPr>
          <w:p w14:paraId="6A63BB02">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84" w:name="_Toc27848"/>
            <w:bookmarkStart w:id="85" w:name="_Toc14613"/>
            <w:bookmarkStart w:id="86" w:name="_Toc23597"/>
            <w:bookmarkStart w:id="87" w:name="_Toc4209"/>
            <w:bookmarkStart w:id="88" w:name="_Toc27944"/>
            <w:bookmarkStart w:id="89" w:name="_Toc18958"/>
            <w:bookmarkStart w:id="90" w:name="_Toc3918"/>
            <w:bookmarkStart w:id="91" w:name="_Toc639"/>
            <w:bookmarkStart w:id="92" w:name="_Toc26055"/>
            <w:bookmarkStart w:id="93" w:name="_Toc26652"/>
            <w:bookmarkStart w:id="94" w:name="_Toc30541"/>
            <w:r>
              <w:rPr>
                <w:rFonts w:ascii="Times New Roman" w:hAnsi="Times New Roman"/>
                <w:color w:val="auto"/>
                <w:kern w:val="2"/>
                <w:sz w:val="21"/>
                <w:szCs w:val="21"/>
                <w:highlight w:val="none"/>
              </w:rPr>
              <w:t>环境保护措施</w:t>
            </w:r>
            <w:bookmarkEnd w:id="84"/>
            <w:bookmarkEnd w:id="85"/>
            <w:bookmarkEnd w:id="86"/>
            <w:bookmarkEnd w:id="87"/>
            <w:bookmarkEnd w:id="88"/>
            <w:bookmarkEnd w:id="89"/>
            <w:bookmarkEnd w:id="90"/>
            <w:bookmarkEnd w:id="91"/>
            <w:bookmarkEnd w:id="92"/>
            <w:bookmarkEnd w:id="93"/>
            <w:bookmarkEnd w:id="94"/>
          </w:p>
        </w:tc>
        <w:tc>
          <w:tcPr>
            <w:tcW w:w="2122" w:type="dxa"/>
            <w:noWrap w:val="0"/>
            <w:vAlign w:val="center"/>
          </w:tcPr>
          <w:p w14:paraId="5A3B5666">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95" w:name="_Toc9897"/>
            <w:bookmarkStart w:id="96" w:name="_Toc25281"/>
            <w:bookmarkStart w:id="97" w:name="_Toc28107"/>
            <w:bookmarkStart w:id="98" w:name="_Toc25889"/>
            <w:bookmarkStart w:id="99" w:name="_Toc4734"/>
            <w:bookmarkStart w:id="100" w:name="_Toc23014"/>
            <w:bookmarkStart w:id="101" w:name="_Toc17016"/>
            <w:bookmarkStart w:id="102" w:name="_Toc22159"/>
            <w:bookmarkStart w:id="103" w:name="_Toc8927"/>
            <w:bookmarkStart w:id="104" w:name="_Toc15073"/>
            <w:bookmarkStart w:id="105" w:name="_Toc18165"/>
            <w:r>
              <w:rPr>
                <w:rFonts w:ascii="Times New Roman" w:hAnsi="Times New Roman"/>
                <w:color w:val="auto"/>
                <w:kern w:val="2"/>
                <w:sz w:val="21"/>
                <w:szCs w:val="21"/>
                <w:highlight w:val="none"/>
              </w:rPr>
              <w:t>验收要求</w:t>
            </w:r>
            <w:bookmarkEnd w:id="95"/>
            <w:bookmarkEnd w:id="96"/>
            <w:bookmarkEnd w:id="97"/>
            <w:bookmarkEnd w:id="98"/>
            <w:bookmarkEnd w:id="99"/>
            <w:bookmarkEnd w:id="100"/>
            <w:bookmarkEnd w:id="101"/>
            <w:bookmarkEnd w:id="102"/>
            <w:bookmarkEnd w:id="103"/>
            <w:bookmarkEnd w:id="104"/>
            <w:bookmarkEnd w:id="105"/>
          </w:p>
        </w:tc>
        <w:tc>
          <w:tcPr>
            <w:tcW w:w="941" w:type="dxa"/>
            <w:noWrap w:val="0"/>
            <w:vAlign w:val="center"/>
          </w:tcPr>
          <w:p w14:paraId="145FF47E">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106" w:name="_Toc22597"/>
            <w:bookmarkStart w:id="107" w:name="_Toc28875"/>
            <w:bookmarkStart w:id="108" w:name="_Toc13976"/>
            <w:bookmarkStart w:id="109" w:name="_Toc29706"/>
            <w:bookmarkStart w:id="110" w:name="_Toc8713"/>
            <w:bookmarkStart w:id="111" w:name="_Toc2197"/>
            <w:bookmarkStart w:id="112" w:name="_Toc11743"/>
            <w:bookmarkStart w:id="113" w:name="_Toc22128"/>
            <w:bookmarkStart w:id="114" w:name="_Toc7256"/>
            <w:bookmarkStart w:id="115" w:name="_Toc3476"/>
            <w:bookmarkStart w:id="116" w:name="_Toc28363"/>
            <w:r>
              <w:rPr>
                <w:rFonts w:ascii="Times New Roman" w:hAnsi="Times New Roman"/>
                <w:color w:val="auto"/>
                <w:kern w:val="2"/>
                <w:sz w:val="21"/>
                <w:szCs w:val="21"/>
                <w:highlight w:val="none"/>
              </w:rPr>
              <w:t>环境保护措施</w:t>
            </w:r>
            <w:bookmarkEnd w:id="106"/>
            <w:bookmarkEnd w:id="107"/>
            <w:bookmarkEnd w:id="108"/>
            <w:bookmarkEnd w:id="109"/>
            <w:bookmarkEnd w:id="110"/>
            <w:bookmarkEnd w:id="111"/>
            <w:bookmarkEnd w:id="112"/>
            <w:bookmarkEnd w:id="113"/>
            <w:bookmarkEnd w:id="114"/>
            <w:bookmarkEnd w:id="115"/>
            <w:bookmarkEnd w:id="116"/>
          </w:p>
        </w:tc>
        <w:tc>
          <w:tcPr>
            <w:tcW w:w="787" w:type="dxa"/>
            <w:noWrap w:val="0"/>
            <w:vAlign w:val="center"/>
          </w:tcPr>
          <w:p w14:paraId="665A2DE2">
            <w:pPr>
              <w:pStyle w:val="40"/>
              <w:adjustRightInd w:val="0"/>
              <w:snapToGrid w:val="0"/>
              <w:spacing w:before="0" w:beforeAutospacing="0" w:after="0" w:afterAutospacing="0"/>
              <w:jc w:val="center"/>
              <w:outlineLvl w:val="0"/>
              <w:rPr>
                <w:rFonts w:ascii="Times New Roman" w:hAnsi="Times New Roman"/>
                <w:color w:val="auto"/>
                <w:kern w:val="2"/>
                <w:sz w:val="21"/>
                <w:szCs w:val="21"/>
                <w:highlight w:val="none"/>
              </w:rPr>
            </w:pPr>
            <w:bookmarkStart w:id="117" w:name="_Toc3628"/>
            <w:bookmarkStart w:id="118" w:name="_Toc21660"/>
            <w:bookmarkStart w:id="119" w:name="_Toc15925"/>
            <w:bookmarkStart w:id="120" w:name="_Toc4026"/>
            <w:bookmarkStart w:id="121" w:name="_Toc19666"/>
            <w:bookmarkStart w:id="122" w:name="_Toc7244"/>
            <w:bookmarkStart w:id="123" w:name="_Toc5297"/>
            <w:bookmarkStart w:id="124" w:name="_Toc21906"/>
            <w:bookmarkStart w:id="125" w:name="_Toc2427"/>
            <w:bookmarkStart w:id="126" w:name="_Toc12994"/>
            <w:bookmarkStart w:id="127" w:name="_Toc11791"/>
            <w:r>
              <w:rPr>
                <w:rFonts w:ascii="Times New Roman" w:hAnsi="Times New Roman"/>
                <w:color w:val="auto"/>
                <w:kern w:val="2"/>
                <w:sz w:val="21"/>
                <w:szCs w:val="21"/>
                <w:highlight w:val="none"/>
              </w:rPr>
              <w:t>验收要求</w:t>
            </w:r>
            <w:bookmarkEnd w:id="117"/>
            <w:bookmarkEnd w:id="118"/>
            <w:bookmarkEnd w:id="119"/>
            <w:bookmarkEnd w:id="120"/>
            <w:bookmarkEnd w:id="121"/>
            <w:bookmarkEnd w:id="122"/>
            <w:bookmarkEnd w:id="123"/>
            <w:bookmarkEnd w:id="124"/>
            <w:bookmarkEnd w:id="125"/>
            <w:bookmarkEnd w:id="126"/>
            <w:bookmarkEnd w:id="127"/>
          </w:p>
        </w:tc>
      </w:tr>
      <w:tr w14:paraId="4B7C3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178" w:type="dxa"/>
            <w:noWrap w:val="0"/>
            <w:vAlign w:val="center"/>
          </w:tcPr>
          <w:p w14:paraId="63CE1572">
            <w:pPr>
              <w:adjustRightInd w:val="0"/>
              <w:snapToGrid w:val="0"/>
              <w:jc w:val="center"/>
              <w:rPr>
                <w:color w:val="auto"/>
                <w:szCs w:val="21"/>
                <w:highlight w:val="none"/>
              </w:rPr>
            </w:pPr>
            <w:r>
              <w:rPr>
                <w:color w:val="auto"/>
                <w:szCs w:val="21"/>
                <w:highlight w:val="none"/>
              </w:rPr>
              <w:t>陆生生态</w:t>
            </w:r>
          </w:p>
        </w:tc>
        <w:tc>
          <w:tcPr>
            <w:tcW w:w="4032" w:type="dxa"/>
            <w:noWrap w:val="0"/>
            <w:vAlign w:val="center"/>
          </w:tcPr>
          <w:p w14:paraId="29528243">
            <w:pPr>
              <w:adjustRightInd w:val="0"/>
              <w:snapToGrid w:val="0"/>
              <w:jc w:val="center"/>
              <w:rPr>
                <w:rFonts w:hint="eastAsia" w:eastAsia="宋体"/>
                <w:color w:val="auto"/>
                <w:szCs w:val="21"/>
                <w:highlight w:val="none"/>
                <w:lang w:val="en-US" w:eastAsia="zh-CN"/>
              </w:rPr>
            </w:pPr>
            <w:r>
              <w:rPr>
                <w:rFonts w:hint="eastAsia"/>
                <w:color w:val="auto"/>
                <w:spacing w:val="-4"/>
                <w:szCs w:val="21"/>
                <w:highlight w:val="none"/>
                <w:lang w:val="en-US" w:eastAsia="zh-CN"/>
              </w:rPr>
              <w:t>/</w:t>
            </w:r>
          </w:p>
        </w:tc>
        <w:tc>
          <w:tcPr>
            <w:tcW w:w="2122" w:type="dxa"/>
            <w:noWrap w:val="0"/>
            <w:vAlign w:val="center"/>
          </w:tcPr>
          <w:p w14:paraId="1998672C">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c>
          <w:tcPr>
            <w:tcW w:w="941" w:type="dxa"/>
            <w:noWrap w:val="0"/>
            <w:vAlign w:val="center"/>
          </w:tcPr>
          <w:p w14:paraId="4951079C">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c>
          <w:tcPr>
            <w:tcW w:w="787" w:type="dxa"/>
            <w:noWrap w:val="0"/>
            <w:vAlign w:val="center"/>
          </w:tcPr>
          <w:p w14:paraId="1451EB50">
            <w:pPr>
              <w:adjustRightInd w:val="0"/>
              <w:snapToGrid w:val="0"/>
              <w:jc w:val="center"/>
              <w:rPr>
                <w:rFonts w:hint="default"/>
                <w:color w:val="auto"/>
                <w:szCs w:val="21"/>
                <w:highlight w:val="none"/>
                <w:lang w:val="en-US"/>
              </w:rPr>
            </w:pPr>
            <w:r>
              <w:rPr>
                <w:rFonts w:hint="eastAsia"/>
                <w:color w:val="auto"/>
                <w:spacing w:val="-4"/>
                <w:szCs w:val="21"/>
                <w:highlight w:val="none"/>
                <w:lang w:val="en-US" w:eastAsia="zh-CN"/>
              </w:rPr>
              <w:t>/</w:t>
            </w:r>
          </w:p>
        </w:tc>
      </w:tr>
      <w:tr w14:paraId="18BE2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1B8F6519">
            <w:pPr>
              <w:adjustRightInd w:val="0"/>
              <w:snapToGrid w:val="0"/>
              <w:jc w:val="center"/>
              <w:rPr>
                <w:color w:val="auto"/>
                <w:szCs w:val="21"/>
                <w:highlight w:val="none"/>
              </w:rPr>
            </w:pPr>
            <w:r>
              <w:rPr>
                <w:rFonts w:hint="eastAsia"/>
                <w:color w:val="auto"/>
                <w:szCs w:val="21"/>
                <w:highlight w:val="none"/>
              </w:rPr>
              <w:t>水生生态</w:t>
            </w:r>
          </w:p>
        </w:tc>
        <w:tc>
          <w:tcPr>
            <w:tcW w:w="4032" w:type="dxa"/>
            <w:noWrap w:val="0"/>
            <w:vAlign w:val="center"/>
          </w:tcPr>
          <w:p w14:paraId="77DE8283">
            <w:pPr>
              <w:pStyle w:val="54"/>
              <w:jc w:val="center"/>
              <w:rPr>
                <w:rFonts w:hint="eastAsia"/>
                <w:color w:val="auto"/>
                <w:spacing w:val="-4"/>
                <w:szCs w:val="21"/>
                <w:highlight w:val="none"/>
              </w:rPr>
            </w:pPr>
            <w:r>
              <w:rPr>
                <w:rFonts w:hint="eastAsia" w:ascii="宋体" w:hAnsi="宋体" w:eastAsia="宋体" w:cs="宋体"/>
                <w:b w:val="0"/>
                <w:bCs w:val="0"/>
                <w:color w:val="auto"/>
                <w:sz w:val="21"/>
                <w:szCs w:val="21"/>
                <w:highlight w:val="none"/>
              </w:rPr>
              <w:t>委托专业的第三方机构开展生态补偿工作，具体的补偿措施和方案在实施之前，建设单位应协调主管部门确定</w:t>
            </w:r>
          </w:p>
        </w:tc>
        <w:tc>
          <w:tcPr>
            <w:tcW w:w="2122" w:type="dxa"/>
            <w:noWrap w:val="0"/>
            <w:vAlign w:val="center"/>
          </w:tcPr>
          <w:p w14:paraId="25BF70D5">
            <w:pPr>
              <w:pStyle w:val="54"/>
              <w:jc w:val="center"/>
              <w:rPr>
                <w:rFonts w:hint="eastAsia"/>
                <w:color w:val="auto"/>
                <w:spacing w:val="-4"/>
                <w:szCs w:val="21"/>
                <w:highlight w:val="none"/>
              </w:rPr>
            </w:pPr>
            <w:r>
              <w:rPr>
                <w:rFonts w:hint="eastAsia" w:ascii="宋体" w:hAnsi="宋体" w:eastAsia="宋体" w:cs="宋体"/>
                <w:b w:val="0"/>
                <w:bCs w:val="0"/>
                <w:color w:val="auto"/>
                <w:sz w:val="21"/>
                <w:szCs w:val="21"/>
                <w:highlight w:val="none"/>
              </w:rPr>
              <w:t>相关委托协议及生态修复文件、照片</w:t>
            </w:r>
          </w:p>
        </w:tc>
        <w:tc>
          <w:tcPr>
            <w:tcW w:w="941" w:type="dxa"/>
            <w:noWrap w:val="0"/>
            <w:vAlign w:val="center"/>
          </w:tcPr>
          <w:p w14:paraId="19890F22">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19100064">
            <w:pPr>
              <w:adjustRightInd w:val="0"/>
              <w:snapToGrid w:val="0"/>
              <w:jc w:val="center"/>
              <w:rPr>
                <w:rFonts w:hint="eastAsia"/>
                <w:color w:val="auto"/>
                <w:szCs w:val="21"/>
                <w:highlight w:val="none"/>
              </w:rPr>
            </w:pPr>
            <w:r>
              <w:rPr>
                <w:color w:val="auto"/>
                <w:szCs w:val="21"/>
                <w:highlight w:val="none"/>
              </w:rPr>
              <w:t>/</w:t>
            </w:r>
          </w:p>
        </w:tc>
      </w:tr>
      <w:tr w14:paraId="5A567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restart"/>
            <w:noWrap w:val="0"/>
            <w:vAlign w:val="center"/>
          </w:tcPr>
          <w:p w14:paraId="5E3CE9E0">
            <w:pPr>
              <w:adjustRightInd w:val="0"/>
              <w:snapToGrid w:val="0"/>
              <w:jc w:val="center"/>
              <w:rPr>
                <w:color w:val="auto"/>
                <w:szCs w:val="21"/>
                <w:highlight w:val="none"/>
              </w:rPr>
            </w:pPr>
            <w:r>
              <w:rPr>
                <w:color w:val="auto"/>
                <w:szCs w:val="21"/>
                <w:highlight w:val="none"/>
              </w:rPr>
              <w:t>地表水</w:t>
            </w:r>
          </w:p>
          <w:p w14:paraId="69E55F25">
            <w:pPr>
              <w:adjustRightInd w:val="0"/>
              <w:snapToGrid w:val="0"/>
              <w:jc w:val="center"/>
              <w:rPr>
                <w:color w:val="auto"/>
                <w:szCs w:val="21"/>
                <w:highlight w:val="none"/>
              </w:rPr>
            </w:pPr>
            <w:r>
              <w:rPr>
                <w:color w:val="auto"/>
                <w:szCs w:val="21"/>
                <w:highlight w:val="none"/>
              </w:rPr>
              <w:t>环境</w:t>
            </w:r>
          </w:p>
        </w:tc>
        <w:tc>
          <w:tcPr>
            <w:tcW w:w="4032" w:type="dxa"/>
            <w:noWrap w:val="0"/>
            <w:vAlign w:val="center"/>
          </w:tcPr>
          <w:p w14:paraId="592E9103">
            <w:pPr>
              <w:pStyle w:val="54"/>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施工船舶生活污水采用船上配备的储污水箱进行收集和贮存，上岸后委托有处理能力单位回收处理，禁止在施工水域排放。</w:t>
            </w:r>
          </w:p>
        </w:tc>
        <w:tc>
          <w:tcPr>
            <w:tcW w:w="2122" w:type="dxa"/>
            <w:noWrap w:val="0"/>
            <w:vAlign w:val="center"/>
          </w:tcPr>
          <w:p w14:paraId="567A7084">
            <w:pPr>
              <w:jc w:val="center"/>
              <w:rPr>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1E1D94AB">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2245CD33">
            <w:pPr>
              <w:adjustRightInd w:val="0"/>
              <w:snapToGrid w:val="0"/>
              <w:jc w:val="center"/>
              <w:rPr>
                <w:rFonts w:hint="eastAsia"/>
                <w:color w:val="auto"/>
                <w:szCs w:val="21"/>
                <w:highlight w:val="none"/>
              </w:rPr>
            </w:pPr>
            <w:r>
              <w:rPr>
                <w:color w:val="auto"/>
                <w:szCs w:val="21"/>
                <w:highlight w:val="none"/>
              </w:rPr>
              <w:t>/</w:t>
            </w:r>
          </w:p>
        </w:tc>
      </w:tr>
      <w:tr w14:paraId="213E2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continue"/>
            <w:noWrap w:val="0"/>
            <w:vAlign w:val="center"/>
          </w:tcPr>
          <w:p w14:paraId="3A10ACA3">
            <w:pPr>
              <w:adjustRightInd w:val="0"/>
              <w:snapToGrid w:val="0"/>
              <w:jc w:val="center"/>
              <w:rPr>
                <w:color w:val="auto"/>
                <w:szCs w:val="21"/>
                <w:highlight w:val="none"/>
              </w:rPr>
            </w:pPr>
          </w:p>
        </w:tc>
        <w:tc>
          <w:tcPr>
            <w:tcW w:w="4032" w:type="dxa"/>
            <w:noWrap w:val="0"/>
            <w:vAlign w:val="center"/>
          </w:tcPr>
          <w:p w14:paraId="4CC90FFE">
            <w:pPr>
              <w:pStyle w:val="54"/>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施工船舶含油污水交由具有相应接收能力从事船舶污染物接收的单位接收处理，禁止在施工水域排放。</w:t>
            </w:r>
          </w:p>
        </w:tc>
        <w:tc>
          <w:tcPr>
            <w:tcW w:w="2122" w:type="dxa"/>
            <w:noWrap w:val="0"/>
            <w:vAlign w:val="center"/>
          </w:tcPr>
          <w:p w14:paraId="7976531E">
            <w:pPr>
              <w:jc w:val="center"/>
              <w:rPr>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5126A9F5">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2949DB71">
            <w:pPr>
              <w:adjustRightInd w:val="0"/>
              <w:snapToGrid w:val="0"/>
              <w:jc w:val="center"/>
              <w:rPr>
                <w:rFonts w:hint="eastAsia"/>
                <w:color w:val="auto"/>
                <w:szCs w:val="21"/>
                <w:highlight w:val="none"/>
              </w:rPr>
            </w:pPr>
            <w:r>
              <w:rPr>
                <w:color w:val="auto"/>
                <w:szCs w:val="21"/>
                <w:highlight w:val="none"/>
              </w:rPr>
              <w:t>/</w:t>
            </w:r>
          </w:p>
        </w:tc>
      </w:tr>
      <w:tr w14:paraId="7901B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36BB1D0D">
            <w:pPr>
              <w:adjustRightInd w:val="0"/>
              <w:snapToGrid w:val="0"/>
              <w:jc w:val="center"/>
              <w:rPr>
                <w:rFonts w:hint="eastAsia"/>
                <w:color w:val="auto"/>
                <w:szCs w:val="21"/>
                <w:highlight w:val="none"/>
              </w:rPr>
            </w:pPr>
            <w:r>
              <w:rPr>
                <w:rFonts w:hint="eastAsia"/>
                <w:color w:val="auto"/>
                <w:szCs w:val="21"/>
                <w:highlight w:val="none"/>
              </w:rPr>
              <w:t>地下水及土壤环境</w:t>
            </w:r>
          </w:p>
        </w:tc>
        <w:tc>
          <w:tcPr>
            <w:tcW w:w="4032" w:type="dxa"/>
            <w:noWrap w:val="0"/>
            <w:vAlign w:val="center"/>
          </w:tcPr>
          <w:p w14:paraId="3B61059A">
            <w:pPr>
              <w:adjustRightInd w:val="0"/>
              <w:snapToGrid w:val="0"/>
              <w:jc w:val="center"/>
              <w:rPr>
                <w:b/>
                <w:bCs/>
                <w:color w:val="auto"/>
                <w:szCs w:val="21"/>
                <w:highlight w:val="none"/>
              </w:rPr>
            </w:pPr>
            <w:r>
              <w:rPr>
                <w:color w:val="auto"/>
                <w:szCs w:val="21"/>
                <w:highlight w:val="none"/>
              </w:rPr>
              <w:t>/</w:t>
            </w:r>
          </w:p>
        </w:tc>
        <w:tc>
          <w:tcPr>
            <w:tcW w:w="2122" w:type="dxa"/>
            <w:noWrap w:val="0"/>
            <w:vAlign w:val="center"/>
          </w:tcPr>
          <w:p w14:paraId="11CC5CCA">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0BF7628B">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015E811D">
            <w:pPr>
              <w:adjustRightInd w:val="0"/>
              <w:snapToGrid w:val="0"/>
              <w:jc w:val="center"/>
              <w:rPr>
                <w:color w:val="auto"/>
                <w:szCs w:val="21"/>
                <w:highlight w:val="none"/>
              </w:rPr>
            </w:pPr>
            <w:r>
              <w:rPr>
                <w:color w:val="auto"/>
                <w:szCs w:val="21"/>
                <w:highlight w:val="none"/>
              </w:rPr>
              <w:t>/</w:t>
            </w:r>
          </w:p>
        </w:tc>
      </w:tr>
      <w:tr w14:paraId="5A06D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78A07BD4">
            <w:pPr>
              <w:adjustRightInd w:val="0"/>
              <w:snapToGrid w:val="0"/>
              <w:jc w:val="center"/>
              <w:rPr>
                <w:color w:val="auto"/>
                <w:szCs w:val="21"/>
                <w:highlight w:val="none"/>
              </w:rPr>
            </w:pPr>
            <w:r>
              <w:rPr>
                <w:color w:val="auto"/>
                <w:szCs w:val="21"/>
                <w:highlight w:val="none"/>
              </w:rPr>
              <w:t>声环境</w:t>
            </w:r>
          </w:p>
        </w:tc>
        <w:tc>
          <w:tcPr>
            <w:tcW w:w="4032" w:type="dxa"/>
            <w:noWrap w:val="0"/>
            <w:vAlign w:val="center"/>
          </w:tcPr>
          <w:p w14:paraId="25B08CC5">
            <w:pPr>
              <w:pStyle w:val="54"/>
              <w:jc w:val="center"/>
              <w:rPr>
                <w:color w:val="auto"/>
                <w:szCs w:val="21"/>
                <w:highlight w:val="none"/>
              </w:rPr>
            </w:pPr>
            <w:r>
              <w:rPr>
                <w:rFonts w:hint="eastAsia" w:ascii="宋体" w:hAnsi="宋体" w:eastAsia="宋体" w:cs="宋体"/>
                <w:b w:val="0"/>
                <w:bCs w:val="0"/>
                <w:color w:val="auto"/>
                <w:sz w:val="21"/>
                <w:szCs w:val="21"/>
                <w:highlight w:val="none"/>
              </w:rPr>
              <w:t>施工船舶采用低噪声船舶；做好施工船舶的维护保养工作，使施工机械保持良好的运行状态；加强施工船舶的管理，避免不必要的船舶汽笛鸣放。</w:t>
            </w:r>
          </w:p>
        </w:tc>
        <w:tc>
          <w:tcPr>
            <w:tcW w:w="2122" w:type="dxa"/>
            <w:noWrap w:val="0"/>
            <w:vAlign w:val="center"/>
          </w:tcPr>
          <w:p w14:paraId="7B47BBE3">
            <w:pPr>
              <w:pStyle w:val="54"/>
              <w:jc w:val="center"/>
              <w:rPr>
                <w:color w:val="auto"/>
                <w:szCs w:val="21"/>
                <w:highlight w:val="none"/>
              </w:rPr>
            </w:pPr>
            <w:r>
              <w:rPr>
                <w:rFonts w:hint="eastAsia" w:ascii="宋体" w:hAnsi="宋体" w:eastAsia="宋体" w:cs="宋体"/>
                <w:color w:val="auto"/>
                <w:sz w:val="21"/>
                <w:szCs w:val="21"/>
                <w:highlight w:val="none"/>
                <w:vertAlign w:val="baseline"/>
                <w:lang w:val="en-US" w:eastAsia="zh-CN"/>
              </w:rPr>
              <w:t>是否落实</w:t>
            </w:r>
          </w:p>
        </w:tc>
        <w:tc>
          <w:tcPr>
            <w:tcW w:w="941" w:type="dxa"/>
            <w:noWrap w:val="0"/>
            <w:vAlign w:val="center"/>
          </w:tcPr>
          <w:p w14:paraId="6A6033B0">
            <w:pPr>
              <w:adjustRightInd w:val="0"/>
              <w:snapToGrid w:val="0"/>
              <w:jc w:val="center"/>
              <w:rPr>
                <w:rFonts w:hint="eastAsia"/>
                <w:color w:val="auto"/>
                <w:szCs w:val="21"/>
                <w:highlight w:val="none"/>
              </w:rPr>
            </w:pPr>
            <w:r>
              <w:rPr>
                <w:color w:val="auto"/>
                <w:szCs w:val="21"/>
                <w:highlight w:val="none"/>
              </w:rPr>
              <w:t>/</w:t>
            </w:r>
          </w:p>
        </w:tc>
        <w:tc>
          <w:tcPr>
            <w:tcW w:w="787" w:type="dxa"/>
            <w:noWrap w:val="0"/>
            <w:vAlign w:val="center"/>
          </w:tcPr>
          <w:p w14:paraId="5031C3F0">
            <w:pPr>
              <w:adjustRightInd w:val="0"/>
              <w:snapToGrid w:val="0"/>
              <w:jc w:val="center"/>
              <w:rPr>
                <w:rFonts w:hint="eastAsia"/>
                <w:color w:val="auto"/>
                <w:szCs w:val="21"/>
                <w:highlight w:val="none"/>
              </w:rPr>
            </w:pPr>
            <w:r>
              <w:rPr>
                <w:color w:val="auto"/>
                <w:szCs w:val="21"/>
                <w:highlight w:val="none"/>
              </w:rPr>
              <w:t>/</w:t>
            </w:r>
          </w:p>
        </w:tc>
      </w:tr>
      <w:tr w14:paraId="072D4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0DA583D3">
            <w:pPr>
              <w:adjustRightInd w:val="0"/>
              <w:snapToGrid w:val="0"/>
              <w:jc w:val="center"/>
              <w:rPr>
                <w:rFonts w:hint="eastAsia"/>
                <w:color w:val="auto"/>
                <w:szCs w:val="21"/>
                <w:highlight w:val="none"/>
              </w:rPr>
            </w:pPr>
            <w:r>
              <w:rPr>
                <w:rFonts w:hint="eastAsia"/>
                <w:color w:val="auto"/>
                <w:szCs w:val="21"/>
                <w:highlight w:val="none"/>
              </w:rPr>
              <w:t>振动</w:t>
            </w:r>
          </w:p>
        </w:tc>
        <w:tc>
          <w:tcPr>
            <w:tcW w:w="4032" w:type="dxa"/>
            <w:noWrap w:val="0"/>
            <w:vAlign w:val="center"/>
          </w:tcPr>
          <w:p w14:paraId="4A7A12F9">
            <w:pPr>
              <w:adjustRightInd w:val="0"/>
              <w:snapToGrid w:val="0"/>
              <w:jc w:val="center"/>
              <w:rPr>
                <w:b/>
                <w:bCs/>
                <w:color w:val="auto"/>
                <w:szCs w:val="21"/>
                <w:highlight w:val="none"/>
              </w:rPr>
            </w:pPr>
            <w:r>
              <w:rPr>
                <w:color w:val="auto"/>
                <w:szCs w:val="21"/>
                <w:highlight w:val="none"/>
              </w:rPr>
              <w:t>/</w:t>
            </w:r>
          </w:p>
        </w:tc>
        <w:tc>
          <w:tcPr>
            <w:tcW w:w="2122" w:type="dxa"/>
            <w:noWrap w:val="0"/>
            <w:vAlign w:val="center"/>
          </w:tcPr>
          <w:p w14:paraId="15F3192E">
            <w:pPr>
              <w:adjustRightInd w:val="0"/>
              <w:snapToGrid w:val="0"/>
              <w:jc w:val="center"/>
              <w:rPr>
                <w:bCs/>
                <w:color w:val="auto"/>
                <w:kern w:val="0"/>
                <w:szCs w:val="21"/>
                <w:highlight w:val="none"/>
              </w:rPr>
            </w:pPr>
            <w:r>
              <w:rPr>
                <w:color w:val="auto"/>
                <w:szCs w:val="21"/>
                <w:highlight w:val="none"/>
              </w:rPr>
              <w:t>/</w:t>
            </w:r>
          </w:p>
        </w:tc>
        <w:tc>
          <w:tcPr>
            <w:tcW w:w="941" w:type="dxa"/>
            <w:noWrap w:val="0"/>
            <w:vAlign w:val="center"/>
          </w:tcPr>
          <w:p w14:paraId="09E6FDF1">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09102E96">
            <w:pPr>
              <w:adjustRightInd w:val="0"/>
              <w:snapToGrid w:val="0"/>
              <w:jc w:val="center"/>
              <w:rPr>
                <w:color w:val="auto"/>
                <w:szCs w:val="21"/>
                <w:highlight w:val="none"/>
              </w:rPr>
            </w:pPr>
            <w:r>
              <w:rPr>
                <w:color w:val="auto"/>
                <w:szCs w:val="21"/>
                <w:highlight w:val="none"/>
              </w:rPr>
              <w:t>/</w:t>
            </w:r>
          </w:p>
        </w:tc>
      </w:tr>
      <w:tr w14:paraId="08FA8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38CFC2EB">
            <w:pPr>
              <w:adjustRightInd w:val="0"/>
              <w:snapToGrid w:val="0"/>
              <w:jc w:val="center"/>
              <w:rPr>
                <w:color w:val="auto"/>
                <w:szCs w:val="21"/>
                <w:highlight w:val="none"/>
              </w:rPr>
            </w:pPr>
            <w:r>
              <w:rPr>
                <w:color w:val="auto"/>
                <w:szCs w:val="21"/>
                <w:highlight w:val="none"/>
              </w:rPr>
              <w:t>大气环境</w:t>
            </w:r>
          </w:p>
        </w:tc>
        <w:tc>
          <w:tcPr>
            <w:tcW w:w="4032" w:type="dxa"/>
            <w:noWrap w:val="0"/>
            <w:vAlign w:val="center"/>
          </w:tcPr>
          <w:p w14:paraId="6CFA6482">
            <w:pPr>
              <w:pStyle w:val="54"/>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rPr>
              <w:t>施工船舶使用合格的燃料油，选用硫含量小于等于0.5%m/m的船用燃油；加强施工船舶的日常维护保养，确保船舶正常运行，避免不正常运行产生的废气。</w:t>
            </w:r>
          </w:p>
        </w:tc>
        <w:tc>
          <w:tcPr>
            <w:tcW w:w="2122" w:type="dxa"/>
            <w:noWrap w:val="0"/>
            <w:vAlign w:val="center"/>
          </w:tcPr>
          <w:p w14:paraId="4497E960">
            <w:pPr>
              <w:adjustRightInd w:val="0"/>
              <w:snapToGrid w:val="0"/>
              <w:jc w:val="center"/>
              <w:rPr>
                <w:color w:val="auto"/>
                <w:szCs w:val="21"/>
                <w:highlight w:val="none"/>
              </w:rPr>
            </w:pPr>
            <w:r>
              <w:rPr>
                <w:rFonts w:hint="eastAsia"/>
                <w:bCs/>
                <w:color w:val="auto"/>
                <w:kern w:val="0"/>
                <w:szCs w:val="21"/>
                <w:highlight w:val="none"/>
              </w:rPr>
              <w:t>符合环境保护要求</w:t>
            </w:r>
          </w:p>
        </w:tc>
        <w:tc>
          <w:tcPr>
            <w:tcW w:w="941" w:type="dxa"/>
            <w:noWrap w:val="0"/>
            <w:vAlign w:val="center"/>
          </w:tcPr>
          <w:p w14:paraId="47BE284A">
            <w:pPr>
              <w:adjustRightInd w:val="0"/>
              <w:snapToGrid w:val="0"/>
              <w:rPr>
                <w:rFonts w:hint="eastAsia"/>
                <w:color w:val="auto"/>
                <w:szCs w:val="21"/>
                <w:highlight w:val="none"/>
              </w:rPr>
            </w:pPr>
            <w:r>
              <w:rPr>
                <w:color w:val="auto"/>
                <w:szCs w:val="21"/>
                <w:highlight w:val="none"/>
              </w:rPr>
              <w:t>/</w:t>
            </w:r>
          </w:p>
        </w:tc>
        <w:tc>
          <w:tcPr>
            <w:tcW w:w="787" w:type="dxa"/>
            <w:noWrap w:val="0"/>
            <w:vAlign w:val="center"/>
          </w:tcPr>
          <w:p w14:paraId="68AE5BAF">
            <w:pPr>
              <w:adjustRightInd w:val="0"/>
              <w:snapToGrid w:val="0"/>
              <w:jc w:val="center"/>
              <w:rPr>
                <w:rFonts w:hint="eastAsia"/>
                <w:color w:val="auto"/>
                <w:szCs w:val="21"/>
                <w:highlight w:val="none"/>
              </w:rPr>
            </w:pPr>
            <w:r>
              <w:rPr>
                <w:color w:val="auto"/>
                <w:szCs w:val="21"/>
                <w:highlight w:val="none"/>
              </w:rPr>
              <w:t>/</w:t>
            </w:r>
          </w:p>
        </w:tc>
      </w:tr>
      <w:tr w14:paraId="536B6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restart"/>
            <w:noWrap w:val="0"/>
            <w:vAlign w:val="center"/>
          </w:tcPr>
          <w:p w14:paraId="2F07C4E6">
            <w:pPr>
              <w:adjustRightInd w:val="0"/>
              <w:snapToGrid w:val="0"/>
              <w:jc w:val="center"/>
              <w:rPr>
                <w:color w:val="auto"/>
                <w:szCs w:val="21"/>
                <w:highlight w:val="none"/>
              </w:rPr>
            </w:pPr>
            <w:r>
              <w:rPr>
                <w:color w:val="auto"/>
                <w:szCs w:val="21"/>
                <w:highlight w:val="none"/>
              </w:rPr>
              <w:t>固体废物</w:t>
            </w:r>
          </w:p>
        </w:tc>
        <w:tc>
          <w:tcPr>
            <w:tcW w:w="4032" w:type="dxa"/>
            <w:noWrap w:val="0"/>
            <w:vAlign w:val="center"/>
          </w:tcPr>
          <w:p w14:paraId="5B35D6CB">
            <w:pPr>
              <w:pStyle w:val="54"/>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施工船舶生活垃圾应做好日常的收集、分类与储存工作，定期接收至岸上，交由环卫部门接收处理，严禁将船舶生活垃圾倾倒入海污染水域。</w:t>
            </w:r>
          </w:p>
        </w:tc>
        <w:tc>
          <w:tcPr>
            <w:tcW w:w="2122" w:type="dxa"/>
            <w:noWrap w:val="0"/>
            <w:vAlign w:val="center"/>
          </w:tcPr>
          <w:p w14:paraId="4CB17CC1">
            <w:pPr>
              <w:pStyle w:val="54"/>
              <w:jc w:val="center"/>
              <w:rPr>
                <w:rFonts w:hint="eastAsia"/>
                <w:color w:val="auto"/>
                <w:szCs w:val="21"/>
                <w:highlight w:val="none"/>
              </w:rPr>
            </w:pP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47646C07">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548D1719">
            <w:pPr>
              <w:adjustRightInd w:val="0"/>
              <w:snapToGrid w:val="0"/>
              <w:jc w:val="center"/>
              <w:rPr>
                <w:color w:val="auto"/>
                <w:szCs w:val="21"/>
                <w:highlight w:val="none"/>
              </w:rPr>
            </w:pPr>
            <w:r>
              <w:rPr>
                <w:color w:val="auto"/>
                <w:szCs w:val="21"/>
                <w:highlight w:val="none"/>
              </w:rPr>
              <w:t>/</w:t>
            </w:r>
          </w:p>
        </w:tc>
      </w:tr>
      <w:tr w14:paraId="56B7C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vMerge w:val="continue"/>
            <w:noWrap w:val="0"/>
            <w:vAlign w:val="center"/>
          </w:tcPr>
          <w:p w14:paraId="454430DE">
            <w:pPr>
              <w:adjustRightInd w:val="0"/>
              <w:snapToGrid w:val="0"/>
              <w:jc w:val="center"/>
              <w:rPr>
                <w:color w:val="auto"/>
                <w:szCs w:val="21"/>
                <w:highlight w:val="none"/>
              </w:rPr>
            </w:pPr>
          </w:p>
        </w:tc>
        <w:tc>
          <w:tcPr>
            <w:tcW w:w="4032" w:type="dxa"/>
            <w:noWrap w:val="0"/>
            <w:vAlign w:val="center"/>
          </w:tcPr>
          <w:p w14:paraId="62342A53">
            <w:pPr>
              <w:pStyle w:val="54"/>
              <w:jc w:val="center"/>
              <w:rPr>
                <w:rFonts w:hint="eastAsia" w:ascii="宋体" w:hAnsi="Courier New" w:eastAsia="Times New Roman"/>
                <w:color w:val="auto"/>
                <w:kern w:val="2"/>
                <w:sz w:val="24"/>
                <w:szCs w:val="21"/>
                <w:highlight w:val="none"/>
                <w:lang w:val="en-US" w:eastAsia="zh-CN" w:bidi="ar-SA"/>
              </w:rPr>
            </w:pPr>
            <w:r>
              <w:rPr>
                <w:rFonts w:hint="eastAsia" w:ascii="宋体" w:hAnsi="宋体" w:eastAsia="宋体" w:cs="宋体"/>
                <w:b w:val="0"/>
                <w:bCs w:val="0"/>
                <w:color w:val="auto"/>
                <w:sz w:val="21"/>
                <w:szCs w:val="21"/>
                <w:highlight w:val="none"/>
              </w:rPr>
              <w:t>疏浚淤泥拟采用水下抛卸方式，外抛至防城港2＃倾倒区。</w:t>
            </w:r>
          </w:p>
        </w:tc>
        <w:tc>
          <w:tcPr>
            <w:tcW w:w="2122" w:type="dxa"/>
            <w:noWrap w:val="0"/>
            <w:vAlign w:val="center"/>
          </w:tcPr>
          <w:p w14:paraId="349B4413">
            <w:pPr>
              <w:pStyle w:val="54"/>
              <w:jc w:val="center"/>
              <w:rPr>
                <w:color w:val="auto"/>
                <w:szCs w:val="21"/>
                <w:highlight w:val="none"/>
              </w:rPr>
            </w:pPr>
            <w:r>
              <w:rPr>
                <w:rFonts w:hint="eastAsia" w:ascii="宋体" w:hAnsi="宋体" w:eastAsia="宋体" w:cs="宋体"/>
                <w:b w:val="0"/>
                <w:bCs w:val="0"/>
                <w:color w:val="auto"/>
                <w:sz w:val="21"/>
                <w:szCs w:val="21"/>
                <w:highlight w:val="none"/>
                <w:lang w:val="en-US" w:eastAsia="zh-CN"/>
              </w:rPr>
              <w:t>倾倒许可证及</w:t>
            </w:r>
            <w:r>
              <w:rPr>
                <w:rFonts w:hint="eastAsia" w:ascii="宋体" w:hAnsi="宋体" w:eastAsia="宋体" w:cs="宋体"/>
                <w:b w:val="0"/>
                <w:bCs w:val="0"/>
                <w:color w:val="auto"/>
                <w:sz w:val="21"/>
                <w:szCs w:val="21"/>
                <w:highlight w:val="none"/>
              </w:rPr>
              <w:t>相关处置协议</w:t>
            </w:r>
          </w:p>
        </w:tc>
        <w:tc>
          <w:tcPr>
            <w:tcW w:w="941" w:type="dxa"/>
            <w:noWrap w:val="0"/>
            <w:vAlign w:val="center"/>
          </w:tcPr>
          <w:p w14:paraId="07AD9FF8">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79CC82CD">
            <w:pPr>
              <w:adjustRightInd w:val="0"/>
              <w:snapToGrid w:val="0"/>
              <w:jc w:val="center"/>
              <w:rPr>
                <w:color w:val="auto"/>
                <w:szCs w:val="21"/>
                <w:highlight w:val="none"/>
              </w:rPr>
            </w:pPr>
            <w:r>
              <w:rPr>
                <w:color w:val="auto"/>
                <w:szCs w:val="21"/>
                <w:highlight w:val="none"/>
              </w:rPr>
              <w:t>/</w:t>
            </w:r>
          </w:p>
        </w:tc>
      </w:tr>
      <w:tr w14:paraId="09A91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47E7E6B5">
            <w:pPr>
              <w:adjustRightInd w:val="0"/>
              <w:snapToGrid w:val="0"/>
              <w:jc w:val="center"/>
              <w:rPr>
                <w:rFonts w:hint="eastAsia"/>
                <w:color w:val="auto"/>
                <w:szCs w:val="21"/>
                <w:highlight w:val="none"/>
              </w:rPr>
            </w:pPr>
            <w:r>
              <w:rPr>
                <w:rFonts w:hint="eastAsia"/>
                <w:color w:val="auto"/>
                <w:szCs w:val="21"/>
                <w:highlight w:val="none"/>
              </w:rPr>
              <w:t>电磁环境</w:t>
            </w:r>
          </w:p>
        </w:tc>
        <w:tc>
          <w:tcPr>
            <w:tcW w:w="4032" w:type="dxa"/>
            <w:noWrap w:val="0"/>
            <w:vAlign w:val="center"/>
          </w:tcPr>
          <w:p w14:paraId="75736C85">
            <w:pPr>
              <w:adjustRightInd w:val="0"/>
              <w:snapToGrid w:val="0"/>
              <w:jc w:val="center"/>
              <w:rPr>
                <w:rFonts w:hint="eastAsia"/>
                <w:color w:val="auto"/>
                <w:szCs w:val="21"/>
                <w:highlight w:val="none"/>
              </w:rPr>
            </w:pPr>
            <w:r>
              <w:rPr>
                <w:color w:val="auto"/>
                <w:szCs w:val="21"/>
                <w:highlight w:val="none"/>
              </w:rPr>
              <w:t>/</w:t>
            </w:r>
          </w:p>
        </w:tc>
        <w:tc>
          <w:tcPr>
            <w:tcW w:w="2122" w:type="dxa"/>
            <w:noWrap w:val="0"/>
            <w:vAlign w:val="center"/>
          </w:tcPr>
          <w:p w14:paraId="2D1B4946">
            <w:pPr>
              <w:adjustRightInd w:val="0"/>
              <w:snapToGrid w:val="0"/>
              <w:jc w:val="center"/>
              <w:rPr>
                <w:rFonts w:hint="eastAsia"/>
                <w:color w:val="auto"/>
                <w:szCs w:val="21"/>
                <w:highlight w:val="none"/>
              </w:rPr>
            </w:pPr>
            <w:r>
              <w:rPr>
                <w:color w:val="auto"/>
                <w:szCs w:val="21"/>
                <w:highlight w:val="none"/>
              </w:rPr>
              <w:t>/</w:t>
            </w:r>
          </w:p>
        </w:tc>
        <w:tc>
          <w:tcPr>
            <w:tcW w:w="941" w:type="dxa"/>
            <w:noWrap w:val="0"/>
            <w:vAlign w:val="center"/>
          </w:tcPr>
          <w:p w14:paraId="6E2AE394">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2C3D9D5B">
            <w:pPr>
              <w:adjustRightInd w:val="0"/>
              <w:snapToGrid w:val="0"/>
              <w:jc w:val="center"/>
              <w:rPr>
                <w:color w:val="auto"/>
                <w:szCs w:val="21"/>
                <w:highlight w:val="none"/>
              </w:rPr>
            </w:pPr>
            <w:r>
              <w:rPr>
                <w:color w:val="auto"/>
                <w:szCs w:val="21"/>
                <w:highlight w:val="none"/>
              </w:rPr>
              <w:t>/</w:t>
            </w:r>
          </w:p>
        </w:tc>
      </w:tr>
      <w:tr w14:paraId="25B62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51928C2A">
            <w:pPr>
              <w:adjustRightInd w:val="0"/>
              <w:snapToGrid w:val="0"/>
              <w:jc w:val="center"/>
              <w:rPr>
                <w:rFonts w:hint="eastAsia"/>
                <w:color w:val="auto"/>
                <w:szCs w:val="21"/>
                <w:highlight w:val="none"/>
              </w:rPr>
            </w:pPr>
            <w:r>
              <w:rPr>
                <w:rFonts w:hint="eastAsia"/>
                <w:color w:val="auto"/>
                <w:szCs w:val="21"/>
                <w:highlight w:val="none"/>
              </w:rPr>
              <w:t>环境风险</w:t>
            </w:r>
          </w:p>
        </w:tc>
        <w:tc>
          <w:tcPr>
            <w:tcW w:w="4032" w:type="dxa"/>
            <w:noWrap w:val="0"/>
            <w:vAlign w:val="center"/>
          </w:tcPr>
          <w:p w14:paraId="75B027D3">
            <w:pPr>
              <w:pStyle w:val="54"/>
              <w:jc w:val="center"/>
              <w:rPr>
                <w:rFonts w:hint="default" w:eastAsia="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建设单位制定应急预案并配备风险应急物资，施工前做好临时导助航等安全设施，与周边码头建立沟通协调机制</w:t>
            </w:r>
          </w:p>
        </w:tc>
        <w:tc>
          <w:tcPr>
            <w:tcW w:w="2122" w:type="dxa"/>
            <w:noWrap w:val="0"/>
            <w:vAlign w:val="center"/>
          </w:tcPr>
          <w:p w14:paraId="02CFA50A">
            <w:pPr>
              <w:pStyle w:val="54"/>
              <w:jc w:val="center"/>
              <w:rPr>
                <w:rFonts w:hint="eastAsia"/>
                <w:color w:val="auto"/>
                <w:szCs w:val="21"/>
                <w:highlight w:val="none"/>
              </w:rPr>
            </w:pPr>
            <w:r>
              <w:rPr>
                <w:rFonts w:hint="eastAsia" w:ascii="宋体" w:hAnsi="宋体" w:eastAsia="宋体" w:cs="宋体"/>
                <w:color w:val="auto"/>
                <w:sz w:val="21"/>
                <w:szCs w:val="21"/>
                <w:highlight w:val="none"/>
                <w:vertAlign w:val="baseline"/>
                <w:lang w:val="en-US" w:eastAsia="zh-CN"/>
              </w:rPr>
              <w:t>是否落实</w:t>
            </w:r>
          </w:p>
        </w:tc>
        <w:tc>
          <w:tcPr>
            <w:tcW w:w="941" w:type="dxa"/>
            <w:noWrap w:val="0"/>
            <w:vAlign w:val="center"/>
          </w:tcPr>
          <w:p w14:paraId="783D1314">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29D95B6A">
            <w:pPr>
              <w:adjustRightInd w:val="0"/>
              <w:snapToGrid w:val="0"/>
              <w:jc w:val="center"/>
              <w:rPr>
                <w:color w:val="auto"/>
                <w:szCs w:val="21"/>
                <w:highlight w:val="none"/>
              </w:rPr>
            </w:pPr>
            <w:r>
              <w:rPr>
                <w:color w:val="auto"/>
                <w:szCs w:val="21"/>
                <w:highlight w:val="none"/>
              </w:rPr>
              <w:t>/</w:t>
            </w:r>
          </w:p>
        </w:tc>
      </w:tr>
      <w:tr w14:paraId="6397D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51B3F4EE">
            <w:pPr>
              <w:adjustRightInd w:val="0"/>
              <w:snapToGrid w:val="0"/>
              <w:jc w:val="center"/>
              <w:rPr>
                <w:rFonts w:hint="eastAsia"/>
                <w:color w:val="auto"/>
                <w:szCs w:val="21"/>
                <w:highlight w:val="none"/>
              </w:rPr>
            </w:pPr>
            <w:r>
              <w:rPr>
                <w:rFonts w:hint="eastAsia"/>
                <w:color w:val="auto"/>
                <w:szCs w:val="21"/>
                <w:highlight w:val="none"/>
              </w:rPr>
              <w:t>环境监测</w:t>
            </w:r>
          </w:p>
        </w:tc>
        <w:tc>
          <w:tcPr>
            <w:tcW w:w="4032" w:type="dxa"/>
            <w:noWrap w:val="0"/>
            <w:vAlign w:val="center"/>
          </w:tcPr>
          <w:p w14:paraId="43B8DFCE">
            <w:pPr>
              <w:adjustRightInd w:val="0"/>
              <w:snapToGrid w:val="0"/>
              <w:jc w:val="center"/>
              <w:rPr>
                <w:color w:val="auto"/>
                <w:szCs w:val="21"/>
                <w:highlight w:val="none"/>
              </w:rPr>
            </w:pPr>
            <w:r>
              <w:rPr>
                <w:color w:val="auto"/>
                <w:szCs w:val="21"/>
                <w:highlight w:val="none"/>
              </w:rPr>
              <w:t>/</w:t>
            </w:r>
          </w:p>
        </w:tc>
        <w:tc>
          <w:tcPr>
            <w:tcW w:w="2122" w:type="dxa"/>
            <w:noWrap w:val="0"/>
            <w:vAlign w:val="center"/>
          </w:tcPr>
          <w:p w14:paraId="206676E8">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19A4E7F3">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76BBC670">
            <w:pPr>
              <w:adjustRightInd w:val="0"/>
              <w:snapToGrid w:val="0"/>
              <w:jc w:val="center"/>
              <w:rPr>
                <w:color w:val="auto"/>
                <w:szCs w:val="21"/>
                <w:highlight w:val="none"/>
              </w:rPr>
            </w:pPr>
            <w:r>
              <w:rPr>
                <w:color w:val="auto"/>
                <w:szCs w:val="21"/>
                <w:highlight w:val="none"/>
              </w:rPr>
              <w:t>/</w:t>
            </w:r>
          </w:p>
        </w:tc>
      </w:tr>
      <w:tr w14:paraId="2CE2E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8" w:type="dxa"/>
            <w:noWrap w:val="0"/>
            <w:vAlign w:val="center"/>
          </w:tcPr>
          <w:p w14:paraId="5422B5A8">
            <w:pPr>
              <w:adjustRightInd w:val="0"/>
              <w:snapToGrid w:val="0"/>
              <w:jc w:val="center"/>
              <w:rPr>
                <w:rFonts w:hint="eastAsia"/>
                <w:color w:val="auto"/>
                <w:szCs w:val="21"/>
                <w:highlight w:val="none"/>
              </w:rPr>
            </w:pPr>
            <w:r>
              <w:rPr>
                <w:rFonts w:hint="eastAsia"/>
                <w:color w:val="auto"/>
                <w:szCs w:val="21"/>
                <w:highlight w:val="none"/>
              </w:rPr>
              <w:t>其他</w:t>
            </w:r>
          </w:p>
        </w:tc>
        <w:tc>
          <w:tcPr>
            <w:tcW w:w="4032" w:type="dxa"/>
            <w:noWrap w:val="0"/>
            <w:vAlign w:val="center"/>
          </w:tcPr>
          <w:p w14:paraId="669FF5B6">
            <w:pPr>
              <w:adjustRightInd w:val="0"/>
              <w:snapToGrid w:val="0"/>
              <w:jc w:val="center"/>
              <w:rPr>
                <w:color w:val="auto"/>
                <w:szCs w:val="21"/>
                <w:highlight w:val="none"/>
              </w:rPr>
            </w:pPr>
            <w:r>
              <w:rPr>
                <w:color w:val="auto"/>
                <w:szCs w:val="21"/>
                <w:highlight w:val="none"/>
              </w:rPr>
              <w:t>/</w:t>
            </w:r>
          </w:p>
        </w:tc>
        <w:tc>
          <w:tcPr>
            <w:tcW w:w="2122" w:type="dxa"/>
            <w:noWrap w:val="0"/>
            <w:vAlign w:val="center"/>
          </w:tcPr>
          <w:p w14:paraId="1CEA72F7">
            <w:pPr>
              <w:adjustRightInd w:val="0"/>
              <w:snapToGrid w:val="0"/>
              <w:jc w:val="center"/>
              <w:rPr>
                <w:color w:val="auto"/>
                <w:szCs w:val="21"/>
                <w:highlight w:val="none"/>
              </w:rPr>
            </w:pPr>
            <w:r>
              <w:rPr>
                <w:color w:val="auto"/>
                <w:szCs w:val="21"/>
                <w:highlight w:val="none"/>
              </w:rPr>
              <w:t>/</w:t>
            </w:r>
          </w:p>
        </w:tc>
        <w:tc>
          <w:tcPr>
            <w:tcW w:w="941" w:type="dxa"/>
            <w:noWrap w:val="0"/>
            <w:vAlign w:val="center"/>
          </w:tcPr>
          <w:p w14:paraId="6A60D427">
            <w:pPr>
              <w:adjustRightInd w:val="0"/>
              <w:snapToGrid w:val="0"/>
              <w:jc w:val="center"/>
              <w:rPr>
                <w:color w:val="auto"/>
                <w:szCs w:val="21"/>
                <w:highlight w:val="none"/>
              </w:rPr>
            </w:pPr>
            <w:r>
              <w:rPr>
                <w:color w:val="auto"/>
                <w:szCs w:val="21"/>
                <w:highlight w:val="none"/>
              </w:rPr>
              <w:t>/</w:t>
            </w:r>
          </w:p>
        </w:tc>
        <w:tc>
          <w:tcPr>
            <w:tcW w:w="787" w:type="dxa"/>
            <w:noWrap w:val="0"/>
            <w:vAlign w:val="center"/>
          </w:tcPr>
          <w:p w14:paraId="77314DF8">
            <w:pPr>
              <w:adjustRightInd w:val="0"/>
              <w:snapToGrid w:val="0"/>
              <w:jc w:val="center"/>
              <w:rPr>
                <w:color w:val="auto"/>
                <w:szCs w:val="21"/>
                <w:highlight w:val="none"/>
              </w:rPr>
            </w:pPr>
            <w:r>
              <w:rPr>
                <w:color w:val="auto"/>
                <w:szCs w:val="21"/>
                <w:highlight w:val="none"/>
              </w:rPr>
              <w:t>/</w:t>
            </w:r>
          </w:p>
        </w:tc>
      </w:tr>
    </w:tbl>
    <w:p w14:paraId="0C48DAE0">
      <w:pPr>
        <w:pStyle w:val="40"/>
        <w:spacing w:before="0" w:beforeAutospacing="0" w:after="0" w:afterAutospacing="0" w:line="360" w:lineRule="auto"/>
        <w:jc w:val="center"/>
        <w:outlineLvl w:val="0"/>
        <w:rPr>
          <w:rStyle w:val="56"/>
          <w:color w:val="auto"/>
          <w:highlight w:val="none"/>
        </w:rPr>
      </w:pPr>
      <w:r>
        <w:rPr>
          <w:rFonts w:ascii="Times New Roman" w:hAnsi="Times New Roman"/>
          <w:snapToGrid w:val="0"/>
          <w:color w:val="auto"/>
          <w:highlight w:val="none"/>
        </w:rPr>
        <w:br w:type="page"/>
      </w:r>
      <w:bookmarkStart w:id="128" w:name="_Toc10747"/>
      <w:bookmarkStart w:id="129" w:name="_Toc5324"/>
      <w:bookmarkStart w:id="130" w:name="_Toc27231"/>
      <w:bookmarkStart w:id="131" w:name="_Toc25789"/>
      <w:r>
        <w:rPr>
          <w:rStyle w:val="56"/>
          <w:rFonts w:hint="eastAsia"/>
          <w:color w:val="auto"/>
          <w:highlight w:val="none"/>
        </w:rPr>
        <w:t>七</w:t>
      </w:r>
      <w:r>
        <w:rPr>
          <w:rStyle w:val="56"/>
          <w:color w:val="auto"/>
          <w:highlight w:val="none"/>
        </w:rPr>
        <w:t>、结论</w:t>
      </w:r>
      <w:bookmarkEnd w:id="128"/>
      <w:bookmarkEnd w:id="129"/>
      <w:bookmarkEnd w:id="130"/>
      <w:bookmarkEnd w:id="131"/>
    </w:p>
    <w:tbl>
      <w:tblPr>
        <w:tblStyle w:val="45"/>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60"/>
      </w:tblGrid>
      <w:tr w14:paraId="5E3965E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jc w:val="center"/>
        </w:trPr>
        <w:tc>
          <w:tcPr>
            <w:tcW w:w="9060" w:type="dxa"/>
            <w:noWrap w:val="0"/>
            <w:vAlign w:val="top"/>
          </w:tcPr>
          <w:p w14:paraId="5AE32170">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综上所述，</w:t>
            </w:r>
            <w:r>
              <w:rPr>
                <w:rFonts w:hint="eastAsia" w:ascii="Times New Roman" w:hAnsi="Times New Roman" w:eastAsia="宋体" w:cs="Times New Roman"/>
                <w:color w:val="auto"/>
                <w:sz w:val="24"/>
                <w:highlight w:val="none"/>
                <w:lang w:eastAsia="zh-CN"/>
              </w:rPr>
              <w:t>孚宝（钦州）码头有限公司钦州港金谷港区金鼓江作业区16#17#泊位码头停泊及回旋水域清淤疏浚项目（航道内部分）</w:t>
            </w:r>
            <w:r>
              <w:rPr>
                <w:rFonts w:hint="eastAsia" w:ascii="Times New Roman" w:hAnsi="Times New Roman" w:eastAsia="宋体" w:cs="Times New Roman"/>
                <w:color w:val="auto"/>
                <w:sz w:val="24"/>
                <w:highlight w:val="none"/>
              </w:rPr>
              <w:t>符合国家产业政策，项目选址合理，在落实设计和本评价提出的各项污染防治措施，确保污染物能够达标排放，固废合理处置</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严格执行“三同时”制度的前提下，项目对生态环境影响不大，项目对周围环境的影响可控制在可接受范围内。从环境保护角度分析，建设项目环境影响可行。</w:t>
            </w:r>
          </w:p>
          <w:p w14:paraId="6EAE53A4">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27947561">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34A69421">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7FDC157C">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5E630187">
            <w:pPr>
              <w:pStyle w:val="40"/>
              <w:spacing w:before="0" w:beforeAutospacing="0" w:after="0" w:afterAutospacing="0" w:line="360" w:lineRule="auto"/>
              <w:jc w:val="center"/>
              <w:outlineLvl w:val="0"/>
              <w:rPr>
                <w:rFonts w:hint="eastAsia" w:ascii="Times New Roman" w:hAnsi="Times New Roman" w:eastAsia="宋体" w:cs="Times New Roman"/>
                <w:color w:val="auto"/>
                <w:kern w:val="2"/>
                <w:sz w:val="24"/>
                <w:szCs w:val="24"/>
                <w:highlight w:val="none"/>
                <w:lang w:val="en-US" w:eastAsia="zh-CN" w:bidi="ar-SA"/>
              </w:rPr>
            </w:pPr>
          </w:p>
          <w:p w14:paraId="7C093400">
            <w:pPr>
              <w:pStyle w:val="40"/>
              <w:spacing w:before="0" w:beforeAutospacing="0" w:after="0" w:afterAutospacing="0" w:line="360" w:lineRule="auto"/>
              <w:jc w:val="center"/>
              <w:outlineLvl w:val="0"/>
              <w:rPr>
                <w:rStyle w:val="56"/>
                <w:rFonts w:hint="eastAsia"/>
                <w:color w:val="auto"/>
                <w:highlight w:val="none"/>
              </w:rPr>
            </w:pPr>
          </w:p>
          <w:p w14:paraId="53B17E4D">
            <w:pPr>
              <w:pStyle w:val="40"/>
              <w:spacing w:before="0" w:beforeAutospacing="0" w:after="0" w:afterAutospacing="0" w:line="360" w:lineRule="auto"/>
              <w:jc w:val="center"/>
              <w:outlineLvl w:val="0"/>
              <w:rPr>
                <w:rStyle w:val="56"/>
                <w:rFonts w:hint="eastAsia"/>
                <w:color w:val="auto"/>
                <w:highlight w:val="none"/>
              </w:rPr>
            </w:pPr>
          </w:p>
          <w:p w14:paraId="7A7327A6">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1C82E1E1">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0C7B8B12">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083680E4">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299C72DF">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72A1D2BF">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57CB3E7B">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5662FAD6">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3F46C91F">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738E1A36">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31452491">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6A5B6292">
            <w:pPr>
              <w:pStyle w:val="40"/>
              <w:spacing w:before="0" w:beforeAutospacing="0" w:after="0" w:afterAutospacing="0" w:line="360" w:lineRule="auto"/>
              <w:jc w:val="center"/>
              <w:outlineLvl w:val="0"/>
              <w:rPr>
                <w:rStyle w:val="56"/>
                <w:rFonts w:hint="eastAsia" w:ascii="Times New Roman" w:hAnsi="Times New Roman" w:cs="Times New Roman"/>
                <w:b/>
                <w:bCs/>
                <w:color w:val="auto"/>
                <w:highlight w:val="none"/>
              </w:rPr>
            </w:pPr>
          </w:p>
          <w:p w14:paraId="660DABE8">
            <w:pPr>
              <w:pStyle w:val="40"/>
              <w:spacing w:before="0" w:beforeAutospacing="0" w:after="0" w:afterAutospacing="0" w:line="360" w:lineRule="auto"/>
              <w:jc w:val="center"/>
              <w:outlineLvl w:val="0"/>
              <w:rPr>
                <w:rStyle w:val="56"/>
                <w:rFonts w:hint="eastAsia"/>
                <w:color w:val="auto"/>
                <w:highlight w:val="none"/>
              </w:rPr>
            </w:pPr>
          </w:p>
        </w:tc>
      </w:tr>
    </w:tbl>
    <w:p w14:paraId="3A025497">
      <w:pPr>
        <w:pStyle w:val="2"/>
        <w:snapToGrid/>
        <w:spacing w:before="0" w:after="0" w:line="360" w:lineRule="auto"/>
        <w:ind w:left="0" w:firstLine="0"/>
        <w:rPr>
          <w:rFonts w:hint="eastAsia"/>
          <w:color w:val="auto"/>
          <w:highlight w:val="none"/>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decorative"/>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31555AD-5018-4143-AB49-F11A1CCD10A7}"/>
  </w:font>
  <w:font w:name="黑体">
    <w:panose1 w:val="02010609060101010101"/>
    <w:charset w:val="86"/>
    <w:family w:val="auto"/>
    <w:pitch w:val="default"/>
    <w:sig w:usb0="800002BF" w:usb1="38CF7CFA" w:usb2="00000016" w:usb3="00000000" w:csb0="00040001" w:csb1="00000000"/>
    <w:embedRegular r:id="rId2" w:fontKey="{5E21BF39-080D-4732-95B2-AB20C07C8A3D}"/>
  </w:font>
  <w:font w:name="Courier New">
    <w:panose1 w:val="02070309020205020404"/>
    <w:charset w:val="01"/>
    <w:family w:val="modern"/>
    <w:pitch w:val="default"/>
    <w:sig w:usb0="E0002AFF" w:usb1="C0007843" w:usb2="00000009" w:usb3="00000000" w:csb0="400001FF" w:csb1="FFFF0000"/>
    <w:embedRegular r:id="rId3" w:fontKey="{0142B2C6-8E2C-4E28-8307-F7F067864F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6" w:usb3="00000000" w:csb0="00040001" w:csb1="00000000"/>
    <w:embedRegular r:id="rId4" w:fontKey="{C4EF1A37-588B-4E69-82C5-EE4B07A14EC4}"/>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embedRegular r:id="rId5" w:fontKey="{756ED4EF-38A3-4372-AB52-B11161E0CA6B}"/>
  </w:font>
  <w:font w:name="仿宋_GB2312">
    <w:altName w:val="仿宋"/>
    <w:panose1 w:val="00000000000000000000"/>
    <w:charset w:val="86"/>
    <w:family w:val="modern"/>
    <w:pitch w:val="default"/>
    <w:sig w:usb0="00000000" w:usb1="00000000" w:usb2="00000016" w:usb3="00000000" w:csb0="00040001" w:csb1="00000000"/>
    <w:embedRegular r:id="rId6" w:fontKey="{C4E520C5-0347-403F-A2BD-FAB2AA20E7FB}"/>
  </w:font>
  <w:font w:name="等线">
    <w:panose1 w:val="02010600030101010101"/>
    <w:charset w:val="86"/>
    <w:family w:val="auto"/>
    <w:pitch w:val="default"/>
    <w:sig w:usb0="A00002BF" w:usb1="38CF7CFA" w:usb2="00000016" w:usb3="00000000" w:csb0="0004000F" w:csb1="00000000"/>
    <w:embedRegular r:id="rId7" w:fontKey="{9911A443-480A-4C8B-B7C1-ADAFB518751B}"/>
  </w:font>
  <w:font w:name="方正小标宋_GBK">
    <w:panose1 w:val="03000509000000000000"/>
    <w:charset w:val="86"/>
    <w:family w:val="script"/>
    <w:pitch w:val="default"/>
    <w:sig w:usb0="00000001" w:usb1="080E0000" w:usb2="00000000" w:usb3="00000000" w:csb0="00040000" w:csb1="00000000"/>
    <w:embedRegular r:id="rId8" w:fontKey="{F8BCA6E6-DE31-49CE-B8C1-983F19FCD39D}"/>
  </w:font>
  <w:font w:name="Wingdings 2">
    <w:panose1 w:val="05020102010507070707"/>
    <w:charset w:val="02"/>
    <w:family w:val="auto"/>
    <w:pitch w:val="default"/>
    <w:sig w:usb0="00000000" w:usb1="00000000" w:usb2="00000000" w:usb3="00000000" w:csb0="80000000" w:csb1="00000000"/>
    <w:embedRegular r:id="rId9" w:fontKey="{E964797A-D578-43F1-BBA6-594717EDC0B4}"/>
  </w:font>
  <w:font w:name="Cambria Math">
    <w:panose1 w:val="02040503050406030204"/>
    <w:charset w:val="00"/>
    <w:family w:val="roman"/>
    <w:pitch w:val="default"/>
    <w:sig w:usb0="E00002FF" w:usb1="420024FF" w:usb2="00000000" w:usb3="00000000" w:csb0="2000019F" w:csb1="00000000"/>
    <w:embedRegular r:id="rId10" w:fontKey="{31EE9D34-E135-4666-B0CB-9504AF8E7390}"/>
  </w:font>
  <w:font w:name="Times New Roman PS MT">
    <w:altName w:val="Times New Roman"/>
    <w:panose1 w:val="00000000000000000000"/>
    <w:charset w:val="00"/>
    <w:family w:val="auto"/>
    <w:pitch w:val="default"/>
    <w:sig w:usb0="00000000" w:usb1="00000000" w:usb2="00000000" w:usb3="00000000" w:csb0="00040001" w:csb1="00000000"/>
    <w:embedRegular r:id="rId11" w:fontKey="{6E4796F1-C0AA-4289-B046-973BA62B2DB9}"/>
  </w:font>
  <w:font w:name="WPSEMBED2">
    <w:panose1 w:val="05020102010507070707"/>
    <w:charset w:val="00"/>
    <w:family w:val="auto"/>
    <w:pitch w:val="default"/>
    <w:sig w:usb0="00000000" w:usb1="00000000" w:usb2="00000000" w:usb3="00000000" w:csb0="80000000" w:csb1="00000000"/>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6B609">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79597">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45415" cy="131445"/>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45415" cy="131445"/>
                      </a:xfrm>
                      <a:prstGeom prst="rect">
                        <a:avLst/>
                      </a:prstGeom>
                      <a:noFill/>
                      <a:ln>
                        <a:noFill/>
                      </a:ln>
                    </wps:spPr>
                    <wps:txbx>
                      <w:txbxContent>
                        <w:p w14:paraId="4D0E8C5C">
                          <w:pPr>
                            <w:pStyle w:val="25"/>
                            <w:jc w:val="center"/>
                          </w:pPr>
                          <w:r>
                            <w:fldChar w:fldCharType="begin"/>
                          </w:r>
                          <w:r>
                            <w:instrText xml:space="preserve">PAGE   \* MERGEFORMAT</w:instrText>
                          </w:r>
                          <w:r>
                            <w:fldChar w:fldCharType="separate"/>
                          </w:r>
                          <w:r>
                            <w:t>22</w:t>
                          </w:r>
                          <w:r>
                            <w:fldChar w:fldCharType="end"/>
                          </w:r>
                        </w:p>
                      </w:txbxContent>
                    </wps:txbx>
                    <wps:bodyPr wrap="square" lIns="0" tIns="0" rIns="0" bIns="0" upright="0">
                      <a:spAutoFit/>
                    </wps:bodyPr>
                  </wps:wsp>
                </a:graphicData>
              </a:graphic>
            </wp:anchor>
          </w:drawing>
        </mc:Choice>
        <mc:Fallback>
          <w:pict>
            <v:shape id="文本框 4" o:spid="_x0000_s1026" o:spt="202" type="#_x0000_t202" style="position:absolute;left:0pt;margin-top:0pt;height:10.35pt;width:11.45pt;mso-position-horizontal:center;mso-position-horizontal-relative:margin;z-index:251659264;mso-width-relative:page;mso-height-relative:page;" filled="f" stroked="f" coordsize="21600,21600" o:gfxdata="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yNRmzRAAAAAwEAAA8AAAAAAAAAAQAgAAAAIgAAAGRycy9k&#10;b3ducmV2LnhtbFBLAQIUABQAAAAIAIdO4kD/MK3y0AEAAJoDAAAOAAAAAAAAAAEAIAAAACABAABk&#10;cnMvZTJvRG9jLnhtbFBLBQYAAAAABgAGAFkBAABiBQAAAAA=&#10;">
              <v:fill on="f" focussize="0,0"/>
              <v:stroke on="f"/>
              <v:imagedata o:title=""/>
              <o:lock v:ext="edit" aspectratio="f"/>
              <v:textbox inset="0mm,0mm,0mm,0mm" style="mso-fit-shape-to-text:t;">
                <w:txbxContent>
                  <w:p w14:paraId="4D0E8C5C">
                    <w:pPr>
                      <w:pStyle w:val="25"/>
                      <w:jc w:val="center"/>
                    </w:pPr>
                    <w:r>
                      <w:fldChar w:fldCharType="begin"/>
                    </w:r>
                    <w:r>
                      <w:instrText xml:space="preserve">PAGE   \* MERGEFORMAT</w:instrText>
                    </w:r>
                    <w:r>
                      <w:fldChar w:fldCharType="separate"/>
                    </w:r>
                    <w: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2E694">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E893EA">
                          <w:pPr>
                            <w:pStyle w:val="25"/>
                            <w:jc w:val="center"/>
                          </w:pPr>
                          <w:r>
                            <w:fldChar w:fldCharType="begin"/>
                          </w:r>
                          <w:r>
                            <w:instrText xml:space="preserve">PAGE   \* MERGEFORMAT</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2HTiMkBAACa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OUbShy3OPHzzx/nX3/Ov7+T&#10;V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LYdOIyQEAAJoDAAAOAAAAAAAAAAEAIAAAAB4BAABkcnMvZTJvRG9j&#10;LnhtbFBLBQYAAAAABgAGAFkBAABZBQAAAAA=&#10;">
              <v:fill on="f" focussize="0,0"/>
              <v:stroke on="f"/>
              <v:imagedata o:title=""/>
              <o:lock v:ext="edit" aspectratio="f"/>
              <v:textbox inset="0mm,0mm,0mm,0mm" style="mso-fit-shape-to-text:t;">
                <w:txbxContent>
                  <w:p w14:paraId="57E893EA">
                    <w:pPr>
                      <w:pStyle w:val="25"/>
                      <w:jc w:val="center"/>
                    </w:pPr>
                    <w:r>
                      <w:fldChar w:fldCharType="begin"/>
                    </w:r>
                    <w:r>
                      <w:instrText xml:space="preserve">PAGE   \* MERGEFORMAT</w:instrText>
                    </w:r>
                    <w:r>
                      <w:fldChar w:fldCharType="separate"/>
                    </w:r>
                    <w:r>
                      <w:t>30</w:t>
                    </w:r>
                    <w:r>
                      <w:fldChar w:fldCharType="end"/>
                    </w:r>
                  </w:p>
                </w:txbxContent>
              </v:textbox>
            </v:shape>
          </w:pict>
        </mc:Fallback>
      </mc:AlternateContent>
    </w:r>
  </w:p>
  <w:p w14:paraId="736A61B5">
    <w:pPr>
      <w:pStyle w:val="2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87D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7E2B">
    <w:pPr>
      <w:pStyle w:val="2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7B52">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476AE">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F5547"/>
    <w:multiLevelType w:val="singleLevel"/>
    <w:tmpl w:val="894F5547"/>
    <w:lvl w:ilvl="0" w:tentative="0">
      <w:start w:val="1"/>
      <w:numFmt w:val="decimal"/>
      <w:suff w:val="nothing"/>
      <w:lvlText w:val="（%1）"/>
      <w:lvlJc w:val="left"/>
    </w:lvl>
  </w:abstractNum>
  <w:abstractNum w:abstractNumId="1">
    <w:nsid w:val="8F5A45BF"/>
    <w:multiLevelType w:val="singleLevel"/>
    <w:tmpl w:val="8F5A45BF"/>
    <w:lvl w:ilvl="0" w:tentative="0">
      <w:start w:val="1"/>
      <w:numFmt w:val="decimal"/>
      <w:suff w:val="nothing"/>
      <w:lvlText w:val="（%1）"/>
      <w:lvlJc w:val="left"/>
    </w:lvl>
  </w:abstractNum>
  <w:abstractNum w:abstractNumId="2">
    <w:nsid w:val="A4A68AF2"/>
    <w:multiLevelType w:val="singleLevel"/>
    <w:tmpl w:val="A4A68AF2"/>
    <w:lvl w:ilvl="0" w:tentative="0">
      <w:start w:val="1"/>
      <w:numFmt w:val="decimal"/>
      <w:suff w:val="nothing"/>
      <w:lvlText w:val="（%1）"/>
      <w:lvlJc w:val="left"/>
    </w:lvl>
  </w:abstractNum>
  <w:abstractNum w:abstractNumId="3">
    <w:nsid w:val="B305D3D4"/>
    <w:multiLevelType w:val="singleLevel"/>
    <w:tmpl w:val="B305D3D4"/>
    <w:lvl w:ilvl="0" w:tentative="0">
      <w:start w:val="1"/>
      <w:numFmt w:val="decimal"/>
      <w:lvlText w:val="%1."/>
      <w:lvlJc w:val="left"/>
      <w:pPr>
        <w:tabs>
          <w:tab w:val="left" w:pos="312"/>
        </w:tabs>
      </w:pPr>
    </w:lvl>
  </w:abstractNum>
  <w:abstractNum w:abstractNumId="4">
    <w:nsid w:val="B88E5D32"/>
    <w:multiLevelType w:val="singleLevel"/>
    <w:tmpl w:val="B88E5D32"/>
    <w:lvl w:ilvl="0" w:tentative="0">
      <w:start w:val="1"/>
      <w:numFmt w:val="decimal"/>
      <w:suff w:val="nothing"/>
      <w:lvlText w:val="（%1）"/>
      <w:lvlJc w:val="left"/>
    </w:lvl>
  </w:abstractNum>
  <w:abstractNum w:abstractNumId="5">
    <w:nsid w:val="CB17A353"/>
    <w:multiLevelType w:val="multilevel"/>
    <w:tmpl w:val="CB17A353"/>
    <w:lvl w:ilvl="0" w:tentative="0">
      <w:start w:val="1"/>
      <w:numFmt w:val="decimal"/>
      <w:suff w:val="space"/>
      <w:lvlText w:val="%1"/>
      <w:lvlJc w:val="left"/>
      <w:pPr>
        <w:tabs>
          <w:tab w:val="left" w:pos="42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sz w:val="28"/>
        <w:szCs w:val="28"/>
      </w:rPr>
    </w:lvl>
    <w:lvl w:ilvl="3" w:tentative="0">
      <w:start w:val="1"/>
      <w:numFmt w:val="decimal"/>
      <w:suff w:val="space"/>
      <w:lvlText w:val="%1.%2.%3.%4"/>
      <w:lvlJc w:val="left"/>
      <w:pPr>
        <w:tabs>
          <w:tab w:val="left" w:pos="0"/>
        </w:tabs>
        <w:ind w:left="0" w:firstLine="0"/>
      </w:pPr>
      <w:rPr>
        <w:rFonts w:hint="default" w:ascii="Times New Roman" w:hAnsi="Times New Roman" w:eastAsia="宋体" w:cs="Times New Roman"/>
        <w:sz w:val="24"/>
        <w:szCs w:val="24"/>
      </w:rPr>
    </w:lvl>
    <w:lvl w:ilvl="4" w:tentative="0">
      <w:start w:val="1"/>
      <w:numFmt w:val="decimal"/>
      <w:lvlRestart w:val="2"/>
      <w:suff w:val="space"/>
      <w:lvlText w:val="表%1.%2-%5 "/>
      <w:lvlJc w:val="left"/>
      <w:pPr>
        <w:tabs>
          <w:tab w:val="left" w:pos="0"/>
        </w:tabs>
        <w:ind w:left="0" w:firstLine="0"/>
      </w:pPr>
      <w:rPr>
        <w:rFonts w:hint="default" w:ascii="Times New Roman" w:hAnsi="Times New Roman" w:eastAsia="宋体" w:cs="宋体"/>
      </w:rPr>
    </w:lvl>
    <w:lvl w:ilvl="5" w:tentative="0">
      <w:start w:val="1"/>
      <w:numFmt w:val="decimal"/>
      <w:lvlRestart w:val="2"/>
      <w:pStyle w:val="6"/>
      <w:suff w:val="space"/>
      <w:lvlText w:val="图%1.%2-%6 "/>
      <w:lvlJc w:val="left"/>
      <w:pPr>
        <w:tabs>
          <w:tab w:val="left" w:pos="0"/>
        </w:tabs>
        <w:ind w:left="0" w:firstLine="0"/>
      </w:pPr>
      <w:rPr>
        <w:rFonts w:hint="default" w:ascii="Times New Roman" w:hAnsi="Times New Roman" w:eastAsia="宋体" w:cs="宋体"/>
      </w:rPr>
    </w:lvl>
    <w:lvl w:ilvl="6" w:tentative="0">
      <w:start w:val="1"/>
      <w:numFmt w:val="none"/>
      <w:lvlRestart w:val="0"/>
      <w:suff w:val="nothing"/>
      <w:lvlText w:val=""/>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D30F8064"/>
    <w:multiLevelType w:val="singleLevel"/>
    <w:tmpl w:val="D30F8064"/>
    <w:lvl w:ilvl="0" w:tentative="0">
      <w:start w:val="3"/>
      <w:numFmt w:val="upperLetter"/>
      <w:lvlText w:val="%1."/>
      <w:lvlJc w:val="left"/>
      <w:pPr>
        <w:tabs>
          <w:tab w:val="left" w:pos="312"/>
        </w:tabs>
      </w:pPr>
    </w:lvl>
  </w:abstractNum>
  <w:abstractNum w:abstractNumId="7">
    <w:nsid w:val="FC1EFF52"/>
    <w:multiLevelType w:val="singleLevel"/>
    <w:tmpl w:val="FC1EFF52"/>
    <w:lvl w:ilvl="0" w:tentative="0">
      <w:start w:val="1"/>
      <w:numFmt w:val="decimal"/>
      <w:suff w:val="nothing"/>
      <w:lvlText w:val="（%1）"/>
      <w:lvlJc w:val="left"/>
    </w:lvl>
  </w:abstractNum>
  <w:abstractNum w:abstractNumId="8">
    <w:nsid w:val="0E05652C"/>
    <w:multiLevelType w:val="singleLevel"/>
    <w:tmpl w:val="0E05652C"/>
    <w:lvl w:ilvl="0" w:tentative="0">
      <w:start w:val="1"/>
      <w:numFmt w:val="decimal"/>
      <w:suff w:val="nothing"/>
      <w:lvlText w:val="%1、"/>
      <w:lvlJc w:val="left"/>
      <w:pPr>
        <w:tabs>
          <w:tab w:val="left" w:pos="0"/>
        </w:tabs>
        <w:ind w:left="0" w:firstLine="420"/>
      </w:pPr>
      <w:rPr>
        <w:rFonts w:hint="default"/>
      </w:rPr>
    </w:lvl>
  </w:abstractNum>
  <w:abstractNum w:abstractNumId="9">
    <w:nsid w:val="141F7A06"/>
    <w:multiLevelType w:val="singleLevel"/>
    <w:tmpl w:val="141F7A06"/>
    <w:lvl w:ilvl="0" w:tentative="0">
      <w:start w:val="1"/>
      <w:numFmt w:val="decimal"/>
      <w:suff w:val="nothing"/>
      <w:lvlText w:val="（%1）"/>
      <w:lvlJc w:val="left"/>
    </w:lvl>
  </w:abstractNum>
  <w:abstractNum w:abstractNumId="10">
    <w:nsid w:val="1C2341BE"/>
    <w:multiLevelType w:val="singleLevel"/>
    <w:tmpl w:val="1C2341BE"/>
    <w:lvl w:ilvl="0" w:tentative="0">
      <w:start w:val="1"/>
      <w:numFmt w:val="decimal"/>
      <w:suff w:val="nothing"/>
      <w:lvlText w:val="（%1）"/>
      <w:lvlJc w:val="left"/>
    </w:lvl>
  </w:abstractNum>
  <w:abstractNum w:abstractNumId="11">
    <w:nsid w:val="278F7BE2"/>
    <w:multiLevelType w:val="singleLevel"/>
    <w:tmpl w:val="278F7BE2"/>
    <w:lvl w:ilvl="0" w:tentative="0">
      <w:start w:val="2"/>
      <w:numFmt w:val="decimal"/>
      <w:suff w:val="nothing"/>
      <w:lvlText w:val="（%1）"/>
      <w:lvlJc w:val="left"/>
    </w:lvl>
  </w:abstractNum>
  <w:abstractNum w:abstractNumId="12">
    <w:nsid w:val="32B2536F"/>
    <w:multiLevelType w:val="singleLevel"/>
    <w:tmpl w:val="32B2536F"/>
    <w:lvl w:ilvl="0" w:tentative="0">
      <w:start w:val="1"/>
      <w:numFmt w:val="decimal"/>
      <w:suff w:val="nothing"/>
      <w:lvlText w:val="%1、"/>
      <w:lvlJc w:val="left"/>
    </w:lvl>
  </w:abstractNum>
  <w:abstractNum w:abstractNumId="13">
    <w:nsid w:val="36E2EDC2"/>
    <w:multiLevelType w:val="singleLevel"/>
    <w:tmpl w:val="36E2EDC2"/>
    <w:lvl w:ilvl="0" w:tentative="0">
      <w:start w:val="5"/>
      <w:numFmt w:val="decimal"/>
      <w:suff w:val="nothing"/>
      <w:lvlText w:val="%1．"/>
      <w:lvlJc w:val="left"/>
    </w:lvl>
  </w:abstractNum>
  <w:abstractNum w:abstractNumId="14">
    <w:nsid w:val="40039CA8"/>
    <w:multiLevelType w:val="multilevel"/>
    <w:tmpl w:val="40039CA8"/>
    <w:lvl w:ilvl="0" w:tentative="0">
      <w:start w:val="3"/>
      <w:numFmt w:val="decimal"/>
      <w:suff w:val="space"/>
      <w:lvlText w:val="%1"/>
      <w:lvlJc w:val="left"/>
      <w:pPr>
        <w:tabs>
          <w:tab w:val="left" w:pos="420"/>
        </w:tabs>
        <w:ind w:left="0" w:firstLine="0"/>
      </w:pPr>
      <w:rPr>
        <w:rFonts w:hint="default" w:ascii="Times New Roman" w:hAnsi="Times New Roman" w:eastAsia="宋体" w:cs="Times New Roman"/>
      </w:rPr>
    </w:lvl>
    <w:lvl w:ilvl="1" w:tentative="0">
      <w:start w:val="3"/>
      <w:numFmt w:val="decimal"/>
      <w:suff w:val="space"/>
      <w:lvlText w:val="%1.%2"/>
      <w:lvlJc w:val="left"/>
      <w:pPr>
        <w:tabs>
          <w:tab w:val="left" w:pos="0"/>
        </w:tabs>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sz w:val="24"/>
        <w:szCs w:val="24"/>
      </w:rPr>
    </w:lvl>
    <w:lvl w:ilvl="3" w:tentative="0">
      <w:start w:val="1"/>
      <w:numFmt w:val="decimal"/>
      <w:suff w:val="space"/>
      <w:lvlText w:val="%1.%2.%3.%4"/>
      <w:lvlJc w:val="left"/>
      <w:pPr>
        <w:tabs>
          <w:tab w:val="left" w:pos="0"/>
        </w:tabs>
        <w:ind w:left="0" w:firstLine="0"/>
      </w:pPr>
      <w:rPr>
        <w:rFonts w:hint="default" w:ascii="Times New Roman" w:hAnsi="Times New Roman" w:eastAsia="宋体" w:cs="Times New Roman"/>
        <w:sz w:val="24"/>
        <w:szCs w:val="24"/>
      </w:rPr>
    </w:lvl>
    <w:lvl w:ilvl="4" w:tentative="0">
      <w:start w:val="1"/>
      <w:numFmt w:val="decimal"/>
      <w:lvlRestart w:val="2"/>
      <w:suff w:val="space"/>
      <w:lvlText w:val="表%1.%2-%5"/>
      <w:lvlJc w:val="left"/>
      <w:pPr>
        <w:tabs>
          <w:tab w:val="left" w:pos="0"/>
        </w:tabs>
        <w:ind w:left="0" w:firstLine="0"/>
      </w:pPr>
      <w:rPr>
        <w:rFonts w:hint="default" w:ascii="Times New Roman" w:hAnsi="Times New Roman" w:eastAsia="宋体" w:cs="Times New Roman"/>
      </w:rPr>
    </w:lvl>
    <w:lvl w:ilvl="5" w:tentative="0">
      <w:start w:val="1"/>
      <w:numFmt w:val="decimal"/>
      <w:lvlRestart w:val="2"/>
      <w:suff w:val="space"/>
      <w:lvlText w:val="图%1.%2-%6"/>
      <w:lvlJc w:val="left"/>
      <w:pPr>
        <w:tabs>
          <w:tab w:val="left" w:pos="0"/>
        </w:tabs>
        <w:ind w:left="0" w:firstLine="0"/>
      </w:pPr>
      <w:rPr>
        <w:rFonts w:hint="default" w:ascii="Times New Roman" w:hAnsi="Times New Roman" w:eastAsia="宋体" w:cs="Times New Roman"/>
      </w:rPr>
    </w:lvl>
    <w:lvl w:ilvl="6" w:tentative="0">
      <w:start w:val="1"/>
      <w:numFmt w:val="none"/>
      <w:lvlRestart w:val="0"/>
      <w:suff w:val="nothing"/>
      <w:lvlText w:val=""/>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5">
    <w:nsid w:val="40DA18E2"/>
    <w:multiLevelType w:val="singleLevel"/>
    <w:tmpl w:val="40DA18E2"/>
    <w:lvl w:ilvl="0" w:tentative="0">
      <w:start w:val="1"/>
      <w:numFmt w:val="upperLetter"/>
      <w:suff w:val="space"/>
      <w:lvlText w:val="%1."/>
      <w:lvlJc w:val="left"/>
    </w:lvl>
  </w:abstractNum>
  <w:abstractNum w:abstractNumId="16">
    <w:nsid w:val="49EF5006"/>
    <w:multiLevelType w:val="singleLevel"/>
    <w:tmpl w:val="49EF5006"/>
    <w:lvl w:ilvl="0" w:tentative="0">
      <w:start w:val="2"/>
      <w:numFmt w:val="upperLetter"/>
      <w:suff w:val="space"/>
      <w:lvlText w:val="%1."/>
      <w:lvlJc w:val="left"/>
    </w:lvl>
  </w:abstractNum>
  <w:abstractNum w:abstractNumId="17">
    <w:nsid w:val="557A8CEE"/>
    <w:multiLevelType w:val="singleLevel"/>
    <w:tmpl w:val="557A8CEE"/>
    <w:lvl w:ilvl="0" w:tentative="0">
      <w:start w:val="1"/>
      <w:numFmt w:val="decimal"/>
      <w:suff w:val="nothing"/>
      <w:lvlText w:val="（%1）"/>
      <w:lvlJc w:val="left"/>
    </w:lvl>
  </w:abstractNum>
  <w:abstractNum w:abstractNumId="18">
    <w:nsid w:val="58FEF073"/>
    <w:multiLevelType w:val="singleLevel"/>
    <w:tmpl w:val="58FEF073"/>
    <w:lvl w:ilvl="0" w:tentative="0">
      <w:start w:val="2"/>
      <w:numFmt w:val="decimal"/>
      <w:suff w:val="nothing"/>
      <w:lvlText w:val="%1、"/>
      <w:lvlJc w:val="left"/>
    </w:lvl>
  </w:abstractNum>
  <w:abstractNum w:abstractNumId="19">
    <w:nsid w:val="62667D2C"/>
    <w:multiLevelType w:val="singleLevel"/>
    <w:tmpl w:val="62667D2C"/>
    <w:lvl w:ilvl="0" w:tentative="0">
      <w:start w:val="2"/>
      <w:numFmt w:val="decimal"/>
      <w:suff w:val="nothing"/>
      <w:lvlText w:val="（%1）"/>
      <w:lvlJc w:val="left"/>
    </w:lvl>
  </w:abstractNum>
  <w:abstractNum w:abstractNumId="20">
    <w:nsid w:val="653A23E1"/>
    <w:multiLevelType w:val="singleLevel"/>
    <w:tmpl w:val="653A23E1"/>
    <w:lvl w:ilvl="0" w:tentative="0">
      <w:start w:val="2"/>
      <w:numFmt w:val="decimal"/>
      <w:suff w:val="nothing"/>
      <w:lvlText w:val="%1、"/>
      <w:lvlJc w:val="left"/>
    </w:lvl>
  </w:abstractNum>
  <w:abstractNum w:abstractNumId="21">
    <w:nsid w:val="65D4F719"/>
    <w:multiLevelType w:val="singleLevel"/>
    <w:tmpl w:val="65D4F719"/>
    <w:lvl w:ilvl="0" w:tentative="0">
      <w:start w:val="2"/>
      <w:numFmt w:val="decimal"/>
      <w:suff w:val="nothing"/>
      <w:lvlText w:val="%1、"/>
      <w:lvlJc w:val="left"/>
    </w:lvl>
  </w:abstractNum>
  <w:abstractNum w:abstractNumId="22">
    <w:nsid w:val="65F1C322"/>
    <w:multiLevelType w:val="singleLevel"/>
    <w:tmpl w:val="65F1C322"/>
    <w:lvl w:ilvl="0" w:tentative="0">
      <w:start w:val="1"/>
      <w:numFmt w:val="chineseCounting"/>
      <w:suff w:val="nothing"/>
      <w:lvlText w:val="（%1）"/>
      <w:lvlJc w:val="left"/>
      <w:rPr>
        <w:rFonts w:hint="eastAsia"/>
      </w:rPr>
    </w:lvl>
  </w:abstractNum>
  <w:abstractNum w:abstractNumId="23">
    <w:nsid w:val="6980D33C"/>
    <w:multiLevelType w:val="singleLevel"/>
    <w:tmpl w:val="6980D33C"/>
    <w:lvl w:ilvl="0" w:tentative="0">
      <w:start w:val="1"/>
      <w:numFmt w:val="decimal"/>
      <w:suff w:val="nothing"/>
      <w:lvlText w:val="%1、"/>
      <w:lvlJc w:val="left"/>
      <w:pPr>
        <w:tabs>
          <w:tab w:val="left" w:pos="0"/>
        </w:tabs>
        <w:ind w:left="0" w:firstLine="420"/>
      </w:pPr>
      <w:rPr>
        <w:rFonts w:hint="default"/>
      </w:rPr>
    </w:lvl>
  </w:abstractNum>
  <w:abstractNum w:abstractNumId="24">
    <w:nsid w:val="6ABE7C6F"/>
    <w:multiLevelType w:val="singleLevel"/>
    <w:tmpl w:val="6ABE7C6F"/>
    <w:lvl w:ilvl="0" w:tentative="0">
      <w:start w:val="2"/>
      <w:numFmt w:val="decimal"/>
      <w:suff w:val="nothing"/>
      <w:lvlText w:val="%1、"/>
      <w:lvlJc w:val="left"/>
    </w:lvl>
  </w:abstractNum>
  <w:abstractNum w:abstractNumId="25">
    <w:nsid w:val="742C58B8"/>
    <w:multiLevelType w:val="singleLevel"/>
    <w:tmpl w:val="742C58B8"/>
    <w:lvl w:ilvl="0" w:tentative="0">
      <w:start w:val="1"/>
      <w:numFmt w:val="decimalEnclosedCircleChinese"/>
      <w:suff w:val="space"/>
      <w:lvlText w:val="%1"/>
      <w:lvlJc w:val="left"/>
      <w:rPr>
        <w:rFonts w:hint="eastAsia"/>
      </w:rPr>
    </w:lvl>
  </w:abstractNum>
  <w:num w:numId="1">
    <w:abstractNumId w:val="5"/>
  </w:num>
  <w:num w:numId="2">
    <w:abstractNumId w:val="19"/>
  </w:num>
  <w:num w:numId="3">
    <w:abstractNumId w:val="3"/>
  </w:num>
  <w:num w:numId="4">
    <w:abstractNumId w:val="22"/>
  </w:num>
  <w:num w:numId="5">
    <w:abstractNumId w:val="13"/>
  </w:num>
  <w:num w:numId="6">
    <w:abstractNumId w:val="1"/>
  </w:num>
  <w:num w:numId="7">
    <w:abstractNumId w:val="8"/>
  </w:num>
  <w:num w:numId="8">
    <w:abstractNumId w:val="23"/>
  </w:num>
  <w:num w:numId="9">
    <w:abstractNumId w:val="25"/>
  </w:num>
  <w:num w:numId="10">
    <w:abstractNumId w:val="18"/>
  </w:num>
  <w:num w:numId="11">
    <w:abstractNumId w:val="12"/>
  </w:num>
  <w:num w:numId="12">
    <w:abstractNumId w:val="14"/>
  </w:num>
  <w:num w:numId="13">
    <w:abstractNumId w:val="11"/>
  </w:num>
  <w:num w:numId="14">
    <w:abstractNumId w:val="20"/>
  </w:num>
  <w:num w:numId="15">
    <w:abstractNumId w:val="7"/>
  </w:num>
  <w:num w:numId="16">
    <w:abstractNumId w:val="24"/>
  </w:num>
  <w:num w:numId="17">
    <w:abstractNumId w:val="17"/>
  </w:num>
  <w:num w:numId="18">
    <w:abstractNumId w:val="6"/>
  </w:num>
  <w:num w:numId="19">
    <w:abstractNumId w:val="0"/>
  </w:num>
  <w:num w:numId="20">
    <w:abstractNumId w:val="10"/>
  </w:num>
  <w:num w:numId="21">
    <w:abstractNumId w:val="2"/>
  </w:num>
  <w:num w:numId="22">
    <w:abstractNumId w:val="21"/>
  </w:num>
  <w:num w:numId="23">
    <w:abstractNumId w:val="4"/>
  </w:num>
  <w:num w:numId="24">
    <w:abstractNumId w:val="9"/>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WQzNDMyNzA2MjhlMzA3ZWQzOWM1ODQwMTI5NzUifQ=="/>
  </w:docVars>
  <w:rsids>
    <w:rsidRoot w:val="00172A27"/>
    <w:rsid w:val="00000046"/>
    <w:rsid w:val="00003148"/>
    <w:rsid w:val="00004B8F"/>
    <w:rsid w:val="00005D17"/>
    <w:rsid w:val="00005D90"/>
    <w:rsid w:val="000060B3"/>
    <w:rsid w:val="00006A88"/>
    <w:rsid w:val="00012611"/>
    <w:rsid w:val="000156BF"/>
    <w:rsid w:val="00016E4C"/>
    <w:rsid w:val="00020092"/>
    <w:rsid w:val="00020685"/>
    <w:rsid w:val="00023E81"/>
    <w:rsid w:val="0002480F"/>
    <w:rsid w:val="0002688F"/>
    <w:rsid w:val="00032291"/>
    <w:rsid w:val="000326EE"/>
    <w:rsid w:val="0003395D"/>
    <w:rsid w:val="00034170"/>
    <w:rsid w:val="00036816"/>
    <w:rsid w:val="00041988"/>
    <w:rsid w:val="0004364B"/>
    <w:rsid w:val="00044953"/>
    <w:rsid w:val="00044E55"/>
    <w:rsid w:val="00045F3F"/>
    <w:rsid w:val="00047108"/>
    <w:rsid w:val="00047D12"/>
    <w:rsid w:val="00055794"/>
    <w:rsid w:val="0005585D"/>
    <w:rsid w:val="00060A21"/>
    <w:rsid w:val="00061A46"/>
    <w:rsid w:val="00061B1F"/>
    <w:rsid w:val="0006653A"/>
    <w:rsid w:val="00066F93"/>
    <w:rsid w:val="000733C4"/>
    <w:rsid w:val="0007358C"/>
    <w:rsid w:val="00073987"/>
    <w:rsid w:val="00074577"/>
    <w:rsid w:val="00074783"/>
    <w:rsid w:val="00075114"/>
    <w:rsid w:val="00076599"/>
    <w:rsid w:val="0008070B"/>
    <w:rsid w:val="000810AC"/>
    <w:rsid w:val="00081A02"/>
    <w:rsid w:val="00081F9C"/>
    <w:rsid w:val="00082231"/>
    <w:rsid w:val="00082B42"/>
    <w:rsid w:val="00083234"/>
    <w:rsid w:val="000841D1"/>
    <w:rsid w:val="000848A6"/>
    <w:rsid w:val="00085B1E"/>
    <w:rsid w:val="000860F9"/>
    <w:rsid w:val="0008739B"/>
    <w:rsid w:val="00087BDA"/>
    <w:rsid w:val="00092007"/>
    <w:rsid w:val="00092D38"/>
    <w:rsid w:val="0009377B"/>
    <w:rsid w:val="000964EC"/>
    <w:rsid w:val="00097247"/>
    <w:rsid w:val="00097463"/>
    <w:rsid w:val="000975C4"/>
    <w:rsid w:val="00097A1D"/>
    <w:rsid w:val="000A20C9"/>
    <w:rsid w:val="000A549F"/>
    <w:rsid w:val="000A751E"/>
    <w:rsid w:val="000A761A"/>
    <w:rsid w:val="000B058F"/>
    <w:rsid w:val="000B1333"/>
    <w:rsid w:val="000B4467"/>
    <w:rsid w:val="000B4A78"/>
    <w:rsid w:val="000B4DB9"/>
    <w:rsid w:val="000B6BA3"/>
    <w:rsid w:val="000C09AC"/>
    <w:rsid w:val="000C673F"/>
    <w:rsid w:val="000C6811"/>
    <w:rsid w:val="000C767F"/>
    <w:rsid w:val="000D02F9"/>
    <w:rsid w:val="000D2471"/>
    <w:rsid w:val="000D326B"/>
    <w:rsid w:val="000D45E6"/>
    <w:rsid w:val="000D583B"/>
    <w:rsid w:val="000D5A44"/>
    <w:rsid w:val="000D62A7"/>
    <w:rsid w:val="000D7070"/>
    <w:rsid w:val="000E0CF3"/>
    <w:rsid w:val="000E1616"/>
    <w:rsid w:val="000E1B99"/>
    <w:rsid w:val="000E2722"/>
    <w:rsid w:val="000E3ED2"/>
    <w:rsid w:val="000E458E"/>
    <w:rsid w:val="000E4C6F"/>
    <w:rsid w:val="000F13CA"/>
    <w:rsid w:val="000F1C34"/>
    <w:rsid w:val="000F2517"/>
    <w:rsid w:val="000F4A07"/>
    <w:rsid w:val="000F7F4E"/>
    <w:rsid w:val="001021AB"/>
    <w:rsid w:val="00104347"/>
    <w:rsid w:val="00105792"/>
    <w:rsid w:val="001073A8"/>
    <w:rsid w:val="0011115B"/>
    <w:rsid w:val="0011265C"/>
    <w:rsid w:val="00114E2A"/>
    <w:rsid w:val="00114ED4"/>
    <w:rsid w:val="001155A2"/>
    <w:rsid w:val="0011572C"/>
    <w:rsid w:val="00116AC7"/>
    <w:rsid w:val="001228F0"/>
    <w:rsid w:val="00123C01"/>
    <w:rsid w:val="00123D7E"/>
    <w:rsid w:val="001247F5"/>
    <w:rsid w:val="00125739"/>
    <w:rsid w:val="00126F63"/>
    <w:rsid w:val="0013032D"/>
    <w:rsid w:val="00131F42"/>
    <w:rsid w:val="0013435A"/>
    <w:rsid w:val="00134D64"/>
    <w:rsid w:val="001357F1"/>
    <w:rsid w:val="00140FA8"/>
    <w:rsid w:val="00142FEB"/>
    <w:rsid w:val="00143693"/>
    <w:rsid w:val="00143A2D"/>
    <w:rsid w:val="00144231"/>
    <w:rsid w:val="00145A41"/>
    <w:rsid w:val="00145B0E"/>
    <w:rsid w:val="00151675"/>
    <w:rsid w:val="00153830"/>
    <w:rsid w:val="00154291"/>
    <w:rsid w:val="0015544B"/>
    <w:rsid w:val="00157435"/>
    <w:rsid w:val="001612B1"/>
    <w:rsid w:val="00162316"/>
    <w:rsid w:val="001625C7"/>
    <w:rsid w:val="00163E73"/>
    <w:rsid w:val="0016418C"/>
    <w:rsid w:val="00164314"/>
    <w:rsid w:val="00165C9D"/>
    <w:rsid w:val="00165DD1"/>
    <w:rsid w:val="00166D33"/>
    <w:rsid w:val="00167CEC"/>
    <w:rsid w:val="00170395"/>
    <w:rsid w:val="001705A6"/>
    <w:rsid w:val="00171E00"/>
    <w:rsid w:val="00172DBD"/>
    <w:rsid w:val="0017504D"/>
    <w:rsid w:val="0017574B"/>
    <w:rsid w:val="0017671A"/>
    <w:rsid w:val="00176C54"/>
    <w:rsid w:val="00177422"/>
    <w:rsid w:val="0017773B"/>
    <w:rsid w:val="0017799B"/>
    <w:rsid w:val="00182236"/>
    <w:rsid w:val="0018268A"/>
    <w:rsid w:val="00184590"/>
    <w:rsid w:val="0018571D"/>
    <w:rsid w:val="001870D1"/>
    <w:rsid w:val="001877CF"/>
    <w:rsid w:val="0018781E"/>
    <w:rsid w:val="00187D0F"/>
    <w:rsid w:val="001906C9"/>
    <w:rsid w:val="0019262D"/>
    <w:rsid w:val="00195901"/>
    <w:rsid w:val="00195AAC"/>
    <w:rsid w:val="00197611"/>
    <w:rsid w:val="001978C2"/>
    <w:rsid w:val="00197CB8"/>
    <w:rsid w:val="001A0092"/>
    <w:rsid w:val="001A1B35"/>
    <w:rsid w:val="001A2CA2"/>
    <w:rsid w:val="001A2DF0"/>
    <w:rsid w:val="001A48A2"/>
    <w:rsid w:val="001A4F0C"/>
    <w:rsid w:val="001A5739"/>
    <w:rsid w:val="001A6B14"/>
    <w:rsid w:val="001A6F61"/>
    <w:rsid w:val="001B0D76"/>
    <w:rsid w:val="001B31BB"/>
    <w:rsid w:val="001B3B1E"/>
    <w:rsid w:val="001B55E5"/>
    <w:rsid w:val="001B5C30"/>
    <w:rsid w:val="001B72B8"/>
    <w:rsid w:val="001C0227"/>
    <w:rsid w:val="001C06E0"/>
    <w:rsid w:val="001C0C3C"/>
    <w:rsid w:val="001C1815"/>
    <w:rsid w:val="001C3422"/>
    <w:rsid w:val="001C56E7"/>
    <w:rsid w:val="001C5BC9"/>
    <w:rsid w:val="001C69B3"/>
    <w:rsid w:val="001D0FCF"/>
    <w:rsid w:val="001D23B3"/>
    <w:rsid w:val="001D3E85"/>
    <w:rsid w:val="001D3FDB"/>
    <w:rsid w:val="001D5595"/>
    <w:rsid w:val="001D6A2B"/>
    <w:rsid w:val="001D6D48"/>
    <w:rsid w:val="001D7387"/>
    <w:rsid w:val="001D7874"/>
    <w:rsid w:val="001D7E79"/>
    <w:rsid w:val="001D7F22"/>
    <w:rsid w:val="001E1393"/>
    <w:rsid w:val="001E3F9E"/>
    <w:rsid w:val="001E675B"/>
    <w:rsid w:val="001F09A8"/>
    <w:rsid w:val="001F0F17"/>
    <w:rsid w:val="001F3347"/>
    <w:rsid w:val="001F64D4"/>
    <w:rsid w:val="001F69E4"/>
    <w:rsid w:val="001F6D1F"/>
    <w:rsid w:val="00202BAB"/>
    <w:rsid w:val="00205D1A"/>
    <w:rsid w:val="00206ADB"/>
    <w:rsid w:val="0021039F"/>
    <w:rsid w:val="00210947"/>
    <w:rsid w:val="00210ED8"/>
    <w:rsid w:val="002125B4"/>
    <w:rsid w:val="0021497A"/>
    <w:rsid w:val="00214EA5"/>
    <w:rsid w:val="002155B8"/>
    <w:rsid w:val="0021583A"/>
    <w:rsid w:val="00216591"/>
    <w:rsid w:val="00216E1D"/>
    <w:rsid w:val="002176FD"/>
    <w:rsid w:val="00220364"/>
    <w:rsid w:val="00221C66"/>
    <w:rsid w:val="002232A2"/>
    <w:rsid w:val="00224576"/>
    <w:rsid w:val="00224839"/>
    <w:rsid w:val="002249B2"/>
    <w:rsid w:val="002263C9"/>
    <w:rsid w:val="00226574"/>
    <w:rsid w:val="002278EC"/>
    <w:rsid w:val="0023280E"/>
    <w:rsid w:val="00233E4A"/>
    <w:rsid w:val="00236FBD"/>
    <w:rsid w:val="002377D1"/>
    <w:rsid w:val="00240DB3"/>
    <w:rsid w:val="002418CC"/>
    <w:rsid w:val="00241C9C"/>
    <w:rsid w:val="00242D83"/>
    <w:rsid w:val="0024376F"/>
    <w:rsid w:val="00244242"/>
    <w:rsid w:val="00246049"/>
    <w:rsid w:val="00246E62"/>
    <w:rsid w:val="00246E68"/>
    <w:rsid w:val="00247B5B"/>
    <w:rsid w:val="00247D20"/>
    <w:rsid w:val="002506BC"/>
    <w:rsid w:val="00253ACA"/>
    <w:rsid w:val="00254345"/>
    <w:rsid w:val="00255C1A"/>
    <w:rsid w:val="0025734D"/>
    <w:rsid w:val="00260BB0"/>
    <w:rsid w:val="002610D4"/>
    <w:rsid w:val="0026154C"/>
    <w:rsid w:val="00263ABD"/>
    <w:rsid w:val="00264557"/>
    <w:rsid w:val="002704E1"/>
    <w:rsid w:val="00270CF1"/>
    <w:rsid w:val="00271014"/>
    <w:rsid w:val="002713BA"/>
    <w:rsid w:val="00272850"/>
    <w:rsid w:val="0027326C"/>
    <w:rsid w:val="00273666"/>
    <w:rsid w:val="00275E8B"/>
    <w:rsid w:val="00277785"/>
    <w:rsid w:val="002805AB"/>
    <w:rsid w:val="00280622"/>
    <w:rsid w:val="00281A11"/>
    <w:rsid w:val="00284204"/>
    <w:rsid w:val="002847FD"/>
    <w:rsid w:val="00291773"/>
    <w:rsid w:val="002924D0"/>
    <w:rsid w:val="00292951"/>
    <w:rsid w:val="002929F0"/>
    <w:rsid w:val="002944F6"/>
    <w:rsid w:val="002A0811"/>
    <w:rsid w:val="002A168C"/>
    <w:rsid w:val="002A353D"/>
    <w:rsid w:val="002A3D8A"/>
    <w:rsid w:val="002A3DC7"/>
    <w:rsid w:val="002A59ED"/>
    <w:rsid w:val="002A7F52"/>
    <w:rsid w:val="002B1EC7"/>
    <w:rsid w:val="002B2F2D"/>
    <w:rsid w:val="002B49E2"/>
    <w:rsid w:val="002B642A"/>
    <w:rsid w:val="002B7B00"/>
    <w:rsid w:val="002B7C44"/>
    <w:rsid w:val="002C09C5"/>
    <w:rsid w:val="002C2B17"/>
    <w:rsid w:val="002C2E53"/>
    <w:rsid w:val="002C41C8"/>
    <w:rsid w:val="002C686E"/>
    <w:rsid w:val="002C7CD8"/>
    <w:rsid w:val="002D0275"/>
    <w:rsid w:val="002D0ED7"/>
    <w:rsid w:val="002D21B0"/>
    <w:rsid w:val="002D3219"/>
    <w:rsid w:val="002D3DD0"/>
    <w:rsid w:val="002E1F3A"/>
    <w:rsid w:val="002E21DB"/>
    <w:rsid w:val="002E298A"/>
    <w:rsid w:val="002E3CB8"/>
    <w:rsid w:val="002E4A66"/>
    <w:rsid w:val="002E5A78"/>
    <w:rsid w:val="002E60CA"/>
    <w:rsid w:val="002E6170"/>
    <w:rsid w:val="002E6958"/>
    <w:rsid w:val="002E6A41"/>
    <w:rsid w:val="002E6E37"/>
    <w:rsid w:val="002F1E5B"/>
    <w:rsid w:val="002F208C"/>
    <w:rsid w:val="002F66DF"/>
    <w:rsid w:val="002F7FF6"/>
    <w:rsid w:val="00300B58"/>
    <w:rsid w:val="00301978"/>
    <w:rsid w:val="003029DD"/>
    <w:rsid w:val="0030332C"/>
    <w:rsid w:val="00303F39"/>
    <w:rsid w:val="003051C2"/>
    <w:rsid w:val="003056DE"/>
    <w:rsid w:val="00306052"/>
    <w:rsid w:val="003064AC"/>
    <w:rsid w:val="00306BF8"/>
    <w:rsid w:val="0031110D"/>
    <w:rsid w:val="00311708"/>
    <w:rsid w:val="00312296"/>
    <w:rsid w:val="00313160"/>
    <w:rsid w:val="00314F0E"/>
    <w:rsid w:val="0031535E"/>
    <w:rsid w:val="003156B2"/>
    <w:rsid w:val="00315D51"/>
    <w:rsid w:val="003164B1"/>
    <w:rsid w:val="00317C56"/>
    <w:rsid w:val="0032147A"/>
    <w:rsid w:val="00321D8E"/>
    <w:rsid w:val="00322DA9"/>
    <w:rsid w:val="00322DE0"/>
    <w:rsid w:val="00322F59"/>
    <w:rsid w:val="00322FCC"/>
    <w:rsid w:val="00325928"/>
    <w:rsid w:val="00325EE3"/>
    <w:rsid w:val="00327E0C"/>
    <w:rsid w:val="0033050B"/>
    <w:rsid w:val="0033068C"/>
    <w:rsid w:val="00330861"/>
    <w:rsid w:val="003316C3"/>
    <w:rsid w:val="00332863"/>
    <w:rsid w:val="00332EF2"/>
    <w:rsid w:val="00334187"/>
    <w:rsid w:val="00334BB0"/>
    <w:rsid w:val="0033684D"/>
    <w:rsid w:val="00337B42"/>
    <w:rsid w:val="00341B42"/>
    <w:rsid w:val="0034348F"/>
    <w:rsid w:val="003457B9"/>
    <w:rsid w:val="003462E3"/>
    <w:rsid w:val="00351AA5"/>
    <w:rsid w:val="0035390F"/>
    <w:rsid w:val="00356653"/>
    <w:rsid w:val="0035743F"/>
    <w:rsid w:val="00357956"/>
    <w:rsid w:val="00357BE2"/>
    <w:rsid w:val="0036170C"/>
    <w:rsid w:val="00362AC3"/>
    <w:rsid w:val="00363A43"/>
    <w:rsid w:val="00364BC3"/>
    <w:rsid w:val="00365A42"/>
    <w:rsid w:val="00366E0F"/>
    <w:rsid w:val="00370CD3"/>
    <w:rsid w:val="00373CF3"/>
    <w:rsid w:val="00374AC9"/>
    <w:rsid w:val="00375761"/>
    <w:rsid w:val="00377268"/>
    <w:rsid w:val="00380C4A"/>
    <w:rsid w:val="00381A72"/>
    <w:rsid w:val="00381F50"/>
    <w:rsid w:val="00382FBA"/>
    <w:rsid w:val="003830FF"/>
    <w:rsid w:val="00383162"/>
    <w:rsid w:val="00383EF7"/>
    <w:rsid w:val="00384396"/>
    <w:rsid w:val="00384676"/>
    <w:rsid w:val="00384CE9"/>
    <w:rsid w:val="00390857"/>
    <w:rsid w:val="00392836"/>
    <w:rsid w:val="00395FEE"/>
    <w:rsid w:val="00396E9F"/>
    <w:rsid w:val="0039787F"/>
    <w:rsid w:val="00397DCB"/>
    <w:rsid w:val="003A01EC"/>
    <w:rsid w:val="003A3A6F"/>
    <w:rsid w:val="003A4BF3"/>
    <w:rsid w:val="003B0253"/>
    <w:rsid w:val="003B1051"/>
    <w:rsid w:val="003B1912"/>
    <w:rsid w:val="003B23AD"/>
    <w:rsid w:val="003B2B66"/>
    <w:rsid w:val="003B420D"/>
    <w:rsid w:val="003C0FB6"/>
    <w:rsid w:val="003C211F"/>
    <w:rsid w:val="003C36EF"/>
    <w:rsid w:val="003C4CD2"/>
    <w:rsid w:val="003C6C16"/>
    <w:rsid w:val="003C6F73"/>
    <w:rsid w:val="003D49F5"/>
    <w:rsid w:val="003D5E9F"/>
    <w:rsid w:val="003D64EB"/>
    <w:rsid w:val="003D794D"/>
    <w:rsid w:val="003E1C2E"/>
    <w:rsid w:val="003E1F34"/>
    <w:rsid w:val="003E2476"/>
    <w:rsid w:val="003E2EFE"/>
    <w:rsid w:val="003E2F09"/>
    <w:rsid w:val="003E3058"/>
    <w:rsid w:val="003E4BC6"/>
    <w:rsid w:val="003E6BF2"/>
    <w:rsid w:val="003E6FC8"/>
    <w:rsid w:val="003E76A9"/>
    <w:rsid w:val="003F0809"/>
    <w:rsid w:val="003F0EA2"/>
    <w:rsid w:val="003F227D"/>
    <w:rsid w:val="003F2D47"/>
    <w:rsid w:val="003F4674"/>
    <w:rsid w:val="003F6A8C"/>
    <w:rsid w:val="003F7460"/>
    <w:rsid w:val="003F755C"/>
    <w:rsid w:val="003F7EF7"/>
    <w:rsid w:val="004006C5"/>
    <w:rsid w:val="00400F39"/>
    <w:rsid w:val="00403ADC"/>
    <w:rsid w:val="0040454E"/>
    <w:rsid w:val="00405260"/>
    <w:rsid w:val="00406F01"/>
    <w:rsid w:val="004076E1"/>
    <w:rsid w:val="00407A30"/>
    <w:rsid w:val="00414992"/>
    <w:rsid w:val="0041561E"/>
    <w:rsid w:val="0041660F"/>
    <w:rsid w:val="00416D50"/>
    <w:rsid w:val="00416FD5"/>
    <w:rsid w:val="00417772"/>
    <w:rsid w:val="00417B77"/>
    <w:rsid w:val="00420E6A"/>
    <w:rsid w:val="004255F9"/>
    <w:rsid w:val="00425A9E"/>
    <w:rsid w:val="00426D6B"/>
    <w:rsid w:val="00427B8D"/>
    <w:rsid w:val="00430382"/>
    <w:rsid w:val="004307EF"/>
    <w:rsid w:val="00430EFB"/>
    <w:rsid w:val="004311BE"/>
    <w:rsid w:val="00431E6C"/>
    <w:rsid w:val="00433309"/>
    <w:rsid w:val="00433CE7"/>
    <w:rsid w:val="00434A53"/>
    <w:rsid w:val="00435867"/>
    <w:rsid w:val="0043675E"/>
    <w:rsid w:val="004368FD"/>
    <w:rsid w:val="00441AE6"/>
    <w:rsid w:val="004435E9"/>
    <w:rsid w:val="0044437F"/>
    <w:rsid w:val="004461F9"/>
    <w:rsid w:val="00451E01"/>
    <w:rsid w:val="00452738"/>
    <w:rsid w:val="00456091"/>
    <w:rsid w:val="0045657D"/>
    <w:rsid w:val="004573EC"/>
    <w:rsid w:val="00457B13"/>
    <w:rsid w:val="0046199A"/>
    <w:rsid w:val="00461FF7"/>
    <w:rsid w:val="00464CCB"/>
    <w:rsid w:val="00465678"/>
    <w:rsid w:val="00466321"/>
    <w:rsid w:val="00466A69"/>
    <w:rsid w:val="00471A80"/>
    <w:rsid w:val="00473767"/>
    <w:rsid w:val="00473A8F"/>
    <w:rsid w:val="00477502"/>
    <w:rsid w:val="0048028D"/>
    <w:rsid w:val="004810D4"/>
    <w:rsid w:val="00484B9B"/>
    <w:rsid w:val="00484F83"/>
    <w:rsid w:val="004855F6"/>
    <w:rsid w:val="0048661E"/>
    <w:rsid w:val="00487905"/>
    <w:rsid w:val="00490807"/>
    <w:rsid w:val="00490E00"/>
    <w:rsid w:val="004914D4"/>
    <w:rsid w:val="00492A05"/>
    <w:rsid w:val="00494670"/>
    <w:rsid w:val="00495710"/>
    <w:rsid w:val="00496180"/>
    <w:rsid w:val="004965EF"/>
    <w:rsid w:val="004A0487"/>
    <w:rsid w:val="004A04FB"/>
    <w:rsid w:val="004A1940"/>
    <w:rsid w:val="004A1BB2"/>
    <w:rsid w:val="004A30FD"/>
    <w:rsid w:val="004A31A3"/>
    <w:rsid w:val="004A3823"/>
    <w:rsid w:val="004A6288"/>
    <w:rsid w:val="004A725C"/>
    <w:rsid w:val="004B125C"/>
    <w:rsid w:val="004B245E"/>
    <w:rsid w:val="004B2F26"/>
    <w:rsid w:val="004B4ED2"/>
    <w:rsid w:val="004B5955"/>
    <w:rsid w:val="004B5F08"/>
    <w:rsid w:val="004B6E40"/>
    <w:rsid w:val="004B6FF5"/>
    <w:rsid w:val="004C0E98"/>
    <w:rsid w:val="004C198C"/>
    <w:rsid w:val="004C47FD"/>
    <w:rsid w:val="004D0C2A"/>
    <w:rsid w:val="004D1237"/>
    <w:rsid w:val="004D140B"/>
    <w:rsid w:val="004D3766"/>
    <w:rsid w:val="004D5652"/>
    <w:rsid w:val="004D601E"/>
    <w:rsid w:val="004E1DEE"/>
    <w:rsid w:val="004E1ED2"/>
    <w:rsid w:val="004E223D"/>
    <w:rsid w:val="004E2ABB"/>
    <w:rsid w:val="004E3128"/>
    <w:rsid w:val="004E3780"/>
    <w:rsid w:val="004E4B73"/>
    <w:rsid w:val="004E6946"/>
    <w:rsid w:val="004E6E8D"/>
    <w:rsid w:val="004F0192"/>
    <w:rsid w:val="004F15D6"/>
    <w:rsid w:val="004F1AD8"/>
    <w:rsid w:val="004F2710"/>
    <w:rsid w:val="004F400D"/>
    <w:rsid w:val="004F4048"/>
    <w:rsid w:val="004F490E"/>
    <w:rsid w:val="004F496E"/>
    <w:rsid w:val="005000BC"/>
    <w:rsid w:val="005021D2"/>
    <w:rsid w:val="00502390"/>
    <w:rsid w:val="005026F1"/>
    <w:rsid w:val="005029AA"/>
    <w:rsid w:val="005029FB"/>
    <w:rsid w:val="005030F4"/>
    <w:rsid w:val="0050355E"/>
    <w:rsid w:val="005039CB"/>
    <w:rsid w:val="00504613"/>
    <w:rsid w:val="00505003"/>
    <w:rsid w:val="0050558F"/>
    <w:rsid w:val="00505C13"/>
    <w:rsid w:val="00506286"/>
    <w:rsid w:val="00506B68"/>
    <w:rsid w:val="00506C06"/>
    <w:rsid w:val="00510813"/>
    <w:rsid w:val="00511505"/>
    <w:rsid w:val="00511990"/>
    <w:rsid w:val="00511DE0"/>
    <w:rsid w:val="00513695"/>
    <w:rsid w:val="00514870"/>
    <w:rsid w:val="00514B9B"/>
    <w:rsid w:val="00515F59"/>
    <w:rsid w:val="00517C1A"/>
    <w:rsid w:val="00517E11"/>
    <w:rsid w:val="00517F02"/>
    <w:rsid w:val="00520B9B"/>
    <w:rsid w:val="00521116"/>
    <w:rsid w:val="00521E42"/>
    <w:rsid w:val="005241F1"/>
    <w:rsid w:val="00524303"/>
    <w:rsid w:val="00524C99"/>
    <w:rsid w:val="005253B5"/>
    <w:rsid w:val="00525893"/>
    <w:rsid w:val="005258A2"/>
    <w:rsid w:val="0052762F"/>
    <w:rsid w:val="0053202A"/>
    <w:rsid w:val="00532088"/>
    <w:rsid w:val="00533315"/>
    <w:rsid w:val="00535F98"/>
    <w:rsid w:val="005401AE"/>
    <w:rsid w:val="00540D96"/>
    <w:rsid w:val="005414EC"/>
    <w:rsid w:val="00541F46"/>
    <w:rsid w:val="00542C27"/>
    <w:rsid w:val="00542E07"/>
    <w:rsid w:val="00543F88"/>
    <w:rsid w:val="00544A25"/>
    <w:rsid w:val="00544DEE"/>
    <w:rsid w:val="005450AF"/>
    <w:rsid w:val="00545424"/>
    <w:rsid w:val="0055209B"/>
    <w:rsid w:val="00554A7B"/>
    <w:rsid w:val="00554C2C"/>
    <w:rsid w:val="00555135"/>
    <w:rsid w:val="0055572C"/>
    <w:rsid w:val="00556818"/>
    <w:rsid w:val="00556960"/>
    <w:rsid w:val="00560406"/>
    <w:rsid w:val="0056106A"/>
    <w:rsid w:val="005625B6"/>
    <w:rsid w:val="00565F65"/>
    <w:rsid w:val="00567B1C"/>
    <w:rsid w:val="0057163E"/>
    <w:rsid w:val="005720AE"/>
    <w:rsid w:val="00574296"/>
    <w:rsid w:val="00574B0B"/>
    <w:rsid w:val="0057559E"/>
    <w:rsid w:val="0058051D"/>
    <w:rsid w:val="00581CC0"/>
    <w:rsid w:val="00583020"/>
    <w:rsid w:val="00585155"/>
    <w:rsid w:val="005868D3"/>
    <w:rsid w:val="0058779C"/>
    <w:rsid w:val="00587C47"/>
    <w:rsid w:val="00587F64"/>
    <w:rsid w:val="005913ED"/>
    <w:rsid w:val="00591E7D"/>
    <w:rsid w:val="005940A3"/>
    <w:rsid w:val="00594D77"/>
    <w:rsid w:val="0059521E"/>
    <w:rsid w:val="00595919"/>
    <w:rsid w:val="00595EB8"/>
    <w:rsid w:val="00596743"/>
    <w:rsid w:val="005969E4"/>
    <w:rsid w:val="00597AF8"/>
    <w:rsid w:val="005A0655"/>
    <w:rsid w:val="005A06B7"/>
    <w:rsid w:val="005A1225"/>
    <w:rsid w:val="005A1759"/>
    <w:rsid w:val="005A1E5E"/>
    <w:rsid w:val="005A2C9F"/>
    <w:rsid w:val="005A4A45"/>
    <w:rsid w:val="005A68A7"/>
    <w:rsid w:val="005A79DF"/>
    <w:rsid w:val="005B123A"/>
    <w:rsid w:val="005B3FA4"/>
    <w:rsid w:val="005B65CE"/>
    <w:rsid w:val="005B780E"/>
    <w:rsid w:val="005C1A26"/>
    <w:rsid w:val="005C3C3F"/>
    <w:rsid w:val="005C4B5A"/>
    <w:rsid w:val="005C5058"/>
    <w:rsid w:val="005C5153"/>
    <w:rsid w:val="005C52AD"/>
    <w:rsid w:val="005C5676"/>
    <w:rsid w:val="005C7817"/>
    <w:rsid w:val="005D2ED9"/>
    <w:rsid w:val="005D3373"/>
    <w:rsid w:val="005D36AB"/>
    <w:rsid w:val="005D4869"/>
    <w:rsid w:val="005D6A64"/>
    <w:rsid w:val="005D74A7"/>
    <w:rsid w:val="005E02AE"/>
    <w:rsid w:val="005E248A"/>
    <w:rsid w:val="005E24E7"/>
    <w:rsid w:val="005E2CBC"/>
    <w:rsid w:val="005E2EB7"/>
    <w:rsid w:val="005E3A05"/>
    <w:rsid w:val="005E4F29"/>
    <w:rsid w:val="005F0B4C"/>
    <w:rsid w:val="005F2F4B"/>
    <w:rsid w:val="005F3168"/>
    <w:rsid w:val="005F5E60"/>
    <w:rsid w:val="005F70C8"/>
    <w:rsid w:val="005F7127"/>
    <w:rsid w:val="0060028F"/>
    <w:rsid w:val="006002D2"/>
    <w:rsid w:val="00600778"/>
    <w:rsid w:val="0060077C"/>
    <w:rsid w:val="00601C22"/>
    <w:rsid w:val="006025AE"/>
    <w:rsid w:val="0060612D"/>
    <w:rsid w:val="006101C5"/>
    <w:rsid w:val="006112B5"/>
    <w:rsid w:val="006119EE"/>
    <w:rsid w:val="00613570"/>
    <w:rsid w:val="00614578"/>
    <w:rsid w:val="00615EAD"/>
    <w:rsid w:val="0061752C"/>
    <w:rsid w:val="00617CC3"/>
    <w:rsid w:val="00621315"/>
    <w:rsid w:val="006217BA"/>
    <w:rsid w:val="00624FD8"/>
    <w:rsid w:val="006252A0"/>
    <w:rsid w:val="00625B2D"/>
    <w:rsid w:val="00630BF9"/>
    <w:rsid w:val="006313B1"/>
    <w:rsid w:val="006335AF"/>
    <w:rsid w:val="00634D39"/>
    <w:rsid w:val="00634FB8"/>
    <w:rsid w:val="006377A6"/>
    <w:rsid w:val="00637A3D"/>
    <w:rsid w:val="00640113"/>
    <w:rsid w:val="00641030"/>
    <w:rsid w:val="006411EF"/>
    <w:rsid w:val="00642EF5"/>
    <w:rsid w:val="006447B5"/>
    <w:rsid w:val="00646E32"/>
    <w:rsid w:val="00647777"/>
    <w:rsid w:val="00650AD4"/>
    <w:rsid w:val="00653AF6"/>
    <w:rsid w:val="006548B4"/>
    <w:rsid w:val="0065723A"/>
    <w:rsid w:val="006576C9"/>
    <w:rsid w:val="0066145E"/>
    <w:rsid w:val="00662156"/>
    <w:rsid w:val="00662335"/>
    <w:rsid w:val="00662C21"/>
    <w:rsid w:val="00663C0D"/>
    <w:rsid w:val="00664533"/>
    <w:rsid w:val="00665069"/>
    <w:rsid w:val="00665946"/>
    <w:rsid w:val="006676CA"/>
    <w:rsid w:val="00667ACA"/>
    <w:rsid w:val="00667C8F"/>
    <w:rsid w:val="00671208"/>
    <w:rsid w:val="00671FB5"/>
    <w:rsid w:val="00672145"/>
    <w:rsid w:val="0067260D"/>
    <w:rsid w:val="006748B8"/>
    <w:rsid w:val="00675838"/>
    <w:rsid w:val="006775C3"/>
    <w:rsid w:val="00677DB7"/>
    <w:rsid w:val="006806F0"/>
    <w:rsid w:val="006832BA"/>
    <w:rsid w:val="00690D3B"/>
    <w:rsid w:val="0069290A"/>
    <w:rsid w:val="006954B8"/>
    <w:rsid w:val="006955C3"/>
    <w:rsid w:val="00696313"/>
    <w:rsid w:val="0069775A"/>
    <w:rsid w:val="00697813"/>
    <w:rsid w:val="006A0560"/>
    <w:rsid w:val="006A124F"/>
    <w:rsid w:val="006A1A15"/>
    <w:rsid w:val="006A20EB"/>
    <w:rsid w:val="006A331F"/>
    <w:rsid w:val="006A3EE8"/>
    <w:rsid w:val="006A4FE0"/>
    <w:rsid w:val="006A54FB"/>
    <w:rsid w:val="006A67BD"/>
    <w:rsid w:val="006A6C43"/>
    <w:rsid w:val="006A72BF"/>
    <w:rsid w:val="006A73C4"/>
    <w:rsid w:val="006B03F2"/>
    <w:rsid w:val="006B121C"/>
    <w:rsid w:val="006B37DC"/>
    <w:rsid w:val="006B4F68"/>
    <w:rsid w:val="006B60BC"/>
    <w:rsid w:val="006B7547"/>
    <w:rsid w:val="006C02C8"/>
    <w:rsid w:val="006C02D3"/>
    <w:rsid w:val="006C0592"/>
    <w:rsid w:val="006C1354"/>
    <w:rsid w:val="006C1CC0"/>
    <w:rsid w:val="006C1FB0"/>
    <w:rsid w:val="006C272E"/>
    <w:rsid w:val="006C5479"/>
    <w:rsid w:val="006C60BE"/>
    <w:rsid w:val="006D0BD2"/>
    <w:rsid w:val="006D13B5"/>
    <w:rsid w:val="006D2AFA"/>
    <w:rsid w:val="006D474F"/>
    <w:rsid w:val="006D67B0"/>
    <w:rsid w:val="006D7742"/>
    <w:rsid w:val="006D7AA6"/>
    <w:rsid w:val="006E12FF"/>
    <w:rsid w:val="006E311F"/>
    <w:rsid w:val="006E43C8"/>
    <w:rsid w:val="006E51C3"/>
    <w:rsid w:val="006E607E"/>
    <w:rsid w:val="006F03F4"/>
    <w:rsid w:val="006F049C"/>
    <w:rsid w:val="006F07BA"/>
    <w:rsid w:val="006F3477"/>
    <w:rsid w:val="006F3B8A"/>
    <w:rsid w:val="006F49F1"/>
    <w:rsid w:val="00700C32"/>
    <w:rsid w:val="00702F84"/>
    <w:rsid w:val="00706140"/>
    <w:rsid w:val="00706C5D"/>
    <w:rsid w:val="0070781B"/>
    <w:rsid w:val="0071402D"/>
    <w:rsid w:val="007172F1"/>
    <w:rsid w:val="007214AB"/>
    <w:rsid w:val="007240B0"/>
    <w:rsid w:val="007254B6"/>
    <w:rsid w:val="00725DD5"/>
    <w:rsid w:val="007276C9"/>
    <w:rsid w:val="0073000A"/>
    <w:rsid w:val="0073151B"/>
    <w:rsid w:val="0073164B"/>
    <w:rsid w:val="00731E63"/>
    <w:rsid w:val="00732097"/>
    <w:rsid w:val="00732922"/>
    <w:rsid w:val="00734B5C"/>
    <w:rsid w:val="00736955"/>
    <w:rsid w:val="0073766B"/>
    <w:rsid w:val="00745465"/>
    <w:rsid w:val="0074606C"/>
    <w:rsid w:val="007510BA"/>
    <w:rsid w:val="0075162E"/>
    <w:rsid w:val="00753679"/>
    <w:rsid w:val="00753F0B"/>
    <w:rsid w:val="00754034"/>
    <w:rsid w:val="00754B4E"/>
    <w:rsid w:val="00756556"/>
    <w:rsid w:val="0075745E"/>
    <w:rsid w:val="00757F2B"/>
    <w:rsid w:val="007618C4"/>
    <w:rsid w:val="007625D0"/>
    <w:rsid w:val="00767980"/>
    <w:rsid w:val="00770B19"/>
    <w:rsid w:val="00771FE1"/>
    <w:rsid w:val="0077221C"/>
    <w:rsid w:val="00773A12"/>
    <w:rsid w:val="0077463F"/>
    <w:rsid w:val="007746E9"/>
    <w:rsid w:val="00774847"/>
    <w:rsid w:val="00776778"/>
    <w:rsid w:val="00777209"/>
    <w:rsid w:val="00777BFA"/>
    <w:rsid w:val="00780B73"/>
    <w:rsid w:val="007811FD"/>
    <w:rsid w:val="007836EA"/>
    <w:rsid w:val="00783773"/>
    <w:rsid w:val="00784CDA"/>
    <w:rsid w:val="00785658"/>
    <w:rsid w:val="007856D0"/>
    <w:rsid w:val="00785AD3"/>
    <w:rsid w:val="00786FD7"/>
    <w:rsid w:val="0079005B"/>
    <w:rsid w:val="007906C4"/>
    <w:rsid w:val="00793CD1"/>
    <w:rsid w:val="007940EA"/>
    <w:rsid w:val="007961FE"/>
    <w:rsid w:val="007967E8"/>
    <w:rsid w:val="00797218"/>
    <w:rsid w:val="00797D38"/>
    <w:rsid w:val="007A0B4F"/>
    <w:rsid w:val="007A0CF5"/>
    <w:rsid w:val="007A2170"/>
    <w:rsid w:val="007A22BF"/>
    <w:rsid w:val="007A3323"/>
    <w:rsid w:val="007A3A68"/>
    <w:rsid w:val="007A4646"/>
    <w:rsid w:val="007A6E0E"/>
    <w:rsid w:val="007A78A0"/>
    <w:rsid w:val="007A793E"/>
    <w:rsid w:val="007B461E"/>
    <w:rsid w:val="007B4C77"/>
    <w:rsid w:val="007B6A57"/>
    <w:rsid w:val="007B72B8"/>
    <w:rsid w:val="007B7A58"/>
    <w:rsid w:val="007C1507"/>
    <w:rsid w:val="007C21B5"/>
    <w:rsid w:val="007C32A1"/>
    <w:rsid w:val="007C5639"/>
    <w:rsid w:val="007C7D11"/>
    <w:rsid w:val="007D0C9A"/>
    <w:rsid w:val="007D1514"/>
    <w:rsid w:val="007D1F5A"/>
    <w:rsid w:val="007D2C48"/>
    <w:rsid w:val="007D4082"/>
    <w:rsid w:val="007D4761"/>
    <w:rsid w:val="007D65FC"/>
    <w:rsid w:val="007E0373"/>
    <w:rsid w:val="007E307A"/>
    <w:rsid w:val="007E4974"/>
    <w:rsid w:val="007E4BD2"/>
    <w:rsid w:val="007E79DC"/>
    <w:rsid w:val="007F0AB9"/>
    <w:rsid w:val="007F0DC4"/>
    <w:rsid w:val="007F0EE4"/>
    <w:rsid w:val="007F3674"/>
    <w:rsid w:val="007F58B7"/>
    <w:rsid w:val="007F74C2"/>
    <w:rsid w:val="007F77DB"/>
    <w:rsid w:val="00801393"/>
    <w:rsid w:val="008018CB"/>
    <w:rsid w:val="00802F88"/>
    <w:rsid w:val="0080314E"/>
    <w:rsid w:val="00803380"/>
    <w:rsid w:val="00805781"/>
    <w:rsid w:val="00806728"/>
    <w:rsid w:val="008078CE"/>
    <w:rsid w:val="0081140C"/>
    <w:rsid w:val="008127D9"/>
    <w:rsid w:val="0081293E"/>
    <w:rsid w:val="00815465"/>
    <w:rsid w:val="00815861"/>
    <w:rsid w:val="008163E2"/>
    <w:rsid w:val="00816581"/>
    <w:rsid w:val="00817E9A"/>
    <w:rsid w:val="0082021A"/>
    <w:rsid w:val="00820226"/>
    <w:rsid w:val="00820D9B"/>
    <w:rsid w:val="008231C1"/>
    <w:rsid w:val="008238AA"/>
    <w:rsid w:val="00823E0C"/>
    <w:rsid w:val="00823E64"/>
    <w:rsid w:val="00825154"/>
    <w:rsid w:val="00826766"/>
    <w:rsid w:val="008306BD"/>
    <w:rsid w:val="00831A80"/>
    <w:rsid w:val="00833743"/>
    <w:rsid w:val="008340A4"/>
    <w:rsid w:val="0083452A"/>
    <w:rsid w:val="00835559"/>
    <w:rsid w:val="00835B2F"/>
    <w:rsid w:val="00835CE6"/>
    <w:rsid w:val="00835D80"/>
    <w:rsid w:val="0084224B"/>
    <w:rsid w:val="0084392B"/>
    <w:rsid w:val="008452CB"/>
    <w:rsid w:val="0084576A"/>
    <w:rsid w:val="008459A7"/>
    <w:rsid w:val="00847367"/>
    <w:rsid w:val="00850C66"/>
    <w:rsid w:val="00851420"/>
    <w:rsid w:val="00851A54"/>
    <w:rsid w:val="00854047"/>
    <w:rsid w:val="00854060"/>
    <w:rsid w:val="00856CCE"/>
    <w:rsid w:val="008571B8"/>
    <w:rsid w:val="0086066C"/>
    <w:rsid w:val="00863228"/>
    <w:rsid w:val="00863741"/>
    <w:rsid w:val="00867C46"/>
    <w:rsid w:val="00867C76"/>
    <w:rsid w:val="00870109"/>
    <w:rsid w:val="0087135F"/>
    <w:rsid w:val="00872D94"/>
    <w:rsid w:val="00873A58"/>
    <w:rsid w:val="00874879"/>
    <w:rsid w:val="008760ED"/>
    <w:rsid w:val="00880364"/>
    <w:rsid w:val="00880544"/>
    <w:rsid w:val="00881383"/>
    <w:rsid w:val="00885D6D"/>
    <w:rsid w:val="0088644B"/>
    <w:rsid w:val="00891592"/>
    <w:rsid w:val="00891E9E"/>
    <w:rsid w:val="008922A2"/>
    <w:rsid w:val="008937EF"/>
    <w:rsid w:val="00896E6D"/>
    <w:rsid w:val="00897D32"/>
    <w:rsid w:val="008A0B0B"/>
    <w:rsid w:val="008A0DE5"/>
    <w:rsid w:val="008A10C6"/>
    <w:rsid w:val="008A2F68"/>
    <w:rsid w:val="008A35EF"/>
    <w:rsid w:val="008A4951"/>
    <w:rsid w:val="008B4DBE"/>
    <w:rsid w:val="008B4FA6"/>
    <w:rsid w:val="008B5282"/>
    <w:rsid w:val="008B6CF2"/>
    <w:rsid w:val="008B7C17"/>
    <w:rsid w:val="008C2D01"/>
    <w:rsid w:val="008C40E6"/>
    <w:rsid w:val="008C4488"/>
    <w:rsid w:val="008C45B6"/>
    <w:rsid w:val="008C46B6"/>
    <w:rsid w:val="008C4773"/>
    <w:rsid w:val="008D03ED"/>
    <w:rsid w:val="008D0F7A"/>
    <w:rsid w:val="008D21F5"/>
    <w:rsid w:val="008D3A49"/>
    <w:rsid w:val="008D3F06"/>
    <w:rsid w:val="008D3F38"/>
    <w:rsid w:val="008D52A5"/>
    <w:rsid w:val="008D68E4"/>
    <w:rsid w:val="008D6A32"/>
    <w:rsid w:val="008D6C70"/>
    <w:rsid w:val="008D7616"/>
    <w:rsid w:val="008E0506"/>
    <w:rsid w:val="008E0CFF"/>
    <w:rsid w:val="008E1CF5"/>
    <w:rsid w:val="008E2D72"/>
    <w:rsid w:val="008E3125"/>
    <w:rsid w:val="008E34FA"/>
    <w:rsid w:val="008E5D6B"/>
    <w:rsid w:val="008E6E44"/>
    <w:rsid w:val="008E76F0"/>
    <w:rsid w:val="008F036B"/>
    <w:rsid w:val="008F04A1"/>
    <w:rsid w:val="008F079A"/>
    <w:rsid w:val="008F15FE"/>
    <w:rsid w:val="008F2D29"/>
    <w:rsid w:val="008F5187"/>
    <w:rsid w:val="008F5DB2"/>
    <w:rsid w:val="008F5F8D"/>
    <w:rsid w:val="008F60D8"/>
    <w:rsid w:val="00900F45"/>
    <w:rsid w:val="0090164E"/>
    <w:rsid w:val="00901E0B"/>
    <w:rsid w:val="00902727"/>
    <w:rsid w:val="009029ED"/>
    <w:rsid w:val="00902F94"/>
    <w:rsid w:val="0090312B"/>
    <w:rsid w:val="00903179"/>
    <w:rsid w:val="009031C1"/>
    <w:rsid w:val="009032B5"/>
    <w:rsid w:val="00904CB1"/>
    <w:rsid w:val="009050F2"/>
    <w:rsid w:val="00906967"/>
    <w:rsid w:val="009069FD"/>
    <w:rsid w:val="00907506"/>
    <w:rsid w:val="00907B4B"/>
    <w:rsid w:val="009121CB"/>
    <w:rsid w:val="0091447E"/>
    <w:rsid w:val="009159CA"/>
    <w:rsid w:val="009163C3"/>
    <w:rsid w:val="0091736D"/>
    <w:rsid w:val="009178F6"/>
    <w:rsid w:val="00917EE0"/>
    <w:rsid w:val="0092097E"/>
    <w:rsid w:val="00921660"/>
    <w:rsid w:val="00921F00"/>
    <w:rsid w:val="00923598"/>
    <w:rsid w:val="00923FBF"/>
    <w:rsid w:val="00927A06"/>
    <w:rsid w:val="0093037A"/>
    <w:rsid w:val="0093256D"/>
    <w:rsid w:val="009334B3"/>
    <w:rsid w:val="009340FE"/>
    <w:rsid w:val="00937102"/>
    <w:rsid w:val="00937981"/>
    <w:rsid w:val="00940AB3"/>
    <w:rsid w:val="0094154D"/>
    <w:rsid w:val="00941B80"/>
    <w:rsid w:val="0094210E"/>
    <w:rsid w:val="00943144"/>
    <w:rsid w:val="0094503E"/>
    <w:rsid w:val="00945403"/>
    <w:rsid w:val="0094599F"/>
    <w:rsid w:val="009466B7"/>
    <w:rsid w:val="009502F7"/>
    <w:rsid w:val="00950C0B"/>
    <w:rsid w:val="0095155F"/>
    <w:rsid w:val="0095177A"/>
    <w:rsid w:val="009526C3"/>
    <w:rsid w:val="00952E22"/>
    <w:rsid w:val="00952E84"/>
    <w:rsid w:val="00954429"/>
    <w:rsid w:val="009546BF"/>
    <w:rsid w:val="00954A60"/>
    <w:rsid w:val="009563CE"/>
    <w:rsid w:val="00957045"/>
    <w:rsid w:val="00957601"/>
    <w:rsid w:val="00960906"/>
    <w:rsid w:val="00960FF6"/>
    <w:rsid w:val="00961224"/>
    <w:rsid w:val="00961494"/>
    <w:rsid w:val="009616E2"/>
    <w:rsid w:val="0096336F"/>
    <w:rsid w:val="00963735"/>
    <w:rsid w:val="00965083"/>
    <w:rsid w:val="00966ADA"/>
    <w:rsid w:val="00967CFB"/>
    <w:rsid w:val="00970586"/>
    <w:rsid w:val="009736CA"/>
    <w:rsid w:val="0097441F"/>
    <w:rsid w:val="00976328"/>
    <w:rsid w:val="00976388"/>
    <w:rsid w:val="0097680D"/>
    <w:rsid w:val="00977438"/>
    <w:rsid w:val="00982438"/>
    <w:rsid w:val="00982E66"/>
    <w:rsid w:val="00983E09"/>
    <w:rsid w:val="0098404C"/>
    <w:rsid w:val="009844D1"/>
    <w:rsid w:val="00984DEB"/>
    <w:rsid w:val="0098514D"/>
    <w:rsid w:val="00985283"/>
    <w:rsid w:val="00986B07"/>
    <w:rsid w:val="00993C4A"/>
    <w:rsid w:val="0099445D"/>
    <w:rsid w:val="00995688"/>
    <w:rsid w:val="0099581D"/>
    <w:rsid w:val="00995992"/>
    <w:rsid w:val="0099684B"/>
    <w:rsid w:val="009A03E5"/>
    <w:rsid w:val="009A0E4F"/>
    <w:rsid w:val="009A0F3B"/>
    <w:rsid w:val="009A150A"/>
    <w:rsid w:val="009A1BB4"/>
    <w:rsid w:val="009A2628"/>
    <w:rsid w:val="009A3200"/>
    <w:rsid w:val="009A63EB"/>
    <w:rsid w:val="009A79D9"/>
    <w:rsid w:val="009B0897"/>
    <w:rsid w:val="009B4D8E"/>
    <w:rsid w:val="009B51EF"/>
    <w:rsid w:val="009B7BD9"/>
    <w:rsid w:val="009C04CE"/>
    <w:rsid w:val="009C0502"/>
    <w:rsid w:val="009C0DC3"/>
    <w:rsid w:val="009C32E6"/>
    <w:rsid w:val="009C4A0E"/>
    <w:rsid w:val="009C779F"/>
    <w:rsid w:val="009C7876"/>
    <w:rsid w:val="009C7DD5"/>
    <w:rsid w:val="009D0291"/>
    <w:rsid w:val="009D033E"/>
    <w:rsid w:val="009D044E"/>
    <w:rsid w:val="009D09AF"/>
    <w:rsid w:val="009D1909"/>
    <w:rsid w:val="009D1B41"/>
    <w:rsid w:val="009D248F"/>
    <w:rsid w:val="009D6E70"/>
    <w:rsid w:val="009D7930"/>
    <w:rsid w:val="009E0D18"/>
    <w:rsid w:val="009E15FD"/>
    <w:rsid w:val="009E1A7B"/>
    <w:rsid w:val="009E227D"/>
    <w:rsid w:val="009E2781"/>
    <w:rsid w:val="009E32F6"/>
    <w:rsid w:val="009E4873"/>
    <w:rsid w:val="009E5019"/>
    <w:rsid w:val="009E5D12"/>
    <w:rsid w:val="009E621F"/>
    <w:rsid w:val="009E7CBB"/>
    <w:rsid w:val="009F0678"/>
    <w:rsid w:val="009F1215"/>
    <w:rsid w:val="009F1E55"/>
    <w:rsid w:val="009F3794"/>
    <w:rsid w:val="009F41B9"/>
    <w:rsid w:val="009F5A1B"/>
    <w:rsid w:val="009F5D52"/>
    <w:rsid w:val="009F642B"/>
    <w:rsid w:val="00A00370"/>
    <w:rsid w:val="00A00718"/>
    <w:rsid w:val="00A00B24"/>
    <w:rsid w:val="00A0115D"/>
    <w:rsid w:val="00A02E30"/>
    <w:rsid w:val="00A03414"/>
    <w:rsid w:val="00A03AAA"/>
    <w:rsid w:val="00A03BB9"/>
    <w:rsid w:val="00A04F1B"/>
    <w:rsid w:val="00A0501B"/>
    <w:rsid w:val="00A055DF"/>
    <w:rsid w:val="00A05AA9"/>
    <w:rsid w:val="00A06C97"/>
    <w:rsid w:val="00A102E7"/>
    <w:rsid w:val="00A13B93"/>
    <w:rsid w:val="00A14719"/>
    <w:rsid w:val="00A14947"/>
    <w:rsid w:val="00A17502"/>
    <w:rsid w:val="00A2056D"/>
    <w:rsid w:val="00A2219A"/>
    <w:rsid w:val="00A2291C"/>
    <w:rsid w:val="00A22A38"/>
    <w:rsid w:val="00A25714"/>
    <w:rsid w:val="00A263C8"/>
    <w:rsid w:val="00A26917"/>
    <w:rsid w:val="00A26CF6"/>
    <w:rsid w:val="00A32A83"/>
    <w:rsid w:val="00A32E20"/>
    <w:rsid w:val="00A339A6"/>
    <w:rsid w:val="00A3405F"/>
    <w:rsid w:val="00A3666E"/>
    <w:rsid w:val="00A368DB"/>
    <w:rsid w:val="00A36DFF"/>
    <w:rsid w:val="00A4083D"/>
    <w:rsid w:val="00A41E1A"/>
    <w:rsid w:val="00A423AA"/>
    <w:rsid w:val="00A43B3E"/>
    <w:rsid w:val="00A45CAA"/>
    <w:rsid w:val="00A45FB0"/>
    <w:rsid w:val="00A52871"/>
    <w:rsid w:val="00A52D92"/>
    <w:rsid w:val="00A5311F"/>
    <w:rsid w:val="00A53EC6"/>
    <w:rsid w:val="00A5439B"/>
    <w:rsid w:val="00A55BA0"/>
    <w:rsid w:val="00A55C0F"/>
    <w:rsid w:val="00A56032"/>
    <w:rsid w:val="00A5789B"/>
    <w:rsid w:val="00A62FAA"/>
    <w:rsid w:val="00A64E7B"/>
    <w:rsid w:val="00A6531D"/>
    <w:rsid w:val="00A65D55"/>
    <w:rsid w:val="00A7034F"/>
    <w:rsid w:val="00A714E0"/>
    <w:rsid w:val="00A72D9F"/>
    <w:rsid w:val="00A76622"/>
    <w:rsid w:val="00A80BD9"/>
    <w:rsid w:val="00A80CCB"/>
    <w:rsid w:val="00A811B3"/>
    <w:rsid w:val="00A84F85"/>
    <w:rsid w:val="00A85A6C"/>
    <w:rsid w:val="00A87001"/>
    <w:rsid w:val="00A8713F"/>
    <w:rsid w:val="00A90BA1"/>
    <w:rsid w:val="00A91B25"/>
    <w:rsid w:val="00A949A6"/>
    <w:rsid w:val="00A95336"/>
    <w:rsid w:val="00A973B1"/>
    <w:rsid w:val="00A97A9A"/>
    <w:rsid w:val="00A97B23"/>
    <w:rsid w:val="00AA060C"/>
    <w:rsid w:val="00AA0671"/>
    <w:rsid w:val="00AA0FA9"/>
    <w:rsid w:val="00AA2531"/>
    <w:rsid w:val="00AA3D23"/>
    <w:rsid w:val="00AA4489"/>
    <w:rsid w:val="00AA560D"/>
    <w:rsid w:val="00AA6DD8"/>
    <w:rsid w:val="00AB07FB"/>
    <w:rsid w:val="00AB1246"/>
    <w:rsid w:val="00AB17A5"/>
    <w:rsid w:val="00AB1E09"/>
    <w:rsid w:val="00AB2961"/>
    <w:rsid w:val="00AB2B73"/>
    <w:rsid w:val="00AB3450"/>
    <w:rsid w:val="00AB35A2"/>
    <w:rsid w:val="00AB3867"/>
    <w:rsid w:val="00AB5330"/>
    <w:rsid w:val="00AB5C18"/>
    <w:rsid w:val="00AB6375"/>
    <w:rsid w:val="00AB72EE"/>
    <w:rsid w:val="00AB7747"/>
    <w:rsid w:val="00AB7782"/>
    <w:rsid w:val="00AC14CE"/>
    <w:rsid w:val="00AC2A56"/>
    <w:rsid w:val="00AC3F2B"/>
    <w:rsid w:val="00AC45C5"/>
    <w:rsid w:val="00AC67C7"/>
    <w:rsid w:val="00AC7226"/>
    <w:rsid w:val="00AD055E"/>
    <w:rsid w:val="00AD3F0D"/>
    <w:rsid w:val="00AD47A7"/>
    <w:rsid w:val="00AD4807"/>
    <w:rsid w:val="00AD49CB"/>
    <w:rsid w:val="00AD4D18"/>
    <w:rsid w:val="00AD7089"/>
    <w:rsid w:val="00AE1ED8"/>
    <w:rsid w:val="00AE2729"/>
    <w:rsid w:val="00AE4D15"/>
    <w:rsid w:val="00AE502E"/>
    <w:rsid w:val="00AE5F44"/>
    <w:rsid w:val="00AE792A"/>
    <w:rsid w:val="00AF01AB"/>
    <w:rsid w:val="00AF0CBF"/>
    <w:rsid w:val="00AF257F"/>
    <w:rsid w:val="00AF3047"/>
    <w:rsid w:val="00AF33CF"/>
    <w:rsid w:val="00AF4D50"/>
    <w:rsid w:val="00AF5F44"/>
    <w:rsid w:val="00AF6179"/>
    <w:rsid w:val="00AF7AAF"/>
    <w:rsid w:val="00B007DE"/>
    <w:rsid w:val="00B01139"/>
    <w:rsid w:val="00B01421"/>
    <w:rsid w:val="00B014B0"/>
    <w:rsid w:val="00B01592"/>
    <w:rsid w:val="00B02F7F"/>
    <w:rsid w:val="00B02FBB"/>
    <w:rsid w:val="00B036AE"/>
    <w:rsid w:val="00B03767"/>
    <w:rsid w:val="00B10189"/>
    <w:rsid w:val="00B10A7A"/>
    <w:rsid w:val="00B10E1B"/>
    <w:rsid w:val="00B1110C"/>
    <w:rsid w:val="00B1295A"/>
    <w:rsid w:val="00B12DD1"/>
    <w:rsid w:val="00B1330F"/>
    <w:rsid w:val="00B2072F"/>
    <w:rsid w:val="00B20808"/>
    <w:rsid w:val="00B20A45"/>
    <w:rsid w:val="00B210D9"/>
    <w:rsid w:val="00B22C5C"/>
    <w:rsid w:val="00B24126"/>
    <w:rsid w:val="00B249B3"/>
    <w:rsid w:val="00B24F30"/>
    <w:rsid w:val="00B26BB1"/>
    <w:rsid w:val="00B26D80"/>
    <w:rsid w:val="00B26F78"/>
    <w:rsid w:val="00B27518"/>
    <w:rsid w:val="00B27714"/>
    <w:rsid w:val="00B30A36"/>
    <w:rsid w:val="00B30BFA"/>
    <w:rsid w:val="00B31ABF"/>
    <w:rsid w:val="00B32434"/>
    <w:rsid w:val="00B33BE3"/>
    <w:rsid w:val="00B34633"/>
    <w:rsid w:val="00B35A90"/>
    <w:rsid w:val="00B362FF"/>
    <w:rsid w:val="00B37791"/>
    <w:rsid w:val="00B40BB9"/>
    <w:rsid w:val="00B420B4"/>
    <w:rsid w:val="00B526A4"/>
    <w:rsid w:val="00B53B5D"/>
    <w:rsid w:val="00B55938"/>
    <w:rsid w:val="00B56BBB"/>
    <w:rsid w:val="00B577C6"/>
    <w:rsid w:val="00B6055E"/>
    <w:rsid w:val="00B61485"/>
    <w:rsid w:val="00B62D12"/>
    <w:rsid w:val="00B6317D"/>
    <w:rsid w:val="00B641E6"/>
    <w:rsid w:val="00B655B7"/>
    <w:rsid w:val="00B65E28"/>
    <w:rsid w:val="00B66C73"/>
    <w:rsid w:val="00B67398"/>
    <w:rsid w:val="00B67AA9"/>
    <w:rsid w:val="00B70817"/>
    <w:rsid w:val="00B70E3B"/>
    <w:rsid w:val="00B72004"/>
    <w:rsid w:val="00B736EC"/>
    <w:rsid w:val="00B73D6F"/>
    <w:rsid w:val="00B74359"/>
    <w:rsid w:val="00B768BC"/>
    <w:rsid w:val="00B7723F"/>
    <w:rsid w:val="00B80224"/>
    <w:rsid w:val="00B80534"/>
    <w:rsid w:val="00B81D9E"/>
    <w:rsid w:val="00B8433C"/>
    <w:rsid w:val="00B85349"/>
    <w:rsid w:val="00B87491"/>
    <w:rsid w:val="00B91A0E"/>
    <w:rsid w:val="00B91DBF"/>
    <w:rsid w:val="00B91FFB"/>
    <w:rsid w:val="00B93415"/>
    <w:rsid w:val="00B938D4"/>
    <w:rsid w:val="00B93E55"/>
    <w:rsid w:val="00B94889"/>
    <w:rsid w:val="00B94C65"/>
    <w:rsid w:val="00B9653C"/>
    <w:rsid w:val="00B96DB1"/>
    <w:rsid w:val="00B97D6E"/>
    <w:rsid w:val="00BA235C"/>
    <w:rsid w:val="00BA29E9"/>
    <w:rsid w:val="00BA43F4"/>
    <w:rsid w:val="00BA5A3F"/>
    <w:rsid w:val="00BA5F00"/>
    <w:rsid w:val="00BA7142"/>
    <w:rsid w:val="00BA73D6"/>
    <w:rsid w:val="00BA7841"/>
    <w:rsid w:val="00BB1A3F"/>
    <w:rsid w:val="00BB1E65"/>
    <w:rsid w:val="00BB237C"/>
    <w:rsid w:val="00BB27AD"/>
    <w:rsid w:val="00BB41A3"/>
    <w:rsid w:val="00BB52C2"/>
    <w:rsid w:val="00BC046B"/>
    <w:rsid w:val="00BC32DC"/>
    <w:rsid w:val="00BC35B6"/>
    <w:rsid w:val="00BC74C1"/>
    <w:rsid w:val="00BC764F"/>
    <w:rsid w:val="00BD016E"/>
    <w:rsid w:val="00BD035A"/>
    <w:rsid w:val="00BD07C5"/>
    <w:rsid w:val="00BD1B51"/>
    <w:rsid w:val="00BD2D37"/>
    <w:rsid w:val="00BD4596"/>
    <w:rsid w:val="00BE0C98"/>
    <w:rsid w:val="00BE1405"/>
    <w:rsid w:val="00BE16F3"/>
    <w:rsid w:val="00BE312D"/>
    <w:rsid w:val="00BE4CC6"/>
    <w:rsid w:val="00BE4D0A"/>
    <w:rsid w:val="00BE519D"/>
    <w:rsid w:val="00BE6247"/>
    <w:rsid w:val="00BE6405"/>
    <w:rsid w:val="00BF01AE"/>
    <w:rsid w:val="00BF0445"/>
    <w:rsid w:val="00BF1C20"/>
    <w:rsid w:val="00BF21C6"/>
    <w:rsid w:val="00BF456C"/>
    <w:rsid w:val="00BF6792"/>
    <w:rsid w:val="00BF7BBA"/>
    <w:rsid w:val="00C00855"/>
    <w:rsid w:val="00C0096C"/>
    <w:rsid w:val="00C00AF9"/>
    <w:rsid w:val="00C0174A"/>
    <w:rsid w:val="00C03F96"/>
    <w:rsid w:val="00C04F7D"/>
    <w:rsid w:val="00C0534D"/>
    <w:rsid w:val="00C06FE1"/>
    <w:rsid w:val="00C101F3"/>
    <w:rsid w:val="00C10578"/>
    <w:rsid w:val="00C10A45"/>
    <w:rsid w:val="00C10C1D"/>
    <w:rsid w:val="00C135BC"/>
    <w:rsid w:val="00C13948"/>
    <w:rsid w:val="00C15C95"/>
    <w:rsid w:val="00C171CC"/>
    <w:rsid w:val="00C17BD8"/>
    <w:rsid w:val="00C17D69"/>
    <w:rsid w:val="00C213CA"/>
    <w:rsid w:val="00C23FBE"/>
    <w:rsid w:val="00C24C4D"/>
    <w:rsid w:val="00C2596A"/>
    <w:rsid w:val="00C274C0"/>
    <w:rsid w:val="00C27537"/>
    <w:rsid w:val="00C27B17"/>
    <w:rsid w:val="00C31933"/>
    <w:rsid w:val="00C326CF"/>
    <w:rsid w:val="00C328FE"/>
    <w:rsid w:val="00C334F2"/>
    <w:rsid w:val="00C33507"/>
    <w:rsid w:val="00C4161C"/>
    <w:rsid w:val="00C41D29"/>
    <w:rsid w:val="00C43E62"/>
    <w:rsid w:val="00C4409D"/>
    <w:rsid w:val="00C448CD"/>
    <w:rsid w:val="00C44E72"/>
    <w:rsid w:val="00C450C3"/>
    <w:rsid w:val="00C45A06"/>
    <w:rsid w:val="00C47A99"/>
    <w:rsid w:val="00C47E5B"/>
    <w:rsid w:val="00C5234F"/>
    <w:rsid w:val="00C5343E"/>
    <w:rsid w:val="00C53DC3"/>
    <w:rsid w:val="00C55A9D"/>
    <w:rsid w:val="00C56386"/>
    <w:rsid w:val="00C568E8"/>
    <w:rsid w:val="00C573FE"/>
    <w:rsid w:val="00C614D0"/>
    <w:rsid w:val="00C61655"/>
    <w:rsid w:val="00C61E4B"/>
    <w:rsid w:val="00C62548"/>
    <w:rsid w:val="00C6277C"/>
    <w:rsid w:val="00C62EBC"/>
    <w:rsid w:val="00C63653"/>
    <w:rsid w:val="00C640A1"/>
    <w:rsid w:val="00C64BFF"/>
    <w:rsid w:val="00C67DD0"/>
    <w:rsid w:val="00C704E9"/>
    <w:rsid w:val="00C72C53"/>
    <w:rsid w:val="00C7327F"/>
    <w:rsid w:val="00C7397A"/>
    <w:rsid w:val="00C74407"/>
    <w:rsid w:val="00C763C9"/>
    <w:rsid w:val="00C76829"/>
    <w:rsid w:val="00C779B0"/>
    <w:rsid w:val="00C80057"/>
    <w:rsid w:val="00C81FB4"/>
    <w:rsid w:val="00C82232"/>
    <w:rsid w:val="00C82913"/>
    <w:rsid w:val="00C8374B"/>
    <w:rsid w:val="00C83926"/>
    <w:rsid w:val="00C86000"/>
    <w:rsid w:val="00C8622A"/>
    <w:rsid w:val="00C8628B"/>
    <w:rsid w:val="00C871CA"/>
    <w:rsid w:val="00C900DF"/>
    <w:rsid w:val="00C9112E"/>
    <w:rsid w:val="00C912F2"/>
    <w:rsid w:val="00C922EB"/>
    <w:rsid w:val="00C92C4E"/>
    <w:rsid w:val="00C93726"/>
    <w:rsid w:val="00C9434F"/>
    <w:rsid w:val="00C967D6"/>
    <w:rsid w:val="00C9684F"/>
    <w:rsid w:val="00C972B1"/>
    <w:rsid w:val="00CA18F7"/>
    <w:rsid w:val="00CA205A"/>
    <w:rsid w:val="00CA2CCE"/>
    <w:rsid w:val="00CA3445"/>
    <w:rsid w:val="00CA4258"/>
    <w:rsid w:val="00CA42DC"/>
    <w:rsid w:val="00CA43FD"/>
    <w:rsid w:val="00CA4696"/>
    <w:rsid w:val="00CA75CE"/>
    <w:rsid w:val="00CA7EF8"/>
    <w:rsid w:val="00CB11E3"/>
    <w:rsid w:val="00CB1CD9"/>
    <w:rsid w:val="00CB286B"/>
    <w:rsid w:val="00CB28D5"/>
    <w:rsid w:val="00CB3FFC"/>
    <w:rsid w:val="00CC1444"/>
    <w:rsid w:val="00CC369B"/>
    <w:rsid w:val="00CC489B"/>
    <w:rsid w:val="00CC5082"/>
    <w:rsid w:val="00CC555D"/>
    <w:rsid w:val="00CC60A1"/>
    <w:rsid w:val="00CC775B"/>
    <w:rsid w:val="00CD084B"/>
    <w:rsid w:val="00CD2BCD"/>
    <w:rsid w:val="00CD2FDE"/>
    <w:rsid w:val="00CD3A4C"/>
    <w:rsid w:val="00CD3DE4"/>
    <w:rsid w:val="00CD58BA"/>
    <w:rsid w:val="00CD5B40"/>
    <w:rsid w:val="00CD5D4B"/>
    <w:rsid w:val="00CD7491"/>
    <w:rsid w:val="00CE06AF"/>
    <w:rsid w:val="00CE10E9"/>
    <w:rsid w:val="00CE1D37"/>
    <w:rsid w:val="00CE2910"/>
    <w:rsid w:val="00CE3B43"/>
    <w:rsid w:val="00CE3C00"/>
    <w:rsid w:val="00CE4983"/>
    <w:rsid w:val="00CE5393"/>
    <w:rsid w:val="00CE6E52"/>
    <w:rsid w:val="00CE7523"/>
    <w:rsid w:val="00CF294C"/>
    <w:rsid w:val="00CF2D74"/>
    <w:rsid w:val="00CF2DF1"/>
    <w:rsid w:val="00CF36BE"/>
    <w:rsid w:val="00CF6000"/>
    <w:rsid w:val="00CF64E1"/>
    <w:rsid w:val="00CF6815"/>
    <w:rsid w:val="00D003F3"/>
    <w:rsid w:val="00D012D6"/>
    <w:rsid w:val="00D02529"/>
    <w:rsid w:val="00D0364F"/>
    <w:rsid w:val="00D03BD4"/>
    <w:rsid w:val="00D03F63"/>
    <w:rsid w:val="00D040DB"/>
    <w:rsid w:val="00D060C0"/>
    <w:rsid w:val="00D06161"/>
    <w:rsid w:val="00D06834"/>
    <w:rsid w:val="00D13BE3"/>
    <w:rsid w:val="00D21747"/>
    <w:rsid w:val="00D218E7"/>
    <w:rsid w:val="00D23EF6"/>
    <w:rsid w:val="00D24423"/>
    <w:rsid w:val="00D30013"/>
    <w:rsid w:val="00D308ED"/>
    <w:rsid w:val="00D32259"/>
    <w:rsid w:val="00D32875"/>
    <w:rsid w:val="00D32969"/>
    <w:rsid w:val="00D32FCF"/>
    <w:rsid w:val="00D339A2"/>
    <w:rsid w:val="00D364D7"/>
    <w:rsid w:val="00D36D86"/>
    <w:rsid w:val="00D37002"/>
    <w:rsid w:val="00D40D30"/>
    <w:rsid w:val="00D41297"/>
    <w:rsid w:val="00D41825"/>
    <w:rsid w:val="00D428AA"/>
    <w:rsid w:val="00D45777"/>
    <w:rsid w:val="00D45FCD"/>
    <w:rsid w:val="00D50A34"/>
    <w:rsid w:val="00D51B13"/>
    <w:rsid w:val="00D53EFA"/>
    <w:rsid w:val="00D55E6C"/>
    <w:rsid w:val="00D61FA4"/>
    <w:rsid w:val="00D638EE"/>
    <w:rsid w:val="00D64DD7"/>
    <w:rsid w:val="00D65278"/>
    <w:rsid w:val="00D67F3B"/>
    <w:rsid w:val="00D716C8"/>
    <w:rsid w:val="00D71D99"/>
    <w:rsid w:val="00D73868"/>
    <w:rsid w:val="00D7467E"/>
    <w:rsid w:val="00D82673"/>
    <w:rsid w:val="00D876F1"/>
    <w:rsid w:val="00D91A44"/>
    <w:rsid w:val="00D94872"/>
    <w:rsid w:val="00D94A7C"/>
    <w:rsid w:val="00D94DE1"/>
    <w:rsid w:val="00D9584D"/>
    <w:rsid w:val="00D95896"/>
    <w:rsid w:val="00D9673E"/>
    <w:rsid w:val="00DA22F4"/>
    <w:rsid w:val="00DA2EB6"/>
    <w:rsid w:val="00DA5D71"/>
    <w:rsid w:val="00DA6BDE"/>
    <w:rsid w:val="00DB2983"/>
    <w:rsid w:val="00DB6883"/>
    <w:rsid w:val="00DB6E15"/>
    <w:rsid w:val="00DB7D35"/>
    <w:rsid w:val="00DC1257"/>
    <w:rsid w:val="00DC1C86"/>
    <w:rsid w:val="00DC3A30"/>
    <w:rsid w:val="00DC3DC0"/>
    <w:rsid w:val="00DC4DC6"/>
    <w:rsid w:val="00DC5B2B"/>
    <w:rsid w:val="00DC66AA"/>
    <w:rsid w:val="00DC7FE4"/>
    <w:rsid w:val="00DD318D"/>
    <w:rsid w:val="00DD3279"/>
    <w:rsid w:val="00DD4F3B"/>
    <w:rsid w:val="00DE0CFA"/>
    <w:rsid w:val="00DE2403"/>
    <w:rsid w:val="00DE2C28"/>
    <w:rsid w:val="00DE3577"/>
    <w:rsid w:val="00DE4A3B"/>
    <w:rsid w:val="00DE6CF7"/>
    <w:rsid w:val="00DF07CC"/>
    <w:rsid w:val="00DF0E4B"/>
    <w:rsid w:val="00DF14AC"/>
    <w:rsid w:val="00DF2393"/>
    <w:rsid w:val="00DF2E12"/>
    <w:rsid w:val="00DF410F"/>
    <w:rsid w:val="00DF4762"/>
    <w:rsid w:val="00DF514A"/>
    <w:rsid w:val="00DF6690"/>
    <w:rsid w:val="00DF677C"/>
    <w:rsid w:val="00DF6804"/>
    <w:rsid w:val="00DF7696"/>
    <w:rsid w:val="00E019EA"/>
    <w:rsid w:val="00E0358D"/>
    <w:rsid w:val="00E041FD"/>
    <w:rsid w:val="00E04323"/>
    <w:rsid w:val="00E046E3"/>
    <w:rsid w:val="00E067DE"/>
    <w:rsid w:val="00E06C56"/>
    <w:rsid w:val="00E070A2"/>
    <w:rsid w:val="00E07A16"/>
    <w:rsid w:val="00E13127"/>
    <w:rsid w:val="00E139C8"/>
    <w:rsid w:val="00E20B24"/>
    <w:rsid w:val="00E21A2B"/>
    <w:rsid w:val="00E21C28"/>
    <w:rsid w:val="00E22F63"/>
    <w:rsid w:val="00E23A9D"/>
    <w:rsid w:val="00E2656A"/>
    <w:rsid w:val="00E27650"/>
    <w:rsid w:val="00E27EC3"/>
    <w:rsid w:val="00E30F9D"/>
    <w:rsid w:val="00E31B60"/>
    <w:rsid w:val="00E32455"/>
    <w:rsid w:val="00E32BD4"/>
    <w:rsid w:val="00E344DC"/>
    <w:rsid w:val="00E346A0"/>
    <w:rsid w:val="00E34A1F"/>
    <w:rsid w:val="00E35182"/>
    <w:rsid w:val="00E37209"/>
    <w:rsid w:val="00E3749C"/>
    <w:rsid w:val="00E379E1"/>
    <w:rsid w:val="00E4105F"/>
    <w:rsid w:val="00E412D0"/>
    <w:rsid w:val="00E42C03"/>
    <w:rsid w:val="00E4678D"/>
    <w:rsid w:val="00E47FD0"/>
    <w:rsid w:val="00E50685"/>
    <w:rsid w:val="00E51D25"/>
    <w:rsid w:val="00E553F7"/>
    <w:rsid w:val="00E56322"/>
    <w:rsid w:val="00E5634A"/>
    <w:rsid w:val="00E564B0"/>
    <w:rsid w:val="00E60982"/>
    <w:rsid w:val="00E60C4E"/>
    <w:rsid w:val="00E62C62"/>
    <w:rsid w:val="00E651AD"/>
    <w:rsid w:val="00E654C1"/>
    <w:rsid w:val="00E65D97"/>
    <w:rsid w:val="00E67398"/>
    <w:rsid w:val="00E72A5A"/>
    <w:rsid w:val="00E73148"/>
    <w:rsid w:val="00E73354"/>
    <w:rsid w:val="00E73B88"/>
    <w:rsid w:val="00E7699A"/>
    <w:rsid w:val="00E8046F"/>
    <w:rsid w:val="00E8160A"/>
    <w:rsid w:val="00E8333B"/>
    <w:rsid w:val="00E84018"/>
    <w:rsid w:val="00E84FD4"/>
    <w:rsid w:val="00E87B9A"/>
    <w:rsid w:val="00E914A6"/>
    <w:rsid w:val="00E921BE"/>
    <w:rsid w:val="00E9242D"/>
    <w:rsid w:val="00E958DA"/>
    <w:rsid w:val="00E9639D"/>
    <w:rsid w:val="00E96A1C"/>
    <w:rsid w:val="00EA258E"/>
    <w:rsid w:val="00EA3945"/>
    <w:rsid w:val="00EA3AAE"/>
    <w:rsid w:val="00EB0C69"/>
    <w:rsid w:val="00EB3D39"/>
    <w:rsid w:val="00EB4A00"/>
    <w:rsid w:val="00EB5255"/>
    <w:rsid w:val="00EB5C47"/>
    <w:rsid w:val="00EB635C"/>
    <w:rsid w:val="00EB7178"/>
    <w:rsid w:val="00EC0290"/>
    <w:rsid w:val="00EC29C4"/>
    <w:rsid w:val="00EC4FAB"/>
    <w:rsid w:val="00EC6C81"/>
    <w:rsid w:val="00EC784E"/>
    <w:rsid w:val="00ED0639"/>
    <w:rsid w:val="00ED121D"/>
    <w:rsid w:val="00ED197E"/>
    <w:rsid w:val="00ED2BDF"/>
    <w:rsid w:val="00ED31FD"/>
    <w:rsid w:val="00ED3513"/>
    <w:rsid w:val="00ED6AA2"/>
    <w:rsid w:val="00ED7178"/>
    <w:rsid w:val="00EE0F95"/>
    <w:rsid w:val="00EE11C3"/>
    <w:rsid w:val="00EE187E"/>
    <w:rsid w:val="00EE1D34"/>
    <w:rsid w:val="00EE2EB5"/>
    <w:rsid w:val="00EE3D35"/>
    <w:rsid w:val="00EE6D96"/>
    <w:rsid w:val="00EF0A47"/>
    <w:rsid w:val="00EF3E78"/>
    <w:rsid w:val="00EF4755"/>
    <w:rsid w:val="00EF4C83"/>
    <w:rsid w:val="00EF54D9"/>
    <w:rsid w:val="00EF7135"/>
    <w:rsid w:val="00F01C10"/>
    <w:rsid w:val="00F01E5C"/>
    <w:rsid w:val="00F027DB"/>
    <w:rsid w:val="00F02885"/>
    <w:rsid w:val="00F048E3"/>
    <w:rsid w:val="00F049DF"/>
    <w:rsid w:val="00F07D1B"/>
    <w:rsid w:val="00F10513"/>
    <w:rsid w:val="00F108C9"/>
    <w:rsid w:val="00F1130E"/>
    <w:rsid w:val="00F12BC8"/>
    <w:rsid w:val="00F14A7A"/>
    <w:rsid w:val="00F14B91"/>
    <w:rsid w:val="00F1630D"/>
    <w:rsid w:val="00F16A52"/>
    <w:rsid w:val="00F176AD"/>
    <w:rsid w:val="00F22985"/>
    <w:rsid w:val="00F2321E"/>
    <w:rsid w:val="00F23717"/>
    <w:rsid w:val="00F25301"/>
    <w:rsid w:val="00F26F06"/>
    <w:rsid w:val="00F27CFF"/>
    <w:rsid w:val="00F3383E"/>
    <w:rsid w:val="00F35812"/>
    <w:rsid w:val="00F42E9E"/>
    <w:rsid w:val="00F438CC"/>
    <w:rsid w:val="00F465A7"/>
    <w:rsid w:val="00F46721"/>
    <w:rsid w:val="00F500D5"/>
    <w:rsid w:val="00F50B7C"/>
    <w:rsid w:val="00F5119C"/>
    <w:rsid w:val="00F524DF"/>
    <w:rsid w:val="00F541A3"/>
    <w:rsid w:val="00F550E6"/>
    <w:rsid w:val="00F55D5F"/>
    <w:rsid w:val="00F55EA3"/>
    <w:rsid w:val="00F569F0"/>
    <w:rsid w:val="00F63AA0"/>
    <w:rsid w:val="00F653BC"/>
    <w:rsid w:val="00F70DBA"/>
    <w:rsid w:val="00F715BD"/>
    <w:rsid w:val="00F71C82"/>
    <w:rsid w:val="00F7246D"/>
    <w:rsid w:val="00F73605"/>
    <w:rsid w:val="00F73B77"/>
    <w:rsid w:val="00F73E22"/>
    <w:rsid w:val="00F74345"/>
    <w:rsid w:val="00F776A6"/>
    <w:rsid w:val="00F80A0A"/>
    <w:rsid w:val="00F818A4"/>
    <w:rsid w:val="00F82B19"/>
    <w:rsid w:val="00F840AD"/>
    <w:rsid w:val="00F85127"/>
    <w:rsid w:val="00F9151F"/>
    <w:rsid w:val="00F917D0"/>
    <w:rsid w:val="00F9212D"/>
    <w:rsid w:val="00F965DA"/>
    <w:rsid w:val="00F97209"/>
    <w:rsid w:val="00F97326"/>
    <w:rsid w:val="00FA062A"/>
    <w:rsid w:val="00FA3352"/>
    <w:rsid w:val="00FA37B6"/>
    <w:rsid w:val="00FA406A"/>
    <w:rsid w:val="00FA57D1"/>
    <w:rsid w:val="00FA7DFB"/>
    <w:rsid w:val="00FB09FA"/>
    <w:rsid w:val="00FB2829"/>
    <w:rsid w:val="00FB389D"/>
    <w:rsid w:val="00FB47BC"/>
    <w:rsid w:val="00FB503A"/>
    <w:rsid w:val="00FB516C"/>
    <w:rsid w:val="00FB5937"/>
    <w:rsid w:val="00FB6C09"/>
    <w:rsid w:val="00FB7802"/>
    <w:rsid w:val="00FB7DAA"/>
    <w:rsid w:val="00FC02AA"/>
    <w:rsid w:val="00FC3E78"/>
    <w:rsid w:val="00FC5FFF"/>
    <w:rsid w:val="00FC7AB7"/>
    <w:rsid w:val="00FD0236"/>
    <w:rsid w:val="00FD059F"/>
    <w:rsid w:val="00FD10B8"/>
    <w:rsid w:val="00FD18F4"/>
    <w:rsid w:val="00FD4E02"/>
    <w:rsid w:val="00FD54DB"/>
    <w:rsid w:val="00FD5D2C"/>
    <w:rsid w:val="00FD619F"/>
    <w:rsid w:val="00FE02D7"/>
    <w:rsid w:val="00FE0635"/>
    <w:rsid w:val="00FE36AE"/>
    <w:rsid w:val="00FE37AD"/>
    <w:rsid w:val="00FE3C8D"/>
    <w:rsid w:val="00FE6135"/>
    <w:rsid w:val="00FE6B83"/>
    <w:rsid w:val="00FF0A6C"/>
    <w:rsid w:val="00FF122F"/>
    <w:rsid w:val="00FF1F6D"/>
    <w:rsid w:val="00FF77EB"/>
    <w:rsid w:val="010019A2"/>
    <w:rsid w:val="01002534"/>
    <w:rsid w:val="01006CB0"/>
    <w:rsid w:val="0101237C"/>
    <w:rsid w:val="01017FB5"/>
    <w:rsid w:val="01022F1A"/>
    <w:rsid w:val="010230DF"/>
    <w:rsid w:val="01043138"/>
    <w:rsid w:val="01044493"/>
    <w:rsid w:val="0106663B"/>
    <w:rsid w:val="01081B3E"/>
    <w:rsid w:val="01085094"/>
    <w:rsid w:val="0108714A"/>
    <w:rsid w:val="01087940"/>
    <w:rsid w:val="01090B8D"/>
    <w:rsid w:val="010975C0"/>
    <w:rsid w:val="01097CE8"/>
    <w:rsid w:val="010A08C5"/>
    <w:rsid w:val="010A5041"/>
    <w:rsid w:val="010B2AC3"/>
    <w:rsid w:val="010B5BB6"/>
    <w:rsid w:val="010C0545"/>
    <w:rsid w:val="010C3DC8"/>
    <w:rsid w:val="010D1849"/>
    <w:rsid w:val="010D3379"/>
    <w:rsid w:val="010E3A48"/>
    <w:rsid w:val="010E72CB"/>
    <w:rsid w:val="010F4AB6"/>
    <w:rsid w:val="011027CE"/>
    <w:rsid w:val="01106F4B"/>
    <w:rsid w:val="01110250"/>
    <w:rsid w:val="011411D4"/>
    <w:rsid w:val="01150B21"/>
    <w:rsid w:val="011533D3"/>
    <w:rsid w:val="01156C56"/>
    <w:rsid w:val="011614FB"/>
    <w:rsid w:val="011646D7"/>
    <w:rsid w:val="0117042E"/>
    <w:rsid w:val="011768D6"/>
    <w:rsid w:val="01177A27"/>
    <w:rsid w:val="011941B1"/>
    <w:rsid w:val="011A52DC"/>
    <w:rsid w:val="011B0B5F"/>
    <w:rsid w:val="011B2D5D"/>
    <w:rsid w:val="011C07DF"/>
    <w:rsid w:val="011C62C9"/>
    <w:rsid w:val="011D4062"/>
    <w:rsid w:val="011D6260"/>
    <w:rsid w:val="011E1AE4"/>
    <w:rsid w:val="011F1764"/>
    <w:rsid w:val="011F3252"/>
    <w:rsid w:val="011F33B8"/>
    <w:rsid w:val="01200DBA"/>
    <w:rsid w:val="01202A68"/>
    <w:rsid w:val="012071E5"/>
    <w:rsid w:val="012104EA"/>
    <w:rsid w:val="01211959"/>
    <w:rsid w:val="01214C67"/>
    <w:rsid w:val="01225F6B"/>
    <w:rsid w:val="0123016A"/>
    <w:rsid w:val="012339ED"/>
    <w:rsid w:val="0124146F"/>
    <w:rsid w:val="01264972"/>
    <w:rsid w:val="012651AE"/>
    <w:rsid w:val="01287101"/>
    <w:rsid w:val="012872C5"/>
    <w:rsid w:val="01287E75"/>
    <w:rsid w:val="01290F7E"/>
    <w:rsid w:val="01292073"/>
    <w:rsid w:val="012958F6"/>
    <w:rsid w:val="012A083E"/>
    <w:rsid w:val="012A3378"/>
    <w:rsid w:val="012B5576"/>
    <w:rsid w:val="012C2FF8"/>
    <w:rsid w:val="012C687B"/>
    <w:rsid w:val="012D0A79"/>
    <w:rsid w:val="012E1D7E"/>
    <w:rsid w:val="012E34F5"/>
    <w:rsid w:val="012E64FB"/>
    <w:rsid w:val="012F3F7C"/>
    <w:rsid w:val="012F7800"/>
    <w:rsid w:val="01305281"/>
    <w:rsid w:val="01314F01"/>
    <w:rsid w:val="0131747F"/>
    <w:rsid w:val="01322983"/>
    <w:rsid w:val="01330404"/>
    <w:rsid w:val="013369C0"/>
    <w:rsid w:val="01343C87"/>
    <w:rsid w:val="01345E86"/>
    <w:rsid w:val="01351648"/>
    <w:rsid w:val="01352CD2"/>
    <w:rsid w:val="01352E88"/>
    <w:rsid w:val="013531F3"/>
    <w:rsid w:val="01353907"/>
    <w:rsid w:val="01357F39"/>
    <w:rsid w:val="01361389"/>
    <w:rsid w:val="01361677"/>
    <w:rsid w:val="013625FC"/>
    <w:rsid w:val="01372051"/>
    <w:rsid w:val="01372215"/>
    <w:rsid w:val="01374C0C"/>
    <w:rsid w:val="01375B0D"/>
    <w:rsid w:val="01376E0A"/>
    <w:rsid w:val="0138268E"/>
    <w:rsid w:val="013A3612"/>
    <w:rsid w:val="013A432D"/>
    <w:rsid w:val="013B1094"/>
    <w:rsid w:val="013B4D07"/>
    <w:rsid w:val="013C58A6"/>
    <w:rsid w:val="013C6B15"/>
    <w:rsid w:val="013D4597"/>
    <w:rsid w:val="013E2018"/>
    <w:rsid w:val="013E6E1F"/>
    <w:rsid w:val="01412F9D"/>
    <w:rsid w:val="01420A1F"/>
    <w:rsid w:val="01421AD5"/>
    <w:rsid w:val="01426932"/>
    <w:rsid w:val="0143581A"/>
    <w:rsid w:val="01435D3B"/>
    <w:rsid w:val="0143625C"/>
    <w:rsid w:val="014364A0"/>
    <w:rsid w:val="01443F22"/>
    <w:rsid w:val="01444C23"/>
    <w:rsid w:val="014519A3"/>
    <w:rsid w:val="01454397"/>
    <w:rsid w:val="01474EA6"/>
    <w:rsid w:val="01482928"/>
    <w:rsid w:val="014A5E2B"/>
    <w:rsid w:val="014A7C57"/>
    <w:rsid w:val="014B07F6"/>
    <w:rsid w:val="014B38AD"/>
    <w:rsid w:val="014C11D0"/>
    <w:rsid w:val="014C132E"/>
    <w:rsid w:val="014E4831"/>
    <w:rsid w:val="01510A39"/>
    <w:rsid w:val="01513237"/>
    <w:rsid w:val="01514860"/>
    <w:rsid w:val="015155C3"/>
    <w:rsid w:val="015157B6"/>
    <w:rsid w:val="01520CB9"/>
    <w:rsid w:val="01525F9E"/>
    <w:rsid w:val="01526ABB"/>
    <w:rsid w:val="0153453C"/>
    <w:rsid w:val="0153673B"/>
    <w:rsid w:val="01541FBE"/>
    <w:rsid w:val="015476DB"/>
    <w:rsid w:val="01557A3F"/>
    <w:rsid w:val="01560A8F"/>
    <w:rsid w:val="015654C1"/>
    <w:rsid w:val="015676BF"/>
    <w:rsid w:val="01572F42"/>
    <w:rsid w:val="01575141"/>
    <w:rsid w:val="015821CD"/>
    <w:rsid w:val="01590644"/>
    <w:rsid w:val="01593EC7"/>
    <w:rsid w:val="01596446"/>
    <w:rsid w:val="015A390A"/>
    <w:rsid w:val="015B3B47"/>
    <w:rsid w:val="015C15C8"/>
    <w:rsid w:val="015D1E09"/>
    <w:rsid w:val="015D585D"/>
    <w:rsid w:val="015D704A"/>
    <w:rsid w:val="015E034F"/>
    <w:rsid w:val="015E6DD6"/>
    <w:rsid w:val="015F254D"/>
    <w:rsid w:val="015F3216"/>
    <w:rsid w:val="015F7975"/>
    <w:rsid w:val="0160261F"/>
    <w:rsid w:val="016027D5"/>
    <w:rsid w:val="01602CF5"/>
    <w:rsid w:val="01603852"/>
    <w:rsid w:val="01607FCF"/>
    <w:rsid w:val="01611507"/>
    <w:rsid w:val="01612479"/>
    <w:rsid w:val="01615A50"/>
    <w:rsid w:val="01620C7B"/>
    <w:rsid w:val="016234D2"/>
    <w:rsid w:val="01630F53"/>
    <w:rsid w:val="016347D7"/>
    <w:rsid w:val="01642258"/>
    <w:rsid w:val="01657CDA"/>
    <w:rsid w:val="01661ED8"/>
    <w:rsid w:val="0166575B"/>
    <w:rsid w:val="016731DD"/>
    <w:rsid w:val="0167511D"/>
    <w:rsid w:val="0167795A"/>
    <w:rsid w:val="01680C5E"/>
    <w:rsid w:val="016908DE"/>
    <w:rsid w:val="016966E0"/>
    <w:rsid w:val="016A4161"/>
    <w:rsid w:val="016A6360"/>
    <w:rsid w:val="016B1BE3"/>
    <w:rsid w:val="016B3DE1"/>
    <w:rsid w:val="016B7C0E"/>
    <w:rsid w:val="016C7665"/>
    <w:rsid w:val="016D1EEA"/>
    <w:rsid w:val="016D50E6"/>
    <w:rsid w:val="016D72E4"/>
    <w:rsid w:val="016F05E9"/>
    <w:rsid w:val="016F27E7"/>
    <w:rsid w:val="016F329F"/>
    <w:rsid w:val="01700269"/>
    <w:rsid w:val="01703458"/>
    <w:rsid w:val="0170606B"/>
    <w:rsid w:val="0171156E"/>
    <w:rsid w:val="01713AEC"/>
    <w:rsid w:val="01715CEB"/>
    <w:rsid w:val="017253B6"/>
    <w:rsid w:val="0172557B"/>
    <w:rsid w:val="01754D1F"/>
    <w:rsid w:val="01757692"/>
    <w:rsid w:val="0176006D"/>
    <w:rsid w:val="01760231"/>
    <w:rsid w:val="01762172"/>
    <w:rsid w:val="01777BF4"/>
    <w:rsid w:val="01780EF9"/>
    <w:rsid w:val="017930F7"/>
    <w:rsid w:val="0179697A"/>
    <w:rsid w:val="017A0B78"/>
    <w:rsid w:val="017A43FC"/>
    <w:rsid w:val="017C78FF"/>
    <w:rsid w:val="017D5815"/>
    <w:rsid w:val="017E2E02"/>
    <w:rsid w:val="017F5000"/>
    <w:rsid w:val="017F5C35"/>
    <w:rsid w:val="01806305"/>
    <w:rsid w:val="01810306"/>
    <w:rsid w:val="018104CB"/>
    <w:rsid w:val="01813D87"/>
    <w:rsid w:val="01815F85"/>
    <w:rsid w:val="01821808"/>
    <w:rsid w:val="01823A06"/>
    <w:rsid w:val="01830099"/>
    <w:rsid w:val="018425E2"/>
    <w:rsid w:val="0185498B"/>
    <w:rsid w:val="0186020E"/>
    <w:rsid w:val="01874535"/>
    <w:rsid w:val="018750D4"/>
    <w:rsid w:val="01875299"/>
    <w:rsid w:val="01883711"/>
    <w:rsid w:val="01891193"/>
    <w:rsid w:val="018A4696"/>
    <w:rsid w:val="018A71EC"/>
    <w:rsid w:val="018A73B0"/>
    <w:rsid w:val="018B1C01"/>
    <w:rsid w:val="018B2118"/>
    <w:rsid w:val="018C0929"/>
    <w:rsid w:val="018C4316"/>
    <w:rsid w:val="018D1D97"/>
    <w:rsid w:val="018D561B"/>
    <w:rsid w:val="018E1EA2"/>
    <w:rsid w:val="01902D1C"/>
    <w:rsid w:val="0191079E"/>
    <w:rsid w:val="01913FB9"/>
    <w:rsid w:val="01914021"/>
    <w:rsid w:val="0192621F"/>
    <w:rsid w:val="01933CA1"/>
    <w:rsid w:val="01937524"/>
    <w:rsid w:val="01952A27"/>
    <w:rsid w:val="019601E9"/>
    <w:rsid w:val="019604A9"/>
    <w:rsid w:val="019726A7"/>
    <w:rsid w:val="01980129"/>
    <w:rsid w:val="019839AC"/>
    <w:rsid w:val="01995BAA"/>
    <w:rsid w:val="019A362C"/>
    <w:rsid w:val="019A4593"/>
    <w:rsid w:val="019A4749"/>
    <w:rsid w:val="019B3879"/>
    <w:rsid w:val="019B6B2F"/>
    <w:rsid w:val="019C2A3A"/>
    <w:rsid w:val="019D7E34"/>
    <w:rsid w:val="019E58B5"/>
    <w:rsid w:val="01A00DB8"/>
    <w:rsid w:val="01A15995"/>
    <w:rsid w:val="01A21021"/>
    <w:rsid w:val="01A21D3D"/>
    <w:rsid w:val="01A377BE"/>
    <w:rsid w:val="01A4259A"/>
    <w:rsid w:val="01A53138"/>
    <w:rsid w:val="01A60743"/>
    <w:rsid w:val="01A746B1"/>
    <w:rsid w:val="01A83C46"/>
    <w:rsid w:val="01A916C8"/>
    <w:rsid w:val="01A95C58"/>
    <w:rsid w:val="01A95E0E"/>
    <w:rsid w:val="01AA498B"/>
    <w:rsid w:val="01AA6604"/>
    <w:rsid w:val="01AA7149"/>
    <w:rsid w:val="01AB42B5"/>
    <w:rsid w:val="01AE147F"/>
    <w:rsid w:val="01AF35D1"/>
    <w:rsid w:val="01B01053"/>
    <w:rsid w:val="01B033D2"/>
    <w:rsid w:val="01B03597"/>
    <w:rsid w:val="01B16AD4"/>
    <w:rsid w:val="01B24B10"/>
    <w:rsid w:val="01B31FD7"/>
    <w:rsid w:val="01B359E2"/>
    <w:rsid w:val="01B56C27"/>
    <w:rsid w:val="01B60A7A"/>
    <w:rsid w:val="01B67601"/>
    <w:rsid w:val="01B709DD"/>
    <w:rsid w:val="01B80280"/>
    <w:rsid w:val="01B8645F"/>
    <w:rsid w:val="01B93EE0"/>
    <w:rsid w:val="01BA73E4"/>
    <w:rsid w:val="01BC28E7"/>
    <w:rsid w:val="01BC366C"/>
    <w:rsid w:val="01BC3830"/>
    <w:rsid w:val="01BD616A"/>
    <w:rsid w:val="01BE5DEA"/>
    <w:rsid w:val="01BF166D"/>
    <w:rsid w:val="01BF5783"/>
    <w:rsid w:val="01C14B70"/>
    <w:rsid w:val="01C16D6E"/>
    <w:rsid w:val="01C20035"/>
    <w:rsid w:val="01C20073"/>
    <w:rsid w:val="01C225F2"/>
    <w:rsid w:val="01C247F0"/>
    <w:rsid w:val="01C30FD8"/>
    <w:rsid w:val="01C32272"/>
    <w:rsid w:val="01C3504E"/>
    <w:rsid w:val="01C41761"/>
    <w:rsid w:val="01C41B44"/>
    <w:rsid w:val="01C43576"/>
    <w:rsid w:val="01C50FF8"/>
    <w:rsid w:val="01C55775"/>
    <w:rsid w:val="01C630F0"/>
    <w:rsid w:val="01C744FB"/>
    <w:rsid w:val="01C80F04"/>
    <w:rsid w:val="01C8126F"/>
    <w:rsid w:val="01C866F9"/>
    <w:rsid w:val="01C95043"/>
    <w:rsid w:val="01CA1BFC"/>
    <w:rsid w:val="01CB2F01"/>
    <w:rsid w:val="01CB4366"/>
    <w:rsid w:val="01CC0983"/>
    <w:rsid w:val="01CC50FF"/>
    <w:rsid w:val="01CC715B"/>
    <w:rsid w:val="01CD0898"/>
    <w:rsid w:val="01CD2B81"/>
    <w:rsid w:val="01CD6404"/>
    <w:rsid w:val="01CE0603"/>
    <w:rsid w:val="01CE3E86"/>
    <w:rsid w:val="01CE642A"/>
    <w:rsid w:val="01CF1907"/>
    <w:rsid w:val="01CF1FD5"/>
    <w:rsid w:val="01CF6084"/>
    <w:rsid w:val="01D027EB"/>
    <w:rsid w:val="01D07389"/>
    <w:rsid w:val="01D2288C"/>
    <w:rsid w:val="01D27009"/>
    <w:rsid w:val="01D3030E"/>
    <w:rsid w:val="01D3250C"/>
    <w:rsid w:val="01D37168"/>
    <w:rsid w:val="01D454A1"/>
    <w:rsid w:val="01D45911"/>
    <w:rsid w:val="01D45D8F"/>
    <w:rsid w:val="01D53811"/>
    <w:rsid w:val="01D55A0F"/>
    <w:rsid w:val="01D61292"/>
    <w:rsid w:val="01D76D14"/>
    <w:rsid w:val="01D7777D"/>
    <w:rsid w:val="01D94415"/>
    <w:rsid w:val="01DA226F"/>
    <w:rsid w:val="01DB2E0E"/>
    <w:rsid w:val="01DB7918"/>
    <w:rsid w:val="01DC0C1D"/>
    <w:rsid w:val="01DC539A"/>
    <w:rsid w:val="01DD4386"/>
    <w:rsid w:val="01DE4120"/>
    <w:rsid w:val="01DF1BA2"/>
    <w:rsid w:val="01DF631E"/>
    <w:rsid w:val="01E062DA"/>
    <w:rsid w:val="01E07623"/>
    <w:rsid w:val="01E150A5"/>
    <w:rsid w:val="01E16E78"/>
    <w:rsid w:val="01E27A17"/>
    <w:rsid w:val="01E305A8"/>
    <w:rsid w:val="01E305B6"/>
    <w:rsid w:val="01E34D25"/>
    <w:rsid w:val="01E3718B"/>
    <w:rsid w:val="01E46029"/>
    <w:rsid w:val="01E468FF"/>
    <w:rsid w:val="01E50228"/>
    <w:rsid w:val="01E53AAB"/>
    <w:rsid w:val="01E6152D"/>
    <w:rsid w:val="01E76FAE"/>
    <w:rsid w:val="01E811AC"/>
    <w:rsid w:val="01E84620"/>
    <w:rsid w:val="01E951BF"/>
    <w:rsid w:val="01EA2131"/>
    <w:rsid w:val="01EA7F33"/>
    <w:rsid w:val="01EC3436"/>
    <w:rsid w:val="01ED30B6"/>
    <w:rsid w:val="01ED7E75"/>
    <w:rsid w:val="01EE084F"/>
    <w:rsid w:val="01EE0B37"/>
    <w:rsid w:val="01EF13EE"/>
    <w:rsid w:val="01EF43BB"/>
    <w:rsid w:val="01F01DC8"/>
    <w:rsid w:val="01F01E3C"/>
    <w:rsid w:val="01F0403A"/>
    <w:rsid w:val="01F1203F"/>
    <w:rsid w:val="01F12715"/>
    <w:rsid w:val="01F210DC"/>
    <w:rsid w:val="01F22DC1"/>
    <w:rsid w:val="01F23341"/>
    <w:rsid w:val="01F2533F"/>
    <w:rsid w:val="01F2753D"/>
    <w:rsid w:val="01F30842"/>
    <w:rsid w:val="01F323F7"/>
    <w:rsid w:val="01F34FBF"/>
    <w:rsid w:val="01F42A41"/>
    <w:rsid w:val="01F4561D"/>
    <w:rsid w:val="01F462C4"/>
    <w:rsid w:val="01F504C2"/>
    <w:rsid w:val="01F53D45"/>
    <w:rsid w:val="01F739C5"/>
    <w:rsid w:val="01F77570"/>
    <w:rsid w:val="01F81447"/>
    <w:rsid w:val="01F84CCA"/>
    <w:rsid w:val="01F9274C"/>
    <w:rsid w:val="01FA01CD"/>
    <w:rsid w:val="01FA494A"/>
    <w:rsid w:val="01FB5C4F"/>
    <w:rsid w:val="01FC2C01"/>
    <w:rsid w:val="01FC2DC5"/>
    <w:rsid w:val="01FC7E4D"/>
    <w:rsid w:val="01FD1152"/>
    <w:rsid w:val="01FF0DD2"/>
    <w:rsid w:val="01FF4EDD"/>
    <w:rsid w:val="020058B7"/>
    <w:rsid w:val="02006853"/>
    <w:rsid w:val="02021D56"/>
    <w:rsid w:val="02022281"/>
    <w:rsid w:val="020277D8"/>
    <w:rsid w:val="0203305B"/>
    <w:rsid w:val="02040ADD"/>
    <w:rsid w:val="020624C0"/>
    <w:rsid w:val="020629AB"/>
    <w:rsid w:val="02063FE0"/>
    <w:rsid w:val="02070CCA"/>
    <w:rsid w:val="02071A61"/>
    <w:rsid w:val="0207305F"/>
    <w:rsid w:val="020874E3"/>
    <w:rsid w:val="02094F64"/>
    <w:rsid w:val="020A0467"/>
    <w:rsid w:val="020A29E6"/>
    <w:rsid w:val="020A5176"/>
    <w:rsid w:val="020C396B"/>
    <w:rsid w:val="020D13EC"/>
    <w:rsid w:val="020E7C68"/>
    <w:rsid w:val="020F0807"/>
    <w:rsid w:val="020F09CB"/>
    <w:rsid w:val="020F48EF"/>
    <w:rsid w:val="020F5EE1"/>
    <w:rsid w:val="02101F44"/>
    <w:rsid w:val="02111D80"/>
    <w:rsid w:val="02112AE3"/>
    <w:rsid w:val="021146F3"/>
    <w:rsid w:val="02117DF2"/>
    <w:rsid w:val="021332F5"/>
    <w:rsid w:val="0213405C"/>
    <w:rsid w:val="021567F9"/>
    <w:rsid w:val="021639D3"/>
    <w:rsid w:val="0216427A"/>
    <w:rsid w:val="02165FAF"/>
    <w:rsid w:val="02171CFC"/>
    <w:rsid w:val="021900C6"/>
    <w:rsid w:val="02192117"/>
    <w:rsid w:val="021B0702"/>
    <w:rsid w:val="021C1A07"/>
    <w:rsid w:val="021D3C05"/>
    <w:rsid w:val="021E019D"/>
    <w:rsid w:val="021F298B"/>
    <w:rsid w:val="021F7108"/>
    <w:rsid w:val="02204B8A"/>
    <w:rsid w:val="0221260B"/>
    <w:rsid w:val="0221640D"/>
    <w:rsid w:val="0222008D"/>
    <w:rsid w:val="02223910"/>
    <w:rsid w:val="02223FF9"/>
    <w:rsid w:val="02231391"/>
    <w:rsid w:val="02246E13"/>
    <w:rsid w:val="02250EFF"/>
    <w:rsid w:val="022528E9"/>
    <w:rsid w:val="02254895"/>
    <w:rsid w:val="02256A93"/>
    <w:rsid w:val="02261C62"/>
    <w:rsid w:val="02262316"/>
    <w:rsid w:val="022831DB"/>
    <w:rsid w:val="02285819"/>
    <w:rsid w:val="02293D79"/>
    <w:rsid w:val="022A679E"/>
    <w:rsid w:val="022B2C0A"/>
    <w:rsid w:val="022B38DD"/>
    <w:rsid w:val="022B421F"/>
    <w:rsid w:val="022C1CA1"/>
    <w:rsid w:val="022C27C5"/>
    <w:rsid w:val="022C5CCC"/>
    <w:rsid w:val="022C641E"/>
    <w:rsid w:val="022D1D83"/>
    <w:rsid w:val="022D3E9F"/>
    <w:rsid w:val="022D740A"/>
    <w:rsid w:val="022E51A4"/>
    <w:rsid w:val="022E7DE4"/>
    <w:rsid w:val="022F0983"/>
    <w:rsid w:val="022F2C26"/>
    <w:rsid w:val="023006A7"/>
    <w:rsid w:val="02311EFB"/>
    <w:rsid w:val="023128A5"/>
    <w:rsid w:val="02316129"/>
    <w:rsid w:val="02320327"/>
    <w:rsid w:val="02322A9A"/>
    <w:rsid w:val="0234382A"/>
    <w:rsid w:val="023470AD"/>
    <w:rsid w:val="023512AC"/>
    <w:rsid w:val="023549ED"/>
    <w:rsid w:val="02354B2F"/>
    <w:rsid w:val="02354BB2"/>
    <w:rsid w:val="02366D2D"/>
    <w:rsid w:val="02370032"/>
    <w:rsid w:val="02375F66"/>
    <w:rsid w:val="02382230"/>
    <w:rsid w:val="02385AB4"/>
    <w:rsid w:val="02393535"/>
    <w:rsid w:val="02397CB2"/>
    <w:rsid w:val="023A0FB7"/>
    <w:rsid w:val="023B0C37"/>
    <w:rsid w:val="023B48CB"/>
    <w:rsid w:val="023B6A38"/>
    <w:rsid w:val="023C44BA"/>
    <w:rsid w:val="023D1F3B"/>
    <w:rsid w:val="023D413A"/>
    <w:rsid w:val="023F763D"/>
    <w:rsid w:val="02402EC0"/>
    <w:rsid w:val="02404E4B"/>
    <w:rsid w:val="02410942"/>
    <w:rsid w:val="02412B40"/>
    <w:rsid w:val="024205C1"/>
    <w:rsid w:val="02424648"/>
    <w:rsid w:val="024318C6"/>
    <w:rsid w:val="02436043"/>
    <w:rsid w:val="02443AC4"/>
    <w:rsid w:val="02447348"/>
    <w:rsid w:val="02451546"/>
    <w:rsid w:val="02485D4E"/>
    <w:rsid w:val="02497F4C"/>
    <w:rsid w:val="024A1251"/>
    <w:rsid w:val="024B5A70"/>
    <w:rsid w:val="024B6CD3"/>
    <w:rsid w:val="024C4754"/>
    <w:rsid w:val="024C5C84"/>
    <w:rsid w:val="024C5E48"/>
    <w:rsid w:val="024D21D6"/>
    <w:rsid w:val="024D6952"/>
    <w:rsid w:val="024E7C57"/>
    <w:rsid w:val="024F1E56"/>
    <w:rsid w:val="024F56D9"/>
    <w:rsid w:val="024F7D9B"/>
    <w:rsid w:val="024F7F60"/>
    <w:rsid w:val="0250093A"/>
    <w:rsid w:val="0250315A"/>
    <w:rsid w:val="025078D7"/>
    <w:rsid w:val="02510BDC"/>
    <w:rsid w:val="02515359"/>
    <w:rsid w:val="0252665D"/>
    <w:rsid w:val="0253085C"/>
    <w:rsid w:val="02541B61"/>
    <w:rsid w:val="025517E0"/>
    <w:rsid w:val="025575E2"/>
    <w:rsid w:val="02565064"/>
    <w:rsid w:val="02565543"/>
    <w:rsid w:val="02567262"/>
    <w:rsid w:val="02572AE5"/>
    <w:rsid w:val="02574CE3"/>
    <w:rsid w:val="025760E2"/>
    <w:rsid w:val="02580207"/>
    <w:rsid w:val="02580567"/>
    <w:rsid w:val="02586ABC"/>
    <w:rsid w:val="0259024D"/>
    <w:rsid w:val="02595FE8"/>
    <w:rsid w:val="0259765B"/>
    <w:rsid w:val="025A3A6A"/>
    <w:rsid w:val="025A5C68"/>
    <w:rsid w:val="025B0D98"/>
    <w:rsid w:val="025C5B23"/>
    <w:rsid w:val="025D6BED"/>
    <w:rsid w:val="025E466E"/>
    <w:rsid w:val="025E7EF2"/>
    <w:rsid w:val="025F20F0"/>
    <w:rsid w:val="02607B71"/>
    <w:rsid w:val="02614E03"/>
    <w:rsid w:val="026155F3"/>
    <w:rsid w:val="02623074"/>
    <w:rsid w:val="026259A2"/>
    <w:rsid w:val="026268F8"/>
    <w:rsid w:val="02630AF6"/>
    <w:rsid w:val="02634379"/>
    <w:rsid w:val="02646578"/>
    <w:rsid w:val="026478F5"/>
    <w:rsid w:val="02650658"/>
    <w:rsid w:val="02653FF9"/>
    <w:rsid w:val="02661A7B"/>
    <w:rsid w:val="026652FE"/>
    <w:rsid w:val="02672D95"/>
    <w:rsid w:val="02680801"/>
    <w:rsid w:val="026929FF"/>
    <w:rsid w:val="02693149"/>
    <w:rsid w:val="02697903"/>
    <w:rsid w:val="026A3B24"/>
    <w:rsid w:val="026B4187"/>
    <w:rsid w:val="026C549F"/>
    <w:rsid w:val="026C7207"/>
    <w:rsid w:val="026D4C89"/>
    <w:rsid w:val="026E270A"/>
    <w:rsid w:val="026F71B4"/>
    <w:rsid w:val="027112CC"/>
    <w:rsid w:val="0271368F"/>
    <w:rsid w:val="02721111"/>
    <w:rsid w:val="02721E6A"/>
    <w:rsid w:val="02732A09"/>
    <w:rsid w:val="02736B92"/>
    <w:rsid w:val="02742095"/>
    <w:rsid w:val="02747281"/>
    <w:rsid w:val="02764B31"/>
    <w:rsid w:val="0277301A"/>
    <w:rsid w:val="02780A9B"/>
    <w:rsid w:val="0279651D"/>
    <w:rsid w:val="027A3F9F"/>
    <w:rsid w:val="027C3D6B"/>
    <w:rsid w:val="027D4F23"/>
    <w:rsid w:val="027F3841"/>
    <w:rsid w:val="02805EA8"/>
    <w:rsid w:val="02813929"/>
    <w:rsid w:val="02814F7F"/>
    <w:rsid w:val="028213AB"/>
    <w:rsid w:val="028218A9"/>
    <w:rsid w:val="02821C14"/>
    <w:rsid w:val="02824C2E"/>
    <w:rsid w:val="0283153E"/>
    <w:rsid w:val="028326B0"/>
    <w:rsid w:val="028400BA"/>
    <w:rsid w:val="02852330"/>
    <w:rsid w:val="02855BB3"/>
    <w:rsid w:val="02857679"/>
    <w:rsid w:val="0286044B"/>
    <w:rsid w:val="02875833"/>
    <w:rsid w:val="02881B88"/>
    <w:rsid w:val="028832B4"/>
    <w:rsid w:val="02886B37"/>
    <w:rsid w:val="028945B9"/>
    <w:rsid w:val="028A203B"/>
    <w:rsid w:val="028A32C5"/>
    <w:rsid w:val="028A67B7"/>
    <w:rsid w:val="028B1CBA"/>
    <w:rsid w:val="028C553E"/>
    <w:rsid w:val="028C773C"/>
    <w:rsid w:val="028D2FBF"/>
    <w:rsid w:val="028D51BD"/>
    <w:rsid w:val="028E6791"/>
    <w:rsid w:val="028F06C1"/>
    <w:rsid w:val="02903F44"/>
    <w:rsid w:val="02906142"/>
    <w:rsid w:val="02907ECF"/>
    <w:rsid w:val="029108A9"/>
    <w:rsid w:val="029139AF"/>
    <w:rsid w:val="02913BC4"/>
    <w:rsid w:val="02922898"/>
    <w:rsid w:val="02927447"/>
    <w:rsid w:val="02931FE6"/>
    <w:rsid w:val="029429C0"/>
    <w:rsid w:val="02942B85"/>
    <w:rsid w:val="029638CF"/>
    <w:rsid w:val="02963F39"/>
    <w:rsid w:val="02972727"/>
    <w:rsid w:val="02975ACD"/>
    <w:rsid w:val="02984C1C"/>
    <w:rsid w:val="02990FD0"/>
    <w:rsid w:val="02994853"/>
    <w:rsid w:val="029A22D5"/>
    <w:rsid w:val="029B44D3"/>
    <w:rsid w:val="029B7D56"/>
    <w:rsid w:val="029C1F55"/>
    <w:rsid w:val="029D79D6"/>
    <w:rsid w:val="029F2ED9"/>
    <w:rsid w:val="029F675D"/>
    <w:rsid w:val="02A0095B"/>
    <w:rsid w:val="02A041DE"/>
    <w:rsid w:val="02A05901"/>
    <w:rsid w:val="02A11C60"/>
    <w:rsid w:val="02A163DC"/>
    <w:rsid w:val="02A23E5E"/>
    <w:rsid w:val="02A26AC8"/>
    <w:rsid w:val="02A35163"/>
    <w:rsid w:val="02A35AD5"/>
    <w:rsid w:val="02A44DE3"/>
    <w:rsid w:val="02A47361"/>
    <w:rsid w:val="02A56E89"/>
    <w:rsid w:val="02A602E6"/>
    <w:rsid w:val="02A660E8"/>
    <w:rsid w:val="02A75D67"/>
    <w:rsid w:val="02A9706C"/>
    <w:rsid w:val="02AA4AEE"/>
    <w:rsid w:val="02AB2095"/>
    <w:rsid w:val="02AB256F"/>
    <w:rsid w:val="02AB476E"/>
    <w:rsid w:val="02AC47F6"/>
    <w:rsid w:val="02AC7FF1"/>
    <w:rsid w:val="02AD34F4"/>
    <w:rsid w:val="02AD7C71"/>
    <w:rsid w:val="02AE0F75"/>
    <w:rsid w:val="02AE56F2"/>
    <w:rsid w:val="02AF690D"/>
    <w:rsid w:val="02AF7D72"/>
    <w:rsid w:val="02B00BF5"/>
    <w:rsid w:val="02B06C5B"/>
    <w:rsid w:val="02B240F8"/>
    <w:rsid w:val="02B41F9E"/>
    <w:rsid w:val="02B42E7F"/>
    <w:rsid w:val="02B475FB"/>
    <w:rsid w:val="02B62AFF"/>
    <w:rsid w:val="02B63EF1"/>
    <w:rsid w:val="02B66382"/>
    <w:rsid w:val="02B73E03"/>
    <w:rsid w:val="02B81885"/>
    <w:rsid w:val="02B86002"/>
    <w:rsid w:val="02B93A83"/>
    <w:rsid w:val="02B97306"/>
    <w:rsid w:val="02BA4D88"/>
    <w:rsid w:val="02BC02E4"/>
    <w:rsid w:val="02BC455C"/>
    <w:rsid w:val="02BC4A08"/>
    <w:rsid w:val="02BD5D0D"/>
    <w:rsid w:val="02BE1282"/>
    <w:rsid w:val="02BE1699"/>
    <w:rsid w:val="02BE1E79"/>
    <w:rsid w:val="02BE1F02"/>
    <w:rsid w:val="02BF1210"/>
    <w:rsid w:val="02BF2237"/>
    <w:rsid w:val="02BF340E"/>
    <w:rsid w:val="02C06C91"/>
    <w:rsid w:val="02C14713"/>
    <w:rsid w:val="02C16911"/>
    <w:rsid w:val="02C22194"/>
    <w:rsid w:val="02C2434F"/>
    <w:rsid w:val="02C31E14"/>
    <w:rsid w:val="02C45698"/>
    <w:rsid w:val="02C50B9B"/>
    <w:rsid w:val="02C55317"/>
    <w:rsid w:val="02C72045"/>
    <w:rsid w:val="02C81B1F"/>
    <w:rsid w:val="02C91AF7"/>
    <w:rsid w:val="02C93D1E"/>
    <w:rsid w:val="02C975A1"/>
    <w:rsid w:val="02CA179F"/>
    <w:rsid w:val="02CB7221"/>
    <w:rsid w:val="02CC0525"/>
    <w:rsid w:val="02CD2724"/>
    <w:rsid w:val="02CD5FA7"/>
    <w:rsid w:val="02CE01A5"/>
    <w:rsid w:val="02CE17E8"/>
    <w:rsid w:val="02CE2AFD"/>
    <w:rsid w:val="02CF14AA"/>
    <w:rsid w:val="02D06F2C"/>
    <w:rsid w:val="02D1729F"/>
    <w:rsid w:val="02D20818"/>
    <w:rsid w:val="02D2242F"/>
    <w:rsid w:val="02D313B6"/>
    <w:rsid w:val="02D3157B"/>
    <w:rsid w:val="02D41F55"/>
    <w:rsid w:val="02D45932"/>
    <w:rsid w:val="02D52AF4"/>
    <w:rsid w:val="02D60E35"/>
    <w:rsid w:val="02D634CE"/>
    <w:rsid w:val="02D7069C"/>
    <w:rsid w:val="02D84338"/>
    <w:rsid w:val="02D84A47"/>
    <w:rsid w:val="02D84C0B"/>
    <w:rsid w:val="02D91DBA"/>
    <w:rsid w:val="02D957AA"/>
    <w:rsid w:val="02DA6184"/>
    <w:rsid w:val="02DA783B"/>
    <w:rsid w:val="02DD00D7"/>
    <w:rsid w:val="02DD6241"/>
    <w:rsid w:val="02DF1744"/>
    <w:rsid w:val="02DF389F"/>
    <w:rsid w:val="02E02D8D"/>
    <w:rsid w:val="02E14C48"/>
    <w:rsid w:val="02E226C9"/>
    <w:rsid w:val="02E45A44"/>
    <w:rsid w:val="02E5364E"/>
    <w:rsid w:val="02E565E2"/>
    <w:rsid w:val="02E610CF"/>
    <w:rsid w:val="02E76B51"/>
    <w:rsid w:val="02E806FA"/>
    <w:rsid w:val="02E81E9C"/>
    <w:rsid w:val="02E958D7"/>
    <w:rsid w:val="02EB0DDA"/>
    <w:rsid w:val="02EB2811"/>
    <w:rsid w:val="02EC3D8A"/>
    <w:rsid w:val="02ED0A5A"/>
    <w:rsid w:val="02ED42DD"/>
    <w:rsid w:val="02ED4929"/>
    <w:rsid w:val="02EE1D5F"/>
    <w:rsid w:val="02EE64DC"/>
    <w:rsid w:val="02EF77E1"/>
    <w:rsid w:val="02F019DF"/>
    <w:rsid w:val="02F05262"/>
    <w:rsid w:val="02F07A01"/>
    <w:rsid w:val="02F24EE2"/>
    <w:rsid w:val="02F30994"/>
    <w:rsid w:val="02F32963"/>
    <w:rsid w:val="02F403E5"/>
    <w:rsid w:val="02F43C68"/>
    <w:rsid w:val="02F45E67"/>
    <w:rsid w:val="02F538E8"/>
    <w:rsid w:val="02F6136A"/>
    <w:rsid w:val="02F73DEE"/>
    <w:rsid w:val="02F76DEB"/>
    <w:rsid w:val="02F827B5"/>
    <w:rsid w:val="02F83562"/>
    <w:rsid w:val="02F900F0"/>
    <w:rsid w:val="02F922EE"/>
    <w:rsid w:val="02F96569"/>
    <w:rsid w:val="02FA5B72"/>
    <w:rsid w:val="02FA7D70"/>
    <w:rsid w:val="02FB290E"/>
    <w:rsid w:val="02FB35F3"/>
    <w:rsid w:val="02FD4578"/>
    <w:rsid w:val="02FE0DF2"/>
    <w:rsid w:val="02FE1FF9"/>
    <w:rsid w:val="02FE6776"/>
    <w:rsid w:val="02FF17CC"/>
    <w:rsid w:val="02FF1990"/>
    <w:rsid w:val="02FF41F8"/>
    <w:rsid w:val="02FF5E45"/>
    <w:rsid w:val="02FF7A7B"/>
    <w:rsid w:val="0300236B"/>
    <w:rsid w:val="030054FC"/>
    <w:rsid w:val="03012D45"/>
    <w:rsid w:val="03012F7E"/>
    <w:rsid w:val="03020A00"/>
    <w:rsid w:val="0302517C"/>
    <w:rsid w:val="03034482"/>
    <w:rsid w:val="0304067F"/>
    <w:rsid w:val="03043B39"/>
    <w:rsid w:val="03045021"/>
    <w:rsid w:val="03056101"/>
    <w:rsid w:val="03056415"/>
    <w:rsid w:val="03056936"/>
    <w:rsid w:val="03063B82"/>
    <w:rsid w:val="0306625F"/>
    <w:rsid w:val="03067406"/>
    <w:rsid w:val="03071604"/>
    <w:rsid w:val="03074E87"/>
    <w:rsid w:val="0309038A"/>
    <w:rsid w:val="030B000A"/>
    <w:rsid w:val="030D0F8F"/>
    <w:rsid w:val="030D3B7D"/>
    <w:rsid w:val="030E4812"/>
    <w:rsid w:val="030F2294"/>
    <w:rsid w:val="030F4492"/>
    <w:rsid w:val="030F52BB"/>
    <w:rsid w:val="03107A26"/>
    <w:rsid w:val="03115797"/>
    <w:rsid w:val="03116833"/>
    <w:rsid w:val="03123218"/>
    <w:rsid w:val="031273D2"/>
    <w:rsid w:val="03130C9A"/>
    <w:rsid w:val="03132E98"/>
    <w:rsid w:val="0314091A"/>
    <w:rsid w:val="0314671B"/>
    <w:rsid w:val="031501B1"/>
    <w:rsid w:val="031514EA"/>
    <w:rsid w:val="03151C1F"/>
    <w:rsid w:val="0315639B"/>
    <w:rsid w:val="03157FFB"/>
    <w:rsid w:val="03161EC4"/>
    <w:rsid w:val="03163E1D"/>
    <w:rsid w:val="03173601"/>
    <w:rsid w:val="03182BA3"/>
    <w:rsid w:val="031841A0"/>
    <w:rsid w:val="03187320"/>
    <w:rsid w:val="031A60A6"/>
    <w:rsid w:val="031B3B28"/>
    <w:rsid w:val="031B62B7"/>
    <w:rsid w:val="031C5D26"/>
    <w:rsid w:val="031D37A8"/>
    <w:rsid w:val="031D702B"/>
    <w:rsid w:val="031E4AAC"/>
    <w:rsid w:val="03207FB0"/>
    <w:rsid w:val="032121AE"/>
    <w:rsid w:val="03212322"/>
    <w:rsid w:val="03215A31"/>
    <w:rsid w:val="03227C2F"/>
    <w:rsid w:val="0323443A"/>
    <w:rsid w:val="032356B1"/>
    <w:rsid w:val="03241F4C"/>
    <w:rsid w:val="03243133"/>
    <w:rsid w:val="032469B6"/>
    <w:rsid w:val="03250E34"/>
    <w:rsid w:val="03254437"/>
    <w:rsid w:val="03257B30"/>
    <w:rsid w:val="03276F2B"/>
    <w:rsid w:val="0329503C"/>
    <w:rsid w:val="032A1043"/>
    <w:rsid w:val="032B6341"/>
    <w:rsid w:val="032C5FC0"/>
    <w:rsid w:val="032D3A42"/>
    <w:rsid w:val="032D71CA"/>
    <w:rsid w:val="032E4D47"/>
    <w:rsid w:val="032F27C8"/>
    <w:rsid w:val="032F46D3"/>
    <w:rsid w:val="032F6F45"/>
    <w:rsid w:val="0330024A"/>
    <w:rsid w:val="03304250"/>
    <w:rsid w:val="033049C7"/>
    <w:rsid w:val="03305436"/>
    <w:rsid w:val="033159F7"/>
    <w:rsid w:val="03315CCB"/>
    <w:rsid w:val="033267EB"/>
    <w:rsid w:val="0332738A"/>
    <w:rsid w:val="0332754E"/>
    <w:rsid w:val="03327ECA"/>
    <w:rsid w:val="033546D2"/>
    <w:rsid w:val="03361E7B"/>
    <w:rsid w:val="03362040"/>
    <w:rsid w:val="03377BD5"/>
    <w:rsid w:val="033835B9"/>
    <w:rsid w:val="03385656"/>
    <w:rsid w:val="03393F93"/>
    <w:rsid w:val="033A0B59"/>
    <w:rsid w:val="033A62C2"/>
    <w:rsid w:val="033E7560"/>
    <w:rsid w:val="033F01C2"/>
    <w:rsid w:val="033F4FE1"/>
    <w:rsid w:val="033F7E69"/>
    <w:rsid w:val="03402A63"/>
    <w:rsid w:val="034104E4"/>
    <w:rsid w:val="034122DA"/>
    <w:rsid w:val="03422E78"/>
    <w:rsid w:val="03425F66"/>
    <w:rsid w:val="034339E7"/>
    <w:rsid w:val="03433A17"/>
    <w:rsid w:val="0343519F"/>
    <w:rsid w:val="03443858"/>
    <w:rsid w:val="03452BA8"/>
    <w:rsid w:val="03456094"/>
    <w:rsid w:val="03465B2E"/>
    <w:rsid w:val="03477E6F"/>
    <w:rsid w:val="034827E5"/>
    <w:rsid w:val="03486EE3"/>
    <w:rsid w:val="034C42F7"/>
    <w:rsid w:val="034E1C04"/>
    <w:rsid w:val="034F484F"/>
    <w:rsid w:val="03500937"/>
    <w:rsid w:val="03506580"/>
    <w:rsid w:val="03514002"/>
    <w:rsid w:val="03526200"/>
    <w:rsid w:val="03537505"/>
    <w:rsid w:val="03544F87"/>
    <w:rsid w:val="03547EE0"/>
    <w:rsid w:val="03550A7E"/>
    <w:rsid w:val="03552A08"/>
    <w:rsid w:val="03557185"/>
    <w:rsid w:val="03561459"/>
    <w:rsid w:val="03564C06"/>
    <w:rsid w:val="03572688"/>
    <w:rsid w:val="0358398D"/>
    <w:rsid w:val="0359140E"/>
    <w:rsid w:val="035A360D"/>
    <w:rsid w:val="035B4911"/>
    <w:rsid w:val="035B5688"/>
    <w:rsid w:val="035C6B10"/>
    <w:rsid w:val="035D2013"/>
    <w:rsid w:val="035D4591"/>
    <w:rsid w:val="035D6C01"/>
    <w:rsid w:val="035D6DC5"/>
    <w:rsid w:val="035D7E14"/>
    <w:rsid w:val="035E347F"/>
    <w:rsid w:val="035E5896"/>
    <w:rsid w:val="035E7A94"/>
    <w:rsid w:val="035F033E"/>
    <w:rsid w:val="035F3318"/>
    <w:rsid w:val="03600D99"/>
    <w:rsid w:val="0361114B"/>
    <w:rsid w:val="0362649B"/>
    <w:rsid w:val="03632E30"/>
    <w:rsid w:val="0364779F"/>
    <w:rsid w:val="03652CA2"/>
    <w:rsid w:val="03664EA1"/>
    <w:rsid w:val="03672922"/>
    <w:rsid w:val="03675921"/>
    <w:rsid w:val="036761A6"/>
    <w:rsid w:val="03683BE2"/>
    <w:rsid w:val="036916A9"/>
    <w:rsid w:val="03697BFD"/>
    <w:rsid w:val="036A38A7"/>
    <w:rsid w:val="036A549B"/>
    <w:rsid w:val="036B1176"/>
    <w:rsid w:val="036B1328"/>
    <w:rsid w:val="036C1D15"/>
    <w:rsid w:val="036C6DAA"/>
    <w:rsid w:val="036D00AF"/>
    <w:rsid w:val="036D2DAF"/>
    <w:rsid w:val="036D482C"/>
    <w:rsid w:val="036E22AD"/>
    <w:rsid w:val="036E328E"/>
    <w:rsid w:val="036E5B30"/>
    <w:rsid w:val="036F35B2"/>
    <w:rsid w:val="036F3C68"/>
    <w:rsid w:val="036F7D2F"/>
    <w:rsid w:val="037057B0"/>
    <w:rsid w:val="03713232"/>
    <w:rsid w:val="037153A5"/>
    <w:rsid w:val="03716AB5"/>
    <w:rsid w:val="03720CB3"/>
    <w:rsid w:val="03724537"/>
    <w:rsid w:val="037441B6"/>
    <w:rsid w:val="03747A3A"/>
    <w:rsid w:val="03751C38"/>
    <w:rsid w:val="037554BB"/>
    <w:rsid w:val="03760A36"/>
    <w:rsid w:val="03762F3D"/>
    <w:rsid w:val="03771FAF"/>
    <w:rsid w:val="0378063E"/>
    <w:rsid w:val="03793528"/>
    <w:rsid w:val="037A3B41"/>
    <w:rsid w:val="037B768C"/>
    <w:rsid w:val="037B7BAD"/>
    <w:rsid w:val="037C5803"/>
    <w:rsid w:val="037E123A"/>
    <w:rsid w:val="037E5DCB"/>
    <w:rsid w:val="037F384C"/>
    <w:rsid w:val="038012CE"/>
    <w:rsid w:val="03805A4B"/>
    <w:rsid w:val="038134CC"/>
    <w:rsid w:val="03816D4F"/>
    <w:rsid w:val="03820F4E"/>
    <w:rsid w:val="038247D1"/>
    <w:rsid w:val="03832248"/>
    <w:rsid w:val="03832252"/>
    <w:rsid w:val="03842DE7"/>
    <w:rsid w:val="03844451"/>
    <w:rsid w:val="03855756"/>
    <w:rsid w:val="038650C3"/>
    <w:rsid w:val="03870C59"/>
    <w:rsid w:val="038753D5"/>
    <w:rsid w:val="038832EC"/>
    <w:rsid w:val="038908D8"/>
    <w:rsid w:val="03892A60"/>
    <w:rsid w:val="0389415C"/>
    <w:rsid w:val="03897016"/>
    <w:rsid w:val="038A1428"/>
    <w:rsid w:val="038A1BDD"/>
    <w:rsid w:val="038A635A"/>
    <w:rsid w:val="038D1B08"/>
    <w:rsid w:val="038D72DF"/>
    <w:rsid w:val="038E05E4"/>
    <w:rsid w:val="038E27E2"/>
    <w:rsid w:val="038E286B"/>
    <w:rsid w:val="038E4D60"/>
    <w:rsid w:val="038F0263"/>
    <w:rsid w:val="03903AE7"/>
    <w:rsid w:val="03905CE5"/>
    <w:rsid w:val="039211E8"/>
    <w:rsid w:val="03926FEA"/>
    <w:rsid w:val="039424ED"/>
    <w:rsid w:val="039446EB"/>
    <w:rsid w:val="0395216D"/>
    <w:rsid w:val="03963471"/>
    <w:rsid w:val="03964C18"/>
    <w:rsid w:val="039659F0"/>
    <w:rsid w:val="03967BEE"/>
    <w:rsid w:val="03970EF3"/>
    <w:rsid w:val="03975670"/>
    <w:rsid w:val="039830F1"/>
    <w:rsid w:val="03990B73"/>
    <w:rsid w:val="039943F6"/>
    <w:rsid w:val="039A1E78"/>
    <w:rsid w:val="039B78F9"/>
    <w:rsid w:val="039E087E"/>
    <w:rsid w:val="039E635A"/>
    <w:rsid w:val="039F62FF"/>
    <w:rsid w:val="03A03D81"/>
    <w:rsid w:val="03A043CE"/>
    <w:rsid w:val="03A166F5"/>
    <w:rsid w:val="03A42787"/>
    <w:rsid w:val="03A50209"/>
    <w:rsid w:val="03A53001"/>
    <w:rsid w:val="03A65C8A"/>
    <w:rsid w:val="03A85C19"/>
    <w:rsid w:val="03A9642F"/>
    <w:rsid w:val="03A965F3"/>
    <w:rsid w:val="03AA4690"/>
    <w:rsid w:val="03AA6FCE"/>
    <w:rsid w:val="03AB2112"/>
    <w:rsid w:val="03AB7B6C"/>
    <w:rsid w:val="03AD10E5"/>
    <w:rsid w:val="03AD1C84"/>
    <w:rsid w:val="03AD5615"/>
    <w:rsid w:val="03AE0B18"/>
    <w:rsid w:val="03AE3097"/>
    <w:rsid w:val="03AF31FD"/>
    <w:rsid w:val="03AF4EB5"/>
    <w:rsid w:val="03B0401B"/>
    <w:rsid w:val="03B11A9D"/>
    <w:rsid w:val="03B1493A"/>
    <w:rsid w:val="03B2751E"/>
    <w:rsid w:val="03B35CEE"/>
    <w:rsid w:val="03B46A51"/>
    <w:rsid w:val="03B504A3"/>
    <w:rsid w:val="03B51295"/>
    <w:rsid w:val="03B57C8F"/>
    <w:rsid w:val="03B6017D"/>
    <w:rsid w:val="03B6069E"/>
    <w:rsid w:val="03B63D26"/>
    <w:rsid w:val="03B65F25"/>
    <w:rsid w:val="03B662AC"/>
    <w:rsid w:val="03B70B69"/>
    <w:rsid w:val="03B739A6"/>
    <w:rsid w:val="03B84CAB"/>
    <w:rsid w:val="03B92C81"/>
    <w:rsid w:val="03BA01AE"/>
    <w:rsid w:val="03BA2ABC"/>
    <w:rsid w:val="03BB23AC"/>
    <w:rsid w:val="03BC76A4"/>
    <w:rsid w:val="03BD1133"/>
    <w:rsid w:val="03BE3331"/>
    <w:rsid w:val="03BF0DB3"/>
    <w:rsid w:val="03BF4636"/>
    <w:rsid w:val="03C020B7"/>
    <w:rsid w:val="03C10264"/>
    <w:rsid w:val="03C21D37"/>
    <w:rsid w:val="03C255BA"/>
    <w:rsid w:val="03C263B6"/>
    <w:rsid w:val="03C3303C"/>
    <w:rsid w:val="03C33F93"/>
    <w:rsid w:val="03C40520"/>
    <w:rsid w:val="03C4237C"/>
    <w:rsid w:val="03C520CE"/>
    <w:rsid w:val="03C52CBC"/>
    <w:rsid w:val="03C63DF1"/>
    <w:rsid w:val="03C63FC1"/>
    <w:rsid w:val="03C661BF"/>
    <w:rsid w:val="03C816C2"/>
    <w:rsid w:val="03C94F45"/>
    <w:rsid w:val="03C965AB"/>
    <w:rsid w:val="03C97144"/>
    <w:rsid w:val="03CA29C7"/>
    <w:rsid w:val="03CB0448"/>
    <w:rsid w:val="03CC380A"/>
    <w:rsid w:val="03CC5ECA"/>
    <w:rsid w:val="03CD109D"/>
    <w:rsid w:val="03CD5B4A"/>
    <w:rsid w:val="03CE1E00"/>
    <w:rsid w:val="03CE6E4F"/>
    <w:rsid w:val="03CF104D"/>
    <w:rsid w:val="03CF27DA"/>
    <w:rsid w:val="03CF48D0"/>
    <w:rsid w:val="03D02352"/>
    <w:rsid w:val="03D13D53"/>
    <w:rsid w:val="03D14550"/>
    <w:rsid w:val="03D17DD3"/>
    <w:rsid w:val="03D21FD2"/>
    <w:rsid w:val="03D2609A"/>
    <w:rsid w:val="03D332D6"/>
    <w:rsid w:val="03D37A53"/>
    <w:rsid w:val="03D56844"/>
    <w:rsid w:val="03D56A09"/>
    <w:rsid w:val="03D6425B"/>
    <w:rsid w:val="03D673E3"/>
    <w:rsid w:val="03D71CDD"/>
    <w:rsid w:val="03D8775E"/>
    <w:rsid w:val="03D9126A"/>
    <w:rsid w:val="03D9195C"/>
    <w:rsid w:val="03DA2C61"/>
    <w:rsid w:val="03DA66C8"/>
    <w:rsid w:val="03DA73DE"/>
    <w:rsid w:val="03DC28E1"/>
    <w:rsid w:val="03DC41B1"/>
    <w:rsid w:val="03DC6164"/>
    <w:rsid w:val="03DD0363"/>
    <w:rsid w:val="03DD3BE6"/>
    <w:rsid w:val="03DD4B8B"/>
    <w:rsid w:val="03DE1667"/>
    <w:rsid w:val="03DE572A"/>
    <w:rsid w:val="03DE5DE4"/>
    <w:rsid w:val="03DF12E7"/>
    <w:rsid w:val="03E147EA"/>
    <w:rsid w:val="03E17841"/>
    <w:rsid w:val="03E2006E"/>
    <w:rsid w:val="03E2021C"/>
    <w:rsid w:val="03E203E0"/>
    <w:rsid w:val="03E2226C"/>
    <w:rsid w:val="03E35AEF"/>
    <w:rsid w:val="03E37CED"/>
    <w:rsid w:val="03E43571"/>
    <w:rsid w:val="03E4576F"/>
    <w:rsid w:val="03E531F1"/>
    <w:rsid w:val="03E71F77"/>
    <w:rsid w:val="03E766F4"/>
    <w:rsid w:val="03E84FE9"/>
    <w:rsid w:val="03E9547A"/>
    <w:rsid w:val="03E95B88"/>
    <w:rsid w:val="03EA7678"/>
    <w:rsid w:val="03EA7B21"/>
    <w:rsid w:val="03EB50FA"/>
    <w:rsid w:val="03EC63FF"/>
    <w:rsid w:val="03EC7ADB"/>
    <w:rsid w:val="03EC7C9F"/>
    <w:rsid w:val="03ED083E"/>
    <w:rsid w:val="03ED3E80"/>
    <w:rsid w:val="03EE1902"/>
    <w:rsid w:val="03EE372A"/>
    <w:rsid w:val="03EE3A96"/>
    <w:rsid w:val="03EF5703"/>
    <w:rsid w:val="03F01582"/>
    <w:rsid w:val="03F13ECF"/>
    <w:rsid w:val="03F17003"/>
    <w:rsid w:val="03F20308"/>
    <w:rsid w:val="03F32506"/>
    <w:rsid w:val="03F35447"/>
    <w:rsid w:val="03F4380B"/>
    <w:rsid w:val="03F44EFF"/>
    <w:rsid w:val="03F450FB"/>
    <w:rsid w:val="03F5128D"/>
    <w:rsid w:val="03F70F0C"/>
    <w:rsid w:val="03F74790"/>
    <w:rsid w:val="03F97C93"/>
    <w:rsid w:val="03FA7913"/>
    <w:rsid w:val="03FB3196"/>
    <w:rsid w:val="03FC0C17"/>
    <w:rsid w:val="03FC2E16"/>
    <w:rsid w:val="03FC378E"/>
    <w:rsid w:val="03FD0897"/>
    <w:rsid w:val="03FD4168"/>
    <w:rsid w:val="03FD6699"/>
    <w:rsid w:val="03FE411B"/>
    <w:rsid w:val="03FE4C3A"/>
    <w:rsid w:val="03FF3D9A"/>
    <w:rsid w:val="0400181C"/>
    <w:rsid w:val="0400509F"/>
    <w:rsid w:val="04006C5A"/>
    <w:rsid w:val="04012B21"/>
    <w:rsid w:val="040205A2"/>
    <w:rsid w:val="04030D72"/>
    <w:rsid w:val="04043AA5"/>
    <w:rsid w:val="04066FA8"/>
    <w:rsid w:val="04074A2A"/>
    <w:rsid w:val="040824AC"/>
    <w:rsid w:val="04094FA1"/>
    <w:rsid w:val="04095165"/>
    <w:rsid w:val="04097F2D"/>
    <w:rsid w:val="040B3430"/>
    <w:rsid w:val="040C727D"/>
    <w:rsid w:val="040C7782"/>
    <w:rsid w:val="040D07F6"/>
    <w:rsid w:val="040D6149"/>
    <w:rsid w:val="040D6933"/>
    <w:rsid w:val="040E43B5"/>
    <w:rsid w:val="041078B8"/>
    <w:rsid w:val="0411533A"/>
    <w:rsid w:val="04123E86"/>
    <w:rsid w:val="0413083D"/>
    <w:rsid w:val="04134A25"/>
    <w:rsid w:val="04153D40"/>
    <w:rsid w:val="041617C1"/>
    <w:rsid w:val="041741E8"/>
    <w:rsid w:val="04174CC4"/>
    <w:rsid w:val="04177243"/>
    <w:rsid w:val="04177352"/>
    <w:rsid w:val="041800B5"/>
    <w:rsid w:val="0418481B"/>
    <w:rsid w:val="0418735A"/>
    <w:rsid w:val="041A146A"/>
    <w:rsid w:val="041A162E"/>
    <w:rsid w:val="041A5C49"/>
    <w:rsid w:val="041B14CC"/>
    <w:rsid w:val="041B2BA7"/>
    <w:rsid w:val="041B36CB"/>
    <w:rsid w:val="041C009B"/>
    <w:rsid w:val="041C05BB"/>
    <w:rsid w:val="041D49CF"/>
    <w:rsid w:val="041E4CBE"/>
    <w:rsid w:val="041F7ED2"/>
    <w:rsid w:val="042033D6"/>
    <w:rsid w:val="04206237"/>
    <w:rsid w:val="04210E57"/>
    <w:rsid w:val="042155D4"/>
    <w:rsid w:val="042268D9"/>
    <w:rsid w:val="042277B0"/>
    <w:rsid w:val="04227975"/>
    <w:rsid w:val="0423435A"/>
    <w:rsid w:val="04240EED"/>
    <w:rsid w:val="04246559"/>
    <w:rsid w:val="04253FDA"/>
    <w:rsid w:val="0425785D"/>
    <w:rsid w:val="042652DF"/>
    <w:rsid w:val="04272D60"/>
    <w:rsid w:val="04272E41"/>
    <w:rsid w:val="042807E2"/>
    <w:rsid w:val="042839DF"/>
    <w:rsid w:val="04284F5F"/>
    <w:rsid w:val="042929E0"/>
    <w:rsid w:val="04294F58"/>
    <w:rsid w:val="042A0462"/>
    <w:rsid w:val="042B1767"/>
    <w:rsid w:val="042B64D1"/>
    <w:rsid w:val="042B6695"/>
    <w:rsid w:val="042C3965"/>
    <w:rsid w:val="042C60EA"/>
    <w:rsid w:val="042C7070"/>
    <w:rsid w:val="042C71E8"/>
    <w:rsid w:val="042D13E6"/>
    <w:rsid w:val="042D4C6A"/>
    <w:rsid w:val="042E26EB"/>
    <w:rsid w:val="042F236B"/>
    <w:rsid w:val="04305BEE"/>
    <w:rsid w:val="04307DED"/>
    <w:rsid w:val="0431586E"/>
    <w:rsid w:val="043210F1"/>
    <w:rsid w:val="04323463"/>
    <w:rsid w:val="04330D71"/>
    <w:rsid w:val="04336B73"/>
    <w:rsid w:val="043445F5"/>
    <w:rsid w:val="04352076"/>
    <w:rsid w:val="04361CF6"/>
    <w:rsid w:val="04367AF8"/>
    <w:rsid w:val="04372FFB"/>
    <w:rsid w:val="043770CF"/>
    <w:rsid w:val="0438006D"/>
    <w:rsid w:val="0438616D"/>
    <w:rsid w:val="04390C0B"/>
    <w:rsid w:val="04395000"/>
    <w:rsid w:val="043B1FC0"/>
    <w:rsid w:val="043B617E"/>
    <w:rsid w:val="043C3BFF"/>
    <w:rsid w:val="043C7483"/>
    <w:rsid w:val="043D1681"/>
    <w:rsid w:val="043D3538"/>
    <w:rsid w:val="043D36FD"/>
    <w:rsid w:val="043D4F04"/>
    <w:rsid w:val="043E2986"/>
    <w:rsid w:val="043E7102"/>
    <w:rsid w:val="043F0407"/>
    <w:rsid w:val="04405814"/>
    <w:rsid w:val="044161EF"/>
    <w:rsid w:val="044163B3"/>
    <w:rsid w:val="0443358A"/>
    <w:rsid w:val="044516F7"/>
    <w:rsid w:val="0446450F"/>
    <w:rsid w:val="04471F90"/>
    <w:rsid w:val="04475814"/>
    <w:rsid w:val="044779E7"/>
    <w:rsid w:val="04477D53"/>
    <w:rsid w:val="04477F08"/>
    <w:rsid w:val="04483295"/>
    <w:rsid w:val="04490D17"/>
    <w:rsid w:val="04492F15"/>
    <w:rsid w:val="04494535"/>
    <w:rsid w:val="044A6798"/>
    <w:rsid w:val="044B5C73"/>
    <w:rsid w:val="044B766A"/>
    <w:rsid w:val="044C0B64"/>
    <w:rsid w:val="044D191B"/>
    <w:rsid w:val="044D71EC"/>
    <w:rsid w:val="044F2C20"/>
    <w:rsid w:val="044F4E1E"/>
    <w:rsid w:val="0450113F"/>
    <w:rsid w:val="04506123"/>
    <w:rsid w:val="04510321"/>
    <w:rsid w:val="04511CDD"/>
    <w:rsid w:val="04511EA2"/>
    <w:rsid w:val="04521626"/>
    <w:rsid w:val="04525DA3"/>
    <w:rsid w:val="045370A8"/>
    <w:rsid w:val="045412A6"/>
    <w:rsid w:val="045525AB"/>
    <w:rsid w:val="0455289B"/>
    <w:rsid w:val="04561CA4"/>
    <w:rsid w:val="045647A9"/>
    <w:rsid w:val="04565F0C"/>
    <w:rsid w:val="04575AAE"/>
    <w:rsid w:val="0458352F"/>
    <w:rsid w:val="04587485"/>
    <w:rsid w:val="045B1761"/>
    <w:rsid w:val="045C1F36"/>
    <w:rsid w:val="045C1F77"/>
    <w:rsid w:val="045E35EB"/>
    <w:rsid w:val="045E5439"/>
    <w:rsid w:val="045F408F"/>
    <w:rsid w:val="045F4253"/>
    <w:rsid w:val="045F4DF2"/>
    <w:rsid w:val="04602B3A"/>
    <w:rsid w:val="046105BC"/>
    <w:rsid w:val="0461636B"/>
    <w:rsid w:val="04623E3F"/>
    <w:rsid w:val="0462603D"/>
    <w:rsid w:val="04633ABF"/>
    <w:rsid w:val="04635E25"/>
    <w:rsid w:val="046402BE"/>
    <w:rsid w:val="04641540"/>
    <w:rsid w:val="046447EC"/>
    <w:rsid w:val="04644EC2"/>
    <w:rsid w:val="04650E5C"/>
    <w:rsid w:val="04661837"/>
    <w:rsid w:val="04662845"/>
    <w:rsid w:val="04664A43"/>
    <w:rsid w:val="046724C5"/>
    <w:rsid w:val="04675D48"/>
    <w:rsid w:val="04682F74"/>
    <w:rsid w:val="046837CA"/>
    <w:rsid w:val="0469124B"/>
    <w:rsid w:val="046A46B1"/>
    <w:rsid w:val="046B474E"/>
    <w:rsid w:val="046C21D0"/>
    <w:rsid w:val="046C67C9"/>
    <w:rsid w:val="046D7C52"/>
    <w:rsid w:val="046E56D3"/>
    <w:rsid w:val="046F3155"/>
    <w:rsid w:val="04700BD6"/>
    <w:rsid w:val="04710A64"/>
    <w:rsid w:val="04711E59"/>
    <w:rsid w:val="04716658"/>
    <w:rsid w:val="04726FC9"/>
    <w:rsid w:val="04731B5B"/>
    <w:rsid w:val="0473320E"/>
    <w:rsid w:val="04770561"/>
    <w:rsid w:val="04776088"/>
    <w:rsid w:val="04785FE3"/>
    <w:rsid w:val="0478689E"/>
    <w:rsid w:val="04793A64"/>
    <w:rsid w:val="047C20F3"/>
    <w:rsid w:val="047C49E9"/>
    <w:rsid w:val="047E366C"/>
    <w:rsid w:val="047E3830"/>
    <w:rsid w:val="047E7EEC"/>
    <w:rsid w:val="04801CC7"/>
    <w:rsid w:val="048115F1"/>
    <w:rsid w:val="048146F4"/>
    <w:rsid w:val="04824374"/>
    <w:rsid w:val="04831DF5"/>
    <w:rsid w:val="04845678"/>
    <w:rsid w:val="048473D7"/>
    <w:rsid w:val="0484789B"/>
    <w:rsid w:val="048530FA"/>
    <w:rsid w:val="048552F8"/>
    <w:rsid w:val="04860E14"/>
    <w:rsid w:val="048707FB"/>
    <w:rsid w:val="048765FD"/>
    <w:rsid w:val="04882551"/>
    <w:rsid w:val="048830F0"/>
    <w:rsid w:val="04892F2B"/>
    <w:rsid w:val="04893CFE"/>
    <w:rsid w:val="04897582"/>
    <w:rsid w:val="048A0C82"/>
    <w:rsid w:val="048B2A85"/>
    <w:rsid w:val="048C4C83"/>
    <w:rsid w:val="048C5A1D"/>
    <w:rsid w:val="048D2705"/>
    <w:rsid w:val="048D5F88"/>
    <w:rsid w:val="048D6780"/>
    <w:rsid w:val="048E4D30"/>
    <w:rsid w:val="048F5C08"/>
    <w:rsid w:val="0491110B"/>
    <w:rsid w:val="04911272"/>
    <w:rsid w:val="0491498E"/>
    <w:rsid w:val="04926B8C"/>
    <w:rsid w:val="049329AF"/>
    <w:rsid w:val="0493460E"/>
    <w:rsid w:val="04937E91"/>
    <w:rsid w:val="04945913"/>
    <w:rsid w:val="04953394"/>
    <w:rsid w:val="04953F28"/>
    <w:rsid w:val="04964902"/>
    <w:rsid w:val="04973358"/>
    <w:rsid w:val="049752DD"/>
    <w:rsid w:val="04976040"/>
    <w:rsid w:val="04976897"/>
    <w:rsid w:val="04980A96"/>
    <w:rsid w:val="04991D9B"/>
    <w:rsid w:val="049A781C"/>
    <w:rsid w:val="049B749C"/>
    <w:rsid w:val="049C2D1F"/>
    <w:rsid w:val="049D07A1"/>
    <w:rsid w:val="049D07AF"/>
    <w:rsid w:val="049E6222"/>
    <w:rsid w:val="04A01725"/>
    <w:rsid w:val="04A03924"/>
    <w:rsid w:val="04A041C2"/>
    <w:rsid w:val="04A14C29"/>
    <w:rsid w:val="04A258FF"/>
    <w:rsid w:val="04A45BAD"/>
    <w:rsid w:val="04A47A17"/>
    <w:rsid w:val="04A57DAB"/>
    <w:rsid w:val="04A60F90"/>
    <w:rsid w:val="04A610B0"/>
    <w:rsid w:val="04A6582D"/>
    <w:rsid w:val="04A7208D"/>
    <w:rsid w:val="04A76B32"/>
    <w:rsid w:val="04A91589"/>
    <w:rsid w:val="04A967B2"/>
    <w:rsid w:val="04AA7AB6"/>
    <w:rsid w:val="04AB1CB5"/>
    <w:rsid w:val="04AB1CEA"/>
    <w:rsid w:val="04AB5538"/>
    <w:rsid w:val="04AC2FBA"/>
    <w:rsid w:val="04AD040F"/>
    <w:rsid w:val="04AE2C39"/>
    <w:rsid w:val="04AE64BD"/>
    <w:rsid w:val="04B019C0"/>
    <w:rsid w:val="04B03BBE"/>
    <w:rsid w:val="04B1084F"/>
    <w:rsid w:val="04B113EE"/>
    <w:rsid w:val="04B11640"/>
    <w:rsid w:val="04B34B43"/>
    <w:rsid w:val="04B425C4"/>
    <w:rsid w:val="04B50046"/>
    <w:rsid w:val="04B55E47"/>
    <w:rsid w:val="04B638C9"/>
    <w:rsid w:val="04B65AC7"/>
    <w:rsid w:val="04B7134B"/>
    <w:rsid w:val="04B73549"/>
    <w:rsid w:val="04B80FCA"/>
    <w:rsid w:val="04B8484E"/>
    <w:rsid w:val="04B96A4C"/>
    <w:rsid w:val="04BA44CE"/>
    <w:rsid w:val="04BB2CD9"/>
    <w:rsid w:val="04BB57D2"/>
    <w:rsid w:val="04BC3254"/>
    <w:rsid w:val="04BC79D1"/>
    <w:rsid w:val="04BD0CD5"/>
    <w:rsid w:val="04BD5452"/>
    <w:rsid w:val="04BF0955"/>
    <w:rsid w:val="04BF379F"/>
    <w:rsid w:val="04C218DA"/>
    <w:rsid w:val="04C258B7"/>
    <w:rsid w:val="04C32BDF"/>
    <w:rsid w:val="04C36291"/>
    <w:rsid w:val="04C40660"/>
    <w:rsid w:val="04C602E0"/>
    <w:rsid w:val="04C75D62"/>
    <w:rsid w:val="04C81265"/>
    <w:rsid w:val="04C81AE6"/>
    <w:rsid w:val="04C837E3"/>
    <w:rsid w:val="04C87066"/>
    <w:rsid w:val="04C9566C"/>
    <w:rsid w:val="04C95B8C"/>
    <w:rsid w:val="04CA4768"/>
    <w:rsid w:val="04CA4C2A"/>
    <w:rsid w:val="04CA4DE0"/>
    <w:rsid w:val="04CB3A39"/>
    <w:rsid w:val="04CB4033"/>
    <w:rsid w:val="04CC5A6D"/>
    <w:rsid w:val="04CC7C6B"/>
    <w:rsid w:val="04CD34EE"/>
    <w:rsid w:val="04CD4FB2"/>
    <w:rsid w:val="04CD5176"/>
    <w:rsid w:val="04CD5D15"/>
    <w:rsid w:val="04D01EF4"/>
    <w:rsid w:val="04D04473"/>
    <w:rsid w:val="04D17976"/>
    <w:rsid w:val="04D253F8"/>
    <w:rsid w:val="04D32E79"/>
    <w:rsid w:val="04D4275A"/>
    <w:rsid w:val="04D5637C"/>
    <w:rsid w:val="04D60F61"/>
    <w:rsid w:val="04D63DFE"/>
    <w:rsid w:val="04D7051F"/>
    <w:rsid w:val="04D70A40"/>
    <w:rsid w:val="04D7187F"/>
    <w:rsid w:val="04DA2804"/>
    <w:rsid w:val="04DA76EC"/>
    <w:rsid w:val="04DC0AA0"/>
    <w:rsid w:val="04DD3789"/>
    <w:rsid w:val="04DE120A"/>
    <w:rsid w:val="04DF6C8C"/>
    <w:rsid w:val="04E14131"/>
    <w:rsid w:val="04E24CCF"/>
    <w:rsid w:val="04E43113"/>
    <w:rsid w:val="04E56FAB"/>
    <w:rsid w:val="04E627DB"/>
    <w:rsid w:val="04E70FED"/>
    <w:rsid w:val="04E81B1A"/>
    <w:rsid w:val="04E8539D"/>
    <w:rsid w:val="04E86B91"/>
    <w:rsid w:val="04E8759B"/>
    <w:rsid w:val="04E918D9"/>
    <w:rsid w:val="04E9263C"/>
    <w:rsid w:val="04E92E1E"/>
    <w:rsid w:val="04E9501D"/>
    <w:rsid w:val="04EA08A0"/>
    <w:rsid w:val="04EA2A9E"/>
    <w:rsid w:val="04EB0520"/>
    <w:rsid w:val="04EB6322"/>
    <w:rsid w:val="04EC3DA3"/>
    <w:rsid w:val="04EC79F8"/>
    <w:rsid w:val="04ED1825"/>
    <w:rsid w:val="04ED3A23"/>
    <w:rsid w:val="04EE14A4"/>
    <w:rsid w:val="04EE72A6"/>
    <w:rsid w:val="04EF4D28"/>
    <w:rsid w:val="04EF6F26"/>
    <w:rsid w:val="04F0022B"/>
    <w:rsid w:val="04F049A8"/>
    <w:rsid w:val="04F14881"/>
    <w:rsid w:val="04F15CAC"/>
    <w:rsid w:val="04F207BE"/>
    <w:rsid w:val="04F25D7B"/>
    <w:rsid w:val="04F27EAB"/>
    <w:rsid w:val="04F3135D"/>
    <w:rsid w:val="04F3592C"/>
    <w:rsid w:val="04F40539"/>
    <w:rsid w:val="04F44E03"/>
    <w:rsid w:val="04F45844"/>
    <w:rsid w:val="04F50E2F"/>
    <w:rsid w:val="04F5420C"/>
    <w:rsid w:val="04F546B3"/>
    <w:rsid w:val="04F548E2"/>
    <w:rsid w:val="04F63474"/>
    <w:rsid w:val="04F657D7"/>
    <w:rsid w:val="04F74332"/>
    <w:rsid w:val="04F77BB6"/>
    <w:rsid w:val="04F85637"/>
    <w:rsid w:val="04F930B9"/>
    <w:rsid w:val="04FA0B3A"/>
    <w:rsid w:val="04FA52B7"/>
    <w:rsid w:val="04FB2D39"/>
    <w:rsid w:val="04FB74DF"/>
    <w:rsid w:val="04FC07BA"/>
    <w:rsid w:val="04FD623C"/>
    <w:rsid w:val="04FD78D2"/>
    <w:rsid w:val="04FE15F6"/>
    <w:rsid w:val="04FE3CBD"/>
    <w:rsid w:val="04FE7541"/>
    <w:rsid w:val="04FF173F"/>
    <w:rsid w:val="05002A44"/>
    <w:rsid w:val="05002D34"/>
    <w:rsid w:val="050104C5"/>
    <w:rsid w:val="050126C3"/>
    <w:rsid w:val="05020145"/>
    <w:rsid w:val="0502794B"/>
    <w:rsid w:val="05036F0A"/>
    <w:rsid w:val="0504144A"/>
    <w:rsid w:val="05043648"/>
    <w:rsid w:val="05046312"/>
    <w:rsid w:val="050510CA"/>
    <w:rsid w:val="050553B0"/>
    <w:rsid w:val="05056D9E"/>
    <w:rsid w:val="05066B4B"/>
    <w:rsid w:val="050745CD"/>
    <w:rsid w:val="0508107A"/>
    <w:rsid w:val="050B2FD3"/>
    <w:rsid w:val="050B6856"/>
    <w:rsid w:val="050C0A55"/>
    <w:rsid w:val="050C1396"/>
    <w:rsid w:val="050C39A8"/>
    <w:rsid w:val="050C3B6C"/>
    <w:rsid w:val="050E77DB"/>
    <w:rsid w:val="050F525C"/>
    <w:rsid w:val="05102CDE"/>
    <w:rsid w:val="0510745B"/>
    <w:rsid w:val="05111DBD"/>
    <w:rsid w:val="05114EDC"/>
    <w:rsid w:val="05120CA5"/>
    <w:rsid w:val="05133C63"/>
    <w:rsid w:val="05137D43"/>
    <w:rsid w:val="051416E4"/>
    <w:rsid w:val="05141EB3"/>
    <w:rsid w:val="05145E61"/>
    <w:rsid w:val="05152A51"/>
    <w:rsid w:val="051538E2"/>
    <w:rsid w:val="0516342C"/>
    <w:rsid w:val="05172669"/>
    <w:rsid w:val="05177175"/>
    <w:rsid w:val="051800EA"/>
    <w:rsid w:val="05184867"/>
    <w:rsid w:val="051922E9"/>
    <w:rsid w:val="05197D6A"/>
    <w:rsid w:val="051A35ED"/>
    <w:rsid w:val="051A57EC"/>
    <w:rsid w:val="051B106F"/>
    <w:rsid w:val="051C0CEF"/>
    <w:rsid w:val="051C6AF1"/>
    <w:rsid w:val="051D6770"/>
    <w:rsid w:val="051E41F2"/>
    <w:rsid w:val="051F2311"/>
    <w:rsid w:val="051F7A75"/>
    <w:rsid w:val="052054F7"/>
    <w:rsid w:val="052076F5"/>
    <w:rsid w:val="052109FA"/>
    <w:rsid w:val="05212F78"/>
    <w:rsid w:val="052136C5"/>
    <w:rsid w:val="05222BF8"/>
    <w:rsid w:val="0523067A"/>
    <w:rsid w:val="05234C3E"/>
    <w:rsid w:val="052457DD"/>
    <w:rsid w:val="052459A1"/>
    <w:rsid w:val="052460FB"/>
    <w:rsid w:val="05253B7D"/>
    <w:rsid w:val="05257400"/>
    <w:rsid w:val="052615FE"/>
    <w:rsid w:val="05264E82"/>
    <w:rsid w:val="05272903"/>
    <w:rsid w:val="05280385"/>
    <w:rsid w:val="05295E06"/>
    <w:rsid w:val="052A0005"/>
    <w:rsid w:val="052B23E6"/>
    <w:rsid w:val="052B25AB"/>
    <w:rsid w:val="052B5A86"/>
    <w:rsid w:val="052D0F89"/>
    <w:rsid w:val="052E509C"/>
    <w:rsid w:val="052E6336"/>
    <w:rsid w:val="052E7472"/>
    <w:rsid w:val="052F448C"/>
    <w:rsid w:val="05301F0E"/>
    <w:rsid w:val="05304626"/>
    <w:rsid w:val="05305791"/>
    <w:rsid w:val="05313213"/>
    <w:rsid w:val="05315411"/>
    <w:rsid w:val="05320C94"/>
    <w:rsid w:val="0533072D"/>
    <w:rsid w:val="05330914"/>
    <w:rsid w:val="05351CA6"/>
    <w:rsid w:val="05351E6A"/>
    <w:rsid w:val="05382B9E"/>
    <w:rsid w:val="05383F82"/>
    <w:rsid w:val="0539061F"/>
    <w:rsid w:val="053A3B22"/>
    <w:rsid w:val="053C11E9"/>
    <w:rsid w:val="053C7025"/>
    <w:rsid w:val="053C7612"/>
    <w:rsid w:val="053E2528"/>
    <w:rsid w:val="054016A6"/>
    <w:rsid w:val="05405A2B"/>
    <w:rsid w:val="054134AD"/>
    <w:rsid w:val="05423841"/>
    <w:rsid w:val="0543421B"/>
    <w:rsid w:val="054343E0"/>
    <w:rsid w:val="054369B0"/>
    <w:rsid w:val="05444432"/>
    <w:rsid w:val="05444DBA"/>
    <w:rsid w:val="054664F7"/>
    <w:rsid w:val="05467935"/>
    <w:rsid w:val="054753B6"/>
    <w:rsid w:val="05476ED2"/>
    <w:rsid w:val="0549044B"/>
    <w:rsid w:val="054908B9"/>
    <w:rsid w:val="054B3DBD"/>
    <w:rsid w:val="054C3101"/>
    <w:rsid w:val="054D194C"/>
    <w:rsid w:val="054D1CB7"/>
    <w:rsid w:val="054D2B43"/>
    <w:rsid w:val="054D3ADB"/>
    <w:rsid w:val="054D72C0"/>
    <w:rsid w:val="054E05C4"/>
    <w:rsid w:val="054F5054"/>
    <w:rsid w:val="054F5218"/>
    <w:rsid w:val="054F6046"/>
    <w:rsid w:val="05500244"/>
    <w:rsid w:val="05503AC8"/>
    <w:rsid w:val="05505BF3"/>
    <w:rsid w:val="05505DB7"/>
    <w:rsid w:val="055076E1"/>
    <w:rsid w:val="05511549"/>
    <w:rsid w:val="05526FCB"/>
    <w:rsid w:val="055325D0"/>
    <w:rsid w:val="05534A4C"/>
    <w:rsid w:val="05536C4A"/>
    <w:rsid w:val="055424CE"/>
    <w:rsid w:val="055446CC"/>
    <w:rsid w:val="0555214E"/>
    <w:rsid w:val="05557F4F"/>
    <w:rsid w:val="055629C0"/>
    <w:rsid w:val="05567BCF"/>
    <w:rsid w:val="05573452"/>
    <w:rsid w:val="05580ED4"/>
    <w:rsid w:val="055830D2"/>
    <w:rsid w:val="055943D7"/>
    <w:rsid w:val="05596955"/>
    <w:rsid w:val="055A54B2"/>
    <w:rsid w:val="055B4057"/>
    <w:rsid w:val="055B464A"/>
    <w:rsid w:val="055B5E8C"/>
    <w:rsid w:val="055B78DA"/>
    <w:rsid w:val="055C535C"/>
    <w:rsid w:val="055D2DDD"/>
    <w:rsid w:val="055E085F"/>
    <w:rsid w:val="055F0B42"/>
    <w:rsid w:val="055F2A5D"/>
    <w:rsid w:val="055F62E0"/>
    <w:rsid w:val="05603D62"/>
    <w:rsid w:val="05622E1E"/>
    <w:rsid w:val="056239E2"/>
    <w:rsid w:val="05627265"/>
    <w:rsid w:val="056337F9"/>
    <w:rsid w:val="05634CE7"/>
    <w:rsid w:val="05642768"/>
    <w:rsid w:val="05644397"/>
    <w:rsid w:val="05646EE5"/>
    <w:rsid w:val="056501EA"/>
    <w:rsid w:val="05677E69"/>
    <w:rsid w:val="056905C6"/>
    <w:rsid w:val="056A0DEE"/>
    <w:rsid w:val="056A0FA1"/>
    <w:rsid w:val="056A4671"/>
    <w:rsid w:val="056B20F3"/>
    <w:rsid w:val="056B42F1"/>
    <w:rsid w:val="056D30B8"/>
    <w:rsid w:val="056D55F6"/>
    <w:rsid w:val="056D77F4"/>
    <w:rsid w:val="056E3078"/>
    <w:rsid w:val="056E3C57"/>
    <w:rsid w:val="056F0AF9"/>
    <w:rsid w:val="056F47F6"/>
    <w:rsid w:val="05713FFC"/>
    <w:rsid w:val="057161FA"/>
    <w:rsid w:val="05723C7C"/>
    <w:rsid w:val="05742A02"/>
    <w:rsid w:val="05750484"/>
    <w:rsid w:val="05761DD9"/>
    <w:rsid w:val="05761F9D"/>
    <w:rsid w:val="05762682"/>
    <w:rsid w:val="05770104"/>
    <w:rsid w:val="0577271C"/>
    <w:rsid w:val="05773987"/>
    <w:rsid w:val="05781604"/>
    <w:rsid w:val="05783516"/>
    <w:rsid w:val="05785527"/>
    <w:rsid w:val="05785B85"/>
    <w:rsid w:val="05793607"/>
    <w:rsid w:val="057A1088"/>
    <w:rsid w:val="057A490C"/>
    <w:rsid w:val="057A4A8F"/>
    <w:rsid w:val="057B238D"/>
    <w:rsid w:val="057C458C"/>
    <w:rsid w:val="057D5890"/>
    <w:rsid w:val="057E3312"/>
    <w:rsid w:val="057E7745"/>
    <w:rsid w:val="057E7A8F"/>
    <w:rsid w:val="057F0D93"/>
    <w:rsid w:val="05800AFA"/>
    <w:rsid w:val="05801699"/>
    <w:rsid w:val="05802F92"/>
    <w:rsid w:val="05806815"/>
    <w:rsid w:val="05810A13"/>
    <w:rsid w:val="05814297"/>
    <w:rsid w:val="05823F16"/>
    <w:rsid w:val="05831998"/>
    <w:rsid w:val="0583779A"/>
    <w:rsid w:val="05852BDA"/>
    <w:rsid w:val="05854E9B"/>
    <w:rsid w:val="0586071E"/>
    <w:rsid w:val="0586291D"/>
    <w:rsid w:val="058658C8"/>
    <w:rsid w:val="0587339F"/>
    <w:rsid w:val="058762A2"/>
    <w:rsid w:val="05883C21"/>
    <w:rsid w:val="05885E20"/>
    <w:rsid w:val="058916A3"/>
    <w:rsid w:val="058A1323"/>
    <w:rsid w:val="058A4BA6"/>
    <w:rsid w:val="058A7125"/>
    <w:rsid w:val="058B2628"/>
    <w:rsid w:val="058B29A1"/>
    <w:rsid w:val="058B6DA4"/>
    <w:rsid w:val="058C00A9"/>
    <w:rsid w:val="058D22A7"/>
    <w:rsid w:val="058D24D1"/>
    <w:rsid w:val="058D5B2B"/>
    <w:rsid w:val="058E35AC"/>
    <w:rsid w:val="058E7D29"/>
    <w:rsid w:val="058F102E"/>
    <w:rsid w:val="058F47AD"/>
    <w:rsid w:val="05910CAE"/>
    <w:rsid w:val="05914531"/>
    <w:rsid w:val="05914EEE"/>
    <w:rsid w:val="059331CF"/>
    <w:rsid w:val="059341B1"/>
    <w:rsid w:val="05937A34"/>
    <w:rsid w:val="059454B6"/>
    <w:rsid w:val="05952F37"/>
    <w:rsid w:val="059554A6"/>
    <w:rsid w:val="059576B4"/>
    <w:rsid w:val="059609B9"/>
    <w:rsid w:val="059611F2"/>
    <w:rsid w:val="059613B6"/>
    <w:rsid w:val="059648AF"/>
    <w:rsid w:val="05964C1A"/>
    <w:rsid w:val="05965135"/>
    <w:rsid w:val="05971F55"/>
    <w:rsid w:val="05972BB7"/>
    <w:rsid w:val="0597643A"/>
    <w:rsid w:val="0599193D"/>
    <w:rsid w:val="059960BA"/>
    <w:rsid w:val="059A73BF"/>
    <w:rsid w:val="059B4E40"/>
    <w:rsid w:val="059C28C2"/>
    <w:rsid w:val="059C5421"/>
    <w:rsid w:val="059C6184"/>
    <w:rsid w:val="059D0343"/>
    <w:rsid w:val="059E5DC5"/>
    <w:rsid w:val="059F3847"/>
    <w:rsid w:val="05A00AB1"/>
    <w:rsid w:val="05A00C76"/>
    <w:rsid w:val="05A012C8"/>
    <w:rsid w:val="05A306C5"/>
    <w:rsid w:val="05A32BC9"/>
    <w:rsid w:val="05A57242"/>
    <w:rsid w:val="05A60C53"/>
    <w:rsid w:val="05A64EA5"/>
    <w:rsid w:val="05A766D5"/>
    <w:rsid w:val="05A84156"/>
    <w:rsid w:val="05A91BD8"/>
    <w:rsid w:val="05A97997"/>
    <w:rsid w:val="05A97B5B"/>
    <w:rsid w:val="05AA0371"/>
    <w:rsid w:val="05AA0535"/>
    <w:rsid w:val="05AB0F0F"/>
    <w:rsid w:val="05AB50DB"/>
    <w:rsid w:val="05AD05DE"/>
    <w:rsid w:val="05AE3027"/>
    <w:rsid w:val="05AF3AE1"/>
    <w:rsid w:val="05B01562"/>
    <w:rsid w:val="05B045A0"/>
    <w:rsid w:val="05B13057"/>
    <w:rsid w:val="05B16FE4"/>
    <w:rsid w:val="05B24A66"/>
    <w:rsid w:val="05B35D6A"/>
    <w:rsid w:val="05B437EC"/>
    <w:rsid w:val="05B559EA"/>
    <w:rsid w:val="05B60993"/>
    <w:rsid w:val="05B66CEF"/>
    <w:rsid w:val="05B74771"/>
    <w:rsid w:val="05B828E7"/>
    <w:rsid w:val="05B8307E"/>
    <w:rsid w:val="05B943F0"/>
    <w:rsid w:val="05B97C74"/>
    <w:rsid w:val="05BA1E72"/>
    <w:rsid w:val="05BA56F5"/>
    <w:rsid w:val="05BA78F4"/>
    <w:rsid w:val="05BB3177"/>
    <w:rsid w:val="05BB5375"/>
    <w:rsid w:val="05BC0BF8"/>
    <w:rsid w:val="05BC2DF7"/>
    <w:rsid w:val="05BD0878"/>
    <w:rsid w:val="05BD438C"/>
    <w:rsid w:val="05BE40FB"/>
    <w:rsid w:val="05BE62FA"/>
    <w:rsid w:val="05BF1B7D"/>
    <w:rsid w:val="05BF2DF2"/>
    <w:rsid w:val="05C017FD"/>
    <w:rsid w:val="05C05314"/>
    <w:rsid w:val="05C14C3D"/>
    <w:rsid w:val="05C22B02"/>
    <w:rsid w:val="05C24D00"/>
    <w:rsid w:val="05C32781"/>
    <w:rsid w:val="05C40203"/>
    <w:rsid w:val="05C42D45"/>
    <w:rsid w:val="05C55C85"/>
    <w:rsid w:val="05C74A0B"/>
    <w:rsid w:val="05C75836"/>
    <w:rsid w:val="05C8248C"/>
    <w:rsid w:val="05C9468B"/>
    <w:rsid w:val="05C96DAF"/>
    <w:rsid w:val="05CA5990"/>
    <w:rsid w:val="05CA794E"/>
    <w:rsid w:val="05CC0E93"/>
    <w:rsid w:val="05CD1A66"/>
    <w:rsid w:val="05CD3091"/>
    <w:rsid w:val="05CE06E8"/>
    <w:rsid w:val="05CE0B13"/>
    <w:rsid w:val="05CE4396"/>
    <w:rsid w:val="05CF1E17"/>
    <w:rsid w:val="05D03D42"/>
    <w:rsid w:val="05D04016"/>
    <w:rsid w:val="05D07899"/>
    <w:rsid w:val="05D14557"/>
    <w:rsid w:val="05D22D9C"/>
    <w:rsid w:val="05D250F6"/>
    <w:rsid w:val="05D3081E"/>
    <w:rsid w:val="05D32A1C"/>
    <w:rsid w:val="05D35C95"/>
    <w:rsid w:val="05D36833"/>
    <w:rsid w:val="05D4720E"/>
    <w:rsid w:val="05D639A0"/>
    <w:rsid w:val="05D71422"/>
    <w:rsid w:val="05D77224"/>
    <w:rsid w:val="05D84CA5"/>
    <w:rsid w:val="05D86EA4"/>
    <w:rsid w:val="05D92727"/>
    <w:rsid w:val="05D9289E"/>
    <w:rsid w:val="05D92A62"/>
    <w:rsid w:val="05DA01A8"/>
    <w:rsid w:val="05DA23A7"/>
    <w:rsid w:val="05DA5C2A"/>
    <w:rsid w:val="05DB3E17"/>
    <w:rsid w:val="05DB3FDB"/>
    <w:rsid w:val="05DB7E28"/>
    <w:rsid w:val="05DD1BF7"/>
    <w:rsid w:val="05DD22CE"/>
    <w:rsid w:val="05DD2483"/>
    <w:rsid w:val="05DD332B"/>
    <w:rsid w:val="05DD6BAF"/>
    <w:rsid w:val="05DE4630"/>
    <w:rsid w:val="05DE60F3"/>
    <w:rsid w:val="05DF009E"/>
    <w:rsid w:val="05DF20B2"/>
    <w:rsid w:val="05E0020A"/>
    <w:rsid w:val="05E042B0"/>
    <w:rsid w:val="05E07B33"/>
    <w:rsid w:val="05E10DA9"/>
    <w:rsid w:val="05E11D32"/>
    <w:rsid w:val="05E155B5"/>
    <w:rsid w:val="05E23036"/>
    <w:rsid w:val="05E30AB8"/>
    <w:rsid w:val="05E35235"/>
    <w:rsid w:val="05E36C7F"/>
    <w:rsid w:val="05E46539"/>
    <w:rsid w:val="05E50738"/>
    <w:rsid w:val="05E536D6"/>
    <w:rsid w:val="05E53FBB"/>
    <w:rsid w:val="05E61A3D"/>
    <w:rsid w:val="05E63D58"/>
    <w:rsid w:val="05E64439"/>
    <w:rsid w:val="05E73C3B"/>
    <w:rsid w:val="05E73CE9"/>
    <w:rsid w:val="05E774BE"/>
    <w:rsid w:val="05E84F40"/>
    <w:rsid w:val="05E857EE"/>
    <w:rsid w:val="05E929C1"/>
    <w:rsid w:val="05E9638D"/>
    <w:rsid w:val="05E9713E"/>
    <w:rsid w:val="05EA0443"/>
    <w:rsid w:val="05EB00C3"/>
    <w:rsid w:val="05EB2641"/>
    <w:rsid w:val="05EC04A4"/>
    <w:rsid w:val="05EC3946"/>
    <w:rsid w:val="05EC5B44"/>
    <w:rsid w:val="05ED13C7"/>
    <w:rsid w:val="05ED1BE1"/>
    <w:rsid w:val="05EE1A1D"/>
    <w:rsid w:val="05EE6E49"/>
    <w:rsid w:val="05EF315A"/>
    <w:rsid w:val="05EF48CA"/>
    <w:rsid w:val="05EF6AC9"/>
    <w:rsid w:val="05F03CF9"/>
    <w:rsid w:val="05F0454A"/>
    <w:rsid w:val="05F146D3"/>
    <w:rsid w:val="05F17DCE"/>
    <w:rsid w:val="05F2584F"/>
    <w:rsid w:val="05F30D52"/>
    <w:rsid w:val="05F332D1"/>
    <w:rsid w:val="05F354CF"/>
    <w:rsid w:val="05F432B6"/>
    <w:rsid w:val="05F467D4"/>
    <w:rsid w:val="05F57389"/>
    <w:rsid w:val="05F61CD7"/>
    <w:rsid w:val="05F66454"/>
    <w:rsid w:val="05F67D64"/>
    <w:rsid w:val="05F77758"/>
    <w:rsid w:val="05F814A1"/>
    <w:rsid w:val="05F81957"/>
    <w:rsid w:val="05F83EAE"/>
    <w:rsid w:val="05F851DA"/>
    <w:rsid w:val="05FA06DD"/>
    <w:rsid w:val="05FA2855"/>
    <w:rsid w:val="05FA6F1D"/>
    <w:rsid w:val="05FB28DB"/>
    <w:rsid w:val="05FB5A9A"/>
    <w:rsid w:val="05FB615F"/>
    <w:rsid w:val="05FC5058"/>
    <w:rsid w:val="05FE3860"/>
    <w:rsid w:val="05FF12E2"/>
    <w:rsid w:val="05FF4B65"/>
    <w:rsid w:val="060077E8"/>
    <w:rsid w:val="06010068"/>
    <w:rsid w:val="0603173B"/>
    <w:rsid w:val="06040FED"/>
    <w:rsid w:val="060644F0"/>
    <w:rsid w:val="06067602"/>
    <w:rsid w:val="06071F71"/>
    <w:rsid w:val="06084F90"/>
    <w:rsid w:val="060905E2"/>
    <w:rsid w:val="060A6344"/>
    <w:rsid w:val="060A70A7"/>
    <w:rsid w:val="060A7E98"/>
    <w:rsid w:val="060B0977"/>
    <w:rsid w:val="060B63F9"/>
    <w:rsid w:val="060C0620"/>
    <w:rsid w:val="060C3E7B"/>
    <w:rsid w:val="060D18FC"/>
    <w:rsid w:val="060E737E"/>
    <w:rsid w:val="060F2573"/>
    <w:rsid w:val="060F45F1"/>
    <w:rsid w:val="060F4DFF"/>
    <w:rsid w:val="06102881"/>
    <w:rsid w:val="06110302"/>
    <w:rsid w:val="06113AEC"/>
    <w:rsid w:val="06120DFE"/>
    <w:rsid w:val="0612484F"/>
    <w:rsid w:val="0616408D"/>
    <w:rsid w:val="06177D1B"/>
    <w:rsid w:val="06187C8D"/>
    <w:rsid w:val="061B0C12"/>
    <w:rsid w:val="061C1F17"/>
    <w:rsid w:val="061C6693"/>
    <w:rsid w:val="061F2E9B"/>
    <w:rsid w:val="061F6062"/>
    <w:rsid w:val="0620091D"/>
    <w:rsid w:val="0620509A"/>
    <w:rsid w:val="06212B1B"/>
    <w:rsid w:val="0622059D"/>
    <w:rsid w:val="06223E20"/>
    <w:rsid w:val="06230B53"/>
    <w:rsid w:val="062318A1"/>
    <w:rsid w:val="06241521"/>
    <w:rsid w:val="062416F2"/>
    <w:rsid w:val="06254DA5"/>
    <w:rsid w:val="06256FA3"/>
    <w:rsid w:val="062647CB"/>
    <w:rsid w:val="06264A24"/>
    <w:rsid w:val="062702A8"/>
    <w:rsid w:val="062724A6"/>
    <w:rsid w:val="06285D29"/>
    <w:rsid w:val="06295921"/>
    <w:rsid w:val="062959A9"/>
    <w:rsid w:val="06295AE6"/>
    <w:rsid w:val="062A122C"/>
    <w:rsid w:val="062A342B"/>
    <w:rsid w:val="062C21B1"/>
    <w:rsid w:val="062C692E"/>
    <w:rsid w:val="062D7C32"/>
    <w:rsid w:val="062D7F7A"/>
    <w:rsid w:val="062E0FB2"/>
    <w:rsid w:val="062E1E31"/>
    <w:rsid w:val="062E56B4"/>
    <w:rsid w:val="06300BB7"/>
    <w:rsid w:val="063026EF"/>
    <w:rsid w:val="06305334"/>
    <w:rsid w:val="063130C9"/>
    <w:rsid w:val="06316639"/>
    <w:rsid w:val="06320837"/>
    <w:rsid w:val="06324807"/>
    <w:rsid w:val="0633208D"/>
    <w:rsid w:val="06334642"/>
    <w:rsid w:val="06340450"/>
    <w:rsid w:val="063475BD"/>
    <w:rsid w:val="0635503F"/>
    <w:rsid w:val="06362AC0"/>
    <w:rsid w:val="063672F8"/>
    <w:rsid w:val="06377E97"/>
    <w:rsid w:val="06380A36"/>
    <w:rsid w:val="063A14C7"/>
    <w:rsid w:val="063A5C43"/>
    <w:rsid w:val="063B1146"/>
    <w:rsid w:val="063B2B4D"/>
    <w:rsid w:val="063B6F48"/>
    <w:rsid w:val="063D464A"/>
    <w:rsid w:val="063E20CB"/>
    <w:rsid w:val="063E4AA0"/>
    <w:rsid w:val="063E7D85"/>
    <w:rsid w:val="063F7B4D"/>
    <w:rsid w:val="06410E51"/>
    <w:rsid w:val="06413050"/>
    <w:rsid w:val="06417756"/>
    <w:rsid w:val="064202F5"/>
    <w:rsid w:val="06420AD1"/>
    <w:rsid w:val="06427C05"/>
    <w:rsid w:val="06431DD6"/>
    <w:rsid w:val="06431E80"/>
    <w:rsid w:val="06434355"/>
    <w:rsid w:val="06436553"/>
    <w:rsid w:val="064504DC"/>
    <w:rsid w:val="06451A56"/>
    <w:rsid w:val="064552D9"/>
    <w:rsid w:val="064674D8"/>
    <w:rsid w:val="06467696"/>
    <w:rsid w:val="06474F59"/>
    <w:rsid w:val="064829DB"/>
    <w:rsid w:val="0648625E"/>
    <w:rsid w:val="06494D3A"/>
    <w:rsid w:val="064A5EDE"/>
    <w:rsid w:val="064C4C64"/>
    <w:rsid w:val="064D26E6"/>
    <w:rsid w:val="064D79F0"/>
    <w:rsid w:val="064F0F69"/>
    <w:rsid w:val="064F1B08"/>
    <w:rsid w:val="064F1CCC"/>
    <w:rsid w:val="064F2365"/>
    <w:rsid w:val="064F5BE9"/>
    <w:rsid w:val="0650366A"/>
    <w:rsid w:val="06507DE7"/>
    <w:rsid w:val="065110EC"/>
    <w:rsid w:val="065232EA"/>
    <w:rsid w:val="06523F87"/>
    <w:rsid w:val="06526B6D"/>
    <w:rsid w:val="0653338F"/>
    <w:rsid w:val="065345F9"/>
    <w:rsid w:val="065347BE"/>
    <w:rsid w:val="06542070"/>
    <w:rsid w:val="065668D5"/>
    <w:rsid w:val="065964F8"/>
    <w:rsid w:val="065A13C7"/>
    <w:rsid w:val="065B3BFA"/>
    <w:rsid w:val="065B747D"/>
    <w:rsid w:val="065C34DF"/>
    <w:rsid w:val="065C4EFE"/>
    <w:rsid w:val="065D2980"/>
    <w:rsid w:val="065E0402"/>
    <w:rsid w:val="065E4B7E"/>
    <w:rsid w:val="065F5E83"/>
    <w:rsid w:val="06600081"/>
    <w:rsid w:val="06601965"/>
    <w:rsid w:val="06603905"/>
    <w:rsid w:val="06606195"/>
    <w:rsid w:val="06611386"/>
    <w:rsid w:val="06615B03"/>
    <w:rsid w:val="066163F9"/>
    <w:rsid w:val="06616D34"/>
    <w:rsid w:val="06623584"/>
    <w:rsid w:val="06626E08"/>
    <w:rsid w:val="06631006"/>
    <w:rsid w:val="06634889"/>
    <w:rsid w:val="06646A88"/>
    <w:rsid w:val="06651825"/>
    <w:rsid w:val="06654509"/>
    <w:rsid w:val="06657D8C"/>
    <w:rsid w:val="06661F8B"/>
    <w:rsid w:val="066623C4"/>
    <w:rsid w:val="0666580E"/>
    <w:rsid w:val="0667328F"/>
    <w:rsid w:val="06680D11"/>
    <w:rsid w:val="06683779"/>
    <w:rsid w:val="066944DC"/>
    <w:rsid w:val="06696793"/>
    <w:rsid w:val="066A0D5B"/>
    <w:rsid w:val="066B1C96"/>
    <w:rsid w:val="066B5890"/>
    <w:rsid w:val="066D5199"/>
    <w:rsid w:val="066D79A8"/>
    <w:rsid w:val="066E070B"/>
    <w:rsid w:val="066E2C1A"/>
    <w:rsid w:val="066F069C"/>
    <w:rsid w:val="066F0F20"/>
    <w:rsid w:val="066F10E5"/>
    <w:rsid w:val="066F71A1"/>
    <w:rsid w:val="06701C84"/>
    <w:rsid w:val="06703B83"/>
    <w:rsid w:val="0670611D"/>
    <w:rsid w:val="06721621"/>
    <w:rsid w:val="067231FC"/>
    <w:rsid w:val="067370A2"/>
    <w:rsid w:val="067425A5"/>
    <w:rsid w:val="06744B24"/>
    <w:rsid w:val="06750027"/>
    <w:rsid w:val="06755314"/>
    <w:rsid w:val="06765CEE"/>
    <w:rsid w:val="06787FCA"/>
    <w:rsid w:val="067909A4"/>
    <w:rsid w:val="0679399E"/>
    <w:rsid w:val="06796A2D"/>
    <w:rsid w:val="067A1543"/>
    <w:rsid w:val="067B1F30"/>
    <w:rsid w:val="067C79B2"/>
    <w:rsid w:val="067D33B3"/>
    <w:rsid w:val="067D38D3"/>
    <w:rsid w:val="067E2606"/>
    <w:rsid w:val="067E2EB5"/>
    <w:rsid w:val="067F0936"/>
    <w:rsid w:val="067F4BD4"/>
    <w:rsid w:val="068063B8"/>
    <w:rsid w:val="068218BB"/>
    <w:rsid w:val="0682513E"/>
    <w:rsid w:val="06826B27"/>
    <w:rsid w:val="06832BC0"/>
    <w:rsid w:val="0683733C"/>
    <w:rsid w:val="068400A0"/>
    <w:rsid w:val="06840264"/>
    <w:rsid w:val="06840E03"/>
    <w:rsid w:val="06844439"/>
    <w:rsid w:val="06850C3E"/>
    <w:rsid w:val="068517DD"/>
    <w:rsid w:val="0685283F"/>
    <w:rsid w:val="068837C4"/>
    <w:rsid w:val="06894AC9"/>
    <w:rsid w:val="068A4E6D"/>
    <w:rsid w:val="068D4DE3"/>
    <w:rsid w:val="068D4F99"/>
    <w:rsid w:val="068D56CD"/>
    <w:rsid w:val="068D6F85"/>
    <w:rsid w:val="068E0F51"/>
    <w:rsid w:val="068E314F"/>
    <w:rsid w:val="068E7B23"/>
    <w:rsid w:val="068F69D2"/>
    <w:rsid w:val="06906652"/>
    <w:rsid w:val="06911ED5"/>
    <w:rsid w:val="069140D4"/>
    <w:rsid w:val="06921B55"/>
    <w:rsid w:val="069227DA"/>
    <w:rsid w:val="06927957"/>
    <w:rsid w:val="069331B4"/>
    <w:rsid w:val="069353D8"/>
    <w:rsid w:val="069408DC"/>
    <w:rsid w:val="06942E5A"/>
    <w:rsid w:val="06945058"/>
    <w:rsid w:val="06952ADA"/>
    <w:rsid w:val="069552CB"/>
    <w:rsid w:val="0696055B"/>
    <w:rsid w:val="06963DDF"/>
    <w:rsid w:val="069725DF"/>
    <w:rsid w:val="06975FDD"/>
    <w:rsid w:val="0698721F"/>
    <w:rsid w:val="069872E2"/>
    <w:rsid w:val="069914E0"/>
    <w:rsid w:val="06994D63"/>
    <w:rsid w:val="069A088E"/>
    <w:rsid w:val="069A27E5"/>
    <w:rsid w:val="069B0266"/>
    <w:rsid w:val="069B1336"/>
    <w:rsid w:val="069B14FB"/>
    <w:rsid w:val="069D376A"/>
    <w:rsid w:val="069D7C35"/>
    <w:rsid w:val="069E11EB"/>
    <w:rsid w:val="06A168EC"/>
    <w:rsid w:val="06A2436E"/>
    <w:rsid w:val="06A26ADE"/>
    <w:rsid w:val="06A27BF1"/>
    <w:rsid w:val="06A35673"/>
    <w:rsid w:val="06A452F3"/>
    <w:rsid w:val="06A50BF6"/>
    <w:rsid w:val="06A52D74"/>
    <w:rsid w:val="06A607F6"/>
    <w:rsid w:val="06A74079"/>
    <w:rsid w:val="06A76277"/>
    <w:rsid w:val="06A81AFB"/>
    <w:rsid w:val="06A83CF9"/>
    <w:rsid w:val="06A9177A"/>
    <w:rsid w:val="06A9757C"/>
    <w:rsid w:val="06AA4FFE"/>
    <w:rsid w:val="06AA6D2D"/>
    <w:rsid w:val="06AB4C7D"/>
    <w:rsid w:val="06AD0181"/>
    <w:rsid w:val="06AE1485"/>
    <w:rsid w:val="06AE5C02"/>
    <w:rsid w:val="06AF3684"/>
    <w:rsid w:val="06B01105"/>
    <w:rsid w:val="06B04988"/>
    <w:rsid w:val="06B1240A"/>
    <w:rsid w:val="06B156A8"/>
    <w:rsid w:val="06B225CD"/>
    <w:rsid w:val="06B3590D"/>
    <w:rsid w:val="06B4338F"/>
    <w:rsid w:val="06B47B0B"/>
    <w:rsid w:val="06B50E10"/>
    <w:rsid w:val="06B5558D"/>
    <w:rsid w:val="06B623E7"/>
    <w:rsid w:val="06B66892"/>
    <w:rsid w:val="06B70A90"/>
    <w:rsid w:val="06B74313"/>
    <w:rsid w:val="06B81D95"/>
    <w:rsid w:val="06B83B39"/>
    <w:rsid w:val="06B86512"/>
    <w:rsid w:val="06B867FC"/>
    <w:rsid w:val="06B93983"/>
    <w:rsid w:val="06B93F93"/>
    <w:rsid w:val="06B97816"/>
    <w:rsid w:val="06BA7D75"/>
    <w:rsid w:val="06BB2D1A"/>
    <w:rsid w:val="06BB7496"/>
    <w:rsid w:val="06BC079B"/>
    <w:rsid w:val="06BC4F18"/>
    <w:rsid w:val="06BE3405"/>
    <w:rsid w:val="06BE35C9"/>
    <w:rsid w:val="06BF1720"/>
    <w:rsid w:val="06BF391E"/>
    <w:rsid w:val="06C071A1"/>
    <w:rsid w:val="06C14C23"/>
    <w:rsid w:val="06C226A4"/>
    <w:rsid w:val="06C248A3"/>
    <w:rsid w:val="06C30126"/>
    <w:rsid w:val="06C32324"/>
    <w:rsid w:val="06C453DB"/>
    <w:rsid w:val="06C47634"/>
    <w:rsid w:val="06C510AB"/>
    <w:rsid w:val="06C55827"/>
    <w:rsid w:val="06C57B04"/>
    <w:rsid w:val="06C60D71"/>
    <w:rsid w:val="06C632A9"/>
    <w:rsid w:val="06C745AE"/>
    <w:rsid w:val="06C8202F"/>
    <w:rsid w:val="06C822EA"/>
    <w:rsid w:val="06C867AC"/>
    <w:rsid w:val="06C97AB1"/>
    <w:rsid w:val="06CA1CAF"/>
    <w:rsid w:val="06CA5532"/>
    <w:rsid w:val="06CB2FB4"/>
    <w:rsid w:val="06CB7731"/>
    <w:rsid w:val="06CC0A35"/>
    <w:rsid w:val="06CC597B"/>
    <w:rsid w:val="06CE6EF4"/>
    <w:rsid w:val="06CF496A"/>
    <w:rsid w:val="06CF7A92"/>
    <w:rsid w:val="06CF7C57"/>
    <w:rsid w:val="06D0743C"/>
    <w:rsid w:val="06D14EBD"/>
    <w:rsid w:val="06D32749"/>
    <w:rsid w:val="06D45E42"/>
    <w:rsid w:val="06D50E5E"/>
    <w:rsid w:val="06D538C3"/>
    <w:rsid w:val="06D60267"/>
    <w:rsid w:val="06D61345"/>
    <w:rsid w:val="06D84848"/>
    <w:rsid w:val="06D85DD9"/>
    <w:rsid w:val="06D922CA"/>
    <w:rsid w:val="06D9478C"/>
    <w:rsid w:val="06DD1E44"/>
    <w:rsid w:val="06DD2008"/>
    <w:rsid w:val="06DD6751"/>
    <w:rsid w:val="06DE29E2"/>
    <w:rsid w:val="06DE41D3"/>
    <w:rsid w:val="06E04120"/>
    <w:rsid w:val="06E076D6"/>
    <w:rsid w:val="06E14CBE"/>
    <w:rsid w:val="06E243E8"/>
    <w:rsid w:val="06E24909"/>
    <w:rsid w:val="06E3065B"/>
    <w:rsid w:val="06E33B5C"/>
    <w:rsid w:val="06E425B9"/>
    <w:rsid w:val="06E42F65"/>
    <w:rsid w:val="06E54626"/>
    <w:rsid w:val="06E573E1"/>
    <w:rsid w:val="06E64E63"/>
    <w:rsid w:val="06E71703"/>
    <w:rsid w:val="06E728E4"/>
    <w:rsid w:val="06E82466"/>
    <w:rsid w:val="06E84AE2"/>
    <w:rsid w:val="06E92564"/>
    <w:rsid w:val="06E92E40"/>
    <w:rsid w:val="06EA3869"/>
    <w:rsid w:val="06EB5A67"/>
    <w:rsid w:val="06EC6D6C"/>
    <w:rsid w:val="06ED5AF7"/>
    <w:rsid w:val="06EE226F"/>
    <w:rsid w:val="06EE69EC"/>
    <w:rsid w:val="06EF446D"/>
    <w:rsid w:val="06EF6EAB"/>
    <w:rsid w:val="06EF7070"/>
    <w:rsid w:val="06F01EEF"/>
    <w:rsid w:val="06F07C0E"/>
    <w:rsid w:val="06F1685A"/>
    <w:rsid w:val="06F17970"/>
    <w:rsid w:val="06F21D26"/>
    <w:rsid w:val="06F253F2"/>
    <w:rsid w:val="06F366F7"/>
    <w:rsid w:val="06F408F5"/>
    <w:rsid w:val="06F4329F"/>
    <w:rsid w:val="06F51BFA"/>
    <w:rsid w:val="06F53DF8"/>
    <w:rsid w:val="06F6767B"/>
    <w:rsid w:val="06F750FD"/>
    <w:rsid w:val="06F772FB"/>
    <w:rsid w:val="06F84D7D"/>
    <w:rsid w:val="06F85D90"/>
    <w:rsid w:val="06F90600"/>
    <w:rsid w:val="06F927FE"/>
    <w:rsid w:val="06F9676B"/>
    <w:rsid w:val="06FA74CE"/>
    <w:rsid w:val="06FC0A47"/>
    <w:rsid w:val="06FC3783"/>
    <w:rsid w:val="06FC76C2"/>
    <w:rsid w:val="06FD7006"/>
    <w:rsid w:val="06FE1FBF"/>
    <w:rsid w:val="06FE2509"/>
    <w:rsid w:val="06FE6C86"/>
    <w:rsid w:val="06FF4708"/>
    <w:rsid w:val="06FF7F8B"/>
    <w:rsid w:val="07002189"/>
    <w:rsid w:val="07005A0C"/>
    <w:rsid w:val="07014C76"/>
    <w:rsid w:val="0701711F"/>
    <w:rsid w:val="07020F0F"/>
    <w:rsid w:val="0702568C"/>
    <w:rsid w:val="07036991"/>
    <w:rsid w:val="07040B8F"/>
    <w:rsid w:val="07044413"/>
    <w:rsid w:val="07046BC9"/>
    <w:rsid w:val="07051E94"/>
    <w:rsid w:val="07056611"/>
    <w:rsid w:val="07064092"/>
    <w:rsid w:val="07067916"/>
    <w:rsid w:val="07082E19"/>
    <w:rsid w:val="070A2A99"/>
    <w:rsid w:val="070B051A"/>
    <w:rsid w:val="070C181F"/>
    <w:rsid w:val="070C4535"/>
    <w:rsid w:val="070C5F9C"/>
    <w:rsid w:val="070D149F"/>
    <w:rsid w:val="070D50D4"/>
    <w:rsid w:val="070D72A1"/>
    <w:rsid w:val="070E313E"/>
    <w:rsid w:val="070E4D22"/>
    <w:rsid w:val="070E5AAE"/>
    <w:rsid w:val="070F27A4"/>
    <w:rsid w:val="070F28B2"/>
    <w:rsid w:val="070F49A2"/>
    <w:rsid w:val="07100225"/>
    <w:rsid w:val="0710194F"/>
    <w:rsid w:val="07102423"/>
    <w:rsid w:val="071105A0"/>
    <w:rsid w:val="07115CA7"/>
    <w:rsid w:val="07117EA5"/>
    <w:rsid w:val="07125927"/>
    <w:rsid w:val="07131B19"/>
    <w:rsid w:val="07131CDD"/>
    <w:rsid w:val="071333A8"/>
    <w:rsid w:val="07140E2A"/>
    <w:rsid w:val="0714287C"/>
    <w:rsid w:val="07146C2B"/>
    <w:rsid w:val="0715212E"/>
    <w:rsid w:val="071546AD"/>
    <w:rsid w:val="0716432D"/>
    <w:rsid w:val="07174993"/>
    <w:rsid w:val="071952B1"/>
    <w:rsid w:val="071A291B"/>
    <w:rsid w:val="071A68E6"/>
    <w:rsid w:val="071B4038"/>
    <w:rsid w:val="071B72C1"/>
    <w:rsid w:val="071D753B"/>
    <w:rsid w:val="071E3DC1"/>
    <w:rsid w:val="071F2A3E"/>
    <w:rsid w:val="071F3380"/>
    <w:rsid w:val="071F3871"/>
    <w:rsid w:val="071F71BB"/>
    <w:rsid w:val="072034F0"/>
    <w:rsid w:val="0720474C"/>
    <w:rsid w:val="07204C3C"/>
    <w:rsid w:val="07215F41"/>
    <w:rsid w:val="0722013F"/>
    <w:rsid w:val="072239C3"/>
    <w:rsid w:val="07224C2D"/>
    <w:rsid w:val="07231444"/>
    <w:rsid w:val="07235607"/>
    <w:rsid w:val="07235BC1"/>
    <w:rsid w:val="07243642"/>
    <w:rsid w:val="07246EC6"/>
    <w:rsid w:val="07254947"/>
    <w:rsid w:val="07256D45"/>
    <w:rsid w:val="072645C7"/>
    <w:rsid w:val="072678E3"/>
    <w:rsid w:val="07272049"/>
    <w:rsid w:val="07277E4A"/>
    <w:rsid w:val="07280C98"/>
    <w:rsid w:val="072858CC"/>
    <w:rsid w:val="072919FB"/>
    <w:rsid w:val="07293586"/>
    <w:rsid w:val="07295285"/>
    <w:rsid w:val="072A0DCF"/>
    <w:rsid w:val="072A2FCD"/>
    <w:rsid w:val="072B00F8"/>
    <w:rsid w:val="072B0A4F"/>
    <w:rsid w:val="072B394E"/>
    <w:rsid w:val="072C42D2"/>
    <w:rsid w:val="072C64D0"/>
    <w:rsid w:val="072C6E2A"/>
    <w:rsid w:val="072D1D54"/>
    <w:rsid w:val="072D3F52"/>
    <w:rsid w:val="072E19D4"/>
    <w:rsid w:val="072F2CD8"/>
    <w:rsid w:val="072F6440"/>
    <w:rsid w:val="072F6604"/>
    <w:rsid w:val="07304ED7"/>
    <w:rsid w:val="073071A3"/>
    <w:rsid w:val="07317B7D"/>
    <w:rsid w:val="07347160"/>
    <w:rsid w:val="07350929"/>
    <w:rsid w:val="07362663"/>
    <w:rsid w:val="073700E5"/>
    <w:rsid w:val="073935E8"/>
    <w:rsid w:val="073A1069"/>
    <w:rsid w:val="073A689E"/>
    <w:rsid w:val="073C0184"/>
    <w:rsid w:val="073C456C"/>
    <w:rsid w:val="073C7C63"/>
    <w:rsid w:val="073C7FCF"/>
    <w:rsid w:val="073D0B7A"/>
    <w:rsid w:val="073D1FEE"/>
    <w:rsid w:val="073E7A70"/>
    <w:rsid w:val="073F54F1"/>
    <w:rsid w:val="0742420A"/>
    <w:rsid w:val="07426476"/>
    <w:rsid w:val="07433EF7"/>
    <w:rsid w:val="074455BF"/>
    <w:rsid w:val="07456CFC"/>
    <w:rsid w:val="074628FE"/>
    <w:rsid w:val="0747037F"/>
    <w:rsid w:val="07470439"/>
    <w:rsid w:val="07480C4F"/>
    <w:rsid w:val="074844BB"/>
    <w:rsid w:val="07493882"/>
    <w:rsid w:val="07494150"/>
    <w:rsid w:val="074A1304"/>
    <w:rsid w:val="074C2609"/>
    <w:rsid w:val="074C4807"/>
    <w:rsid w:val="074D008A"/>
    <w:rsid w:val="074D44A4"/>
    <w:rsid w:val="074E358D"/>
    <w:rsid w:val="074E7D0A"/>
    <w:rsid w:val="074F100F"/>
    <w:rsid w:val="0750320D"/>
    <w:rsid w:val="07506A90"/>
    <w:rsid w:val="07510C8F"/>
    <w:rsid w:val="07514512"/>
    <w:rsid w:val="0752118F"/>
    <w:rsid w:val="07521F93"/>
    <w:rsid w:val="07527B34"/>
    <w:rsid w:val="07536D06"/>
    <w:rsid w:val="07537A15"/>
    <w:rsid w:val="07541C13"/>
    <w:rsid w:val="07545496"/>
    <w:rsid w:val="07552626"/>
    <w:rsid w:val="075631C5"/>
    <w:rsid w:val="07572B98"/>
    <w:rsid w:val="07573D64"/>
    <w:rsid w:val="07580619"/>
    <w:rsid w:val="07584902"/>
    <w:rsid w:val="0758565F"/>
    <w:rsid w:val="07585B80"/>
    <w:rsid w:val="0759191E"/>
    <w:rsid w:val="0759609B"/>
    <w:rsid w:val="075A3B1D"/>
    <w:rsid w:val="075A73A0"/>
    <w:rsid w:val="075B159E"/>
    <w:rsid w:val="075B4E21"/>
    <w:rsid w:val="075C7020"/>
    <w:rsid w:val="075C73F4"/>
    <w:rsid w:val="075C75B8"/>
    <w:rsid w:val="075D0324"/>
    <w:rsid w:val="075E096D"/>
    <w:rsid w:val="075E2523"/>
    <w:rsid w:val="075E7FA4"/>
    <w:rsid w:val="075F150C"/>
    <w:rsid w:val="075F3828"/>
    <w:rsid w:val="07616D2B"/>
    <w:rsid w:val="076247AC"/>
    <w:rsid w:val="076269AA"/>
    <w:rsid w:val="0763222E"/>
    <w:rsid w:val="07636392"/>
    <w:rsid w:val="07647CAF"/>
    <w:rsid w:val="07650F54"/>
    <w:rsid w:val="076562D9"/>
    <w:rsid w:val="07660C34"/>
    <w:rsid w:val="076653B1"/>
    <w:rsid w:val="07672E32"/>
    <w:rsid w:val="0767768E"/>
    <w:rsid w:val="076822F3"/>
    <w:rsid w:val="07684137"/>
    <w:rsid w:val="07686B6F"/>
    <w:rsid w:val="07690DCB"/>
    <w:rsid w:val="07696335"/>
    <w:rsid w:val="076A3DB7"/>
    <w:rsid w:val="076B50BC"/>
    <w:rsid w:val="076C2B3D"/>
    <w:rsid w:val="076D05BF"/>
    <w:rsid w:val="076D38BD"/>
    <w:rsid w:val="076D4D3B"/>
    <w:rsid w:val="076F3AC2"/>
    <w:rsid w:val="076F4FFA"/>
    <w:rsid w:val="07701543"/>
    <w:rsid w:val="07705CC0"/>
    <w:rsid w:val="07706573"/>
    <w:rsid w:val="07716F4D"/>
    <w:rsid w:val="07727AEC"/>
    <w:rsid w:val="077324C8"/>
    <w:rsid w:val="07736C45"/>
    <w:rsid w:val="07737A75"/>
    <w:rsid w:val="07743731"/>
    <w:rsid w:val="07747F4A"/>
    <w:rsid w:val="077520F8"/>
    <w:rsid w:val="07752148"/>
    <w:rsid w:val="0776344D"/>
    <w:rsid w:val="0776564B"/>
    <w:rsid w:val="07770C56"/>
    <w:rsid w:val="077730CD"/>
    <w:rsid w:val="077965D0"/>
    <w:rsid w:val="077A4051"/>
    <w:rsid w:val="077A5294"/>
    <w:rsid w:val="077B78D4"/>
    <w:rsid w:val="077C5356"/>
    <w:rsid w:val="077C680D"/>
    <w:rsid w:val="077C69D1"/>
    <w:rsid w:val="077C7554"/>
    <w:rsid w:val="077D2DD8"/>
    <w:rsid w:val="077E0AE9"/>
    <w:rsid w:val="077E62DB"/>
    <w:rsid w:val="077F04D9"/>
    <w:rsid w:val="07812A3C"/>
    <w:rsid w:val="078139DC"/>
    <w:rsid w:val="0782145E"/>
    <w:rsid w:val="07824CE1"/>
    <w:rsid w:val="07834179"/>
    <w:rsid w:val="07835317"/>
    <w:rsid w:val="07836EDF"/>
    <w:rsid w:val="07853608"/>
    <w:rsid w:val="07853B29"/>
    <w:rsid w:val="078636E7"/>
    <w:rsid w:val="078660CC"/>
    <w:rsid w:val="07867E64"/>
    <w:rsid w:val="07871169"/>
    <w:rsid w:val="078758E5"/>
    <w:rsid w:val="07883367"/>
    <w:rsid w:val="07886BEA"/>
    <w:rsid w:val="078A20ED"/>
    <w:rsid w:val="078A25D6"/>
    <w:rsid w:val="078C55F0"/>
    <w:rsid w:val="078D3874"/>
    <w:rsid w:val="078D3A39"/>
    <w:rsid w:val="078D77EF"/>
    <w:rsid w:val="078E0AF3"/>
    <w:rsid w:val="078E4413"/>
    <w:rsid w:val="078E5270"/>
    <w:rsid w:val="07903FF7"/>
    <w:rsid w:val="07913C76"/>
    <w:rsid w:val="0791652A"/>
    <w:rsid w:val="079270C9"/>
    <w:rsid w:val="079275D3"/>
    <w:rsid w:val="07927789"/>
    <w:rsid w:val="07934F7B"/>
    <w:rsid w:val="07936150"/>
    <w:rsid w:val="07936671"/>
    <w:rsid w:val="07937179"/>
    <w:rsid w:val="07944BFB"/>
    <w:rsid w:val="0795267D"/>
    <w:rsid w:val="07963981"/>
    <w:rsid w:val="07975B80"/>
    <w:rsid w:val="07983601"/>
    <w:rsid w:val="07993CD2"/>
    <w:rsid w:val="07994906"/>
    <w:rsid w:val="079A2388"/>
    <w:rsid w:val="079D330C"/>
    <w:rsid w:val="079E0D8E"/>
    <w:rsid w:val="079E7F01"/>
    <w:rsid w:val="079F0AA0"/>
    <w:rsid w:val="07A0147A"/>
    <w:rsid w:val="07A01890"/>
    <w:rsid w:val="07A04291"/>
    <w:rsid w:val="07A27794"/>
    <w:rsid w:val="07A35216"/>
    <w:rsid w:val="07A37949"/>
    <w:rsid w:val="07A6619A"/>
    <w:rsid w:val="07A72991"/>
    <w:rsid w:val="07A76C22"/>
    <w:rsid w:val="07A8169D"/>
    <w:rsid w:val="07A877C1"/>
    <w:rsid w:val="07AA0D3A"/>
    <w:rsid w:val="07AB2622"/>
    <w:rsid w:val="07AC00A3"/>
    <w:rsid w:val="07AD5B25"/>
    <w:rsid w:val="07AE4743"/>
    <w:rsid w:val="07AE5CDD"/>
    <w:rsid w:val="07AF406D"/>
    <w:rsid w:val="07AF43CA"/>
    <w:rsid w:val="07AF6AAA"/>
    <w:rsid w:val="07B02D9F"/>
    <w:rsid w:val="07B0452B"/>
    <w:rsid w:val="07B0724B"/>
    <w:rsid w:val="07B11FAD"/>
    <w:rsid w:val="07B1581D"/>
    <w:rsid w:val="07B332B2"/>
    <w:rsid w:val="07B354B0"/>
    <w:rsid w:val="07B37081"/>
    <w:rsid w:val="07B37C1F"/>
    <w:rsid w:val="07B40D33"/>
    <w:rsid w:val="07B42F31"/>
    <w:rsid w:val="07B51198"/>
    <w:rsid w:val="07B567B5"/>
    <w:rsid w:val="07B63AF6"/>
    <w:rsid w:val="07B64236"/>
    <w:rsid w:val="07B66435"/>
    <w:rsid w:val="07B728D5"/>
    <w:rsid w:val="07B73EB6"/>
    <w:rsid w:val="07B77739"/>
    <w:rsid w:val="07B81938"/>
    <w:rsid w:val="07B851BB"/>
    <w:rsid w:val="07B92C3C"/>
    <w:rsid w:val="07B973B9"/>
    <w:rsid w:val="07BA4E3B"/>
    <w:rsid w:val="07BB28BC"/>
    <w:rsid w:val="07BB53C7"/>
    <w:rsid w:val="07BC3BC1"/>
    <w:rsid w:val="07BC5DA1"/>
    <w:rsid w:val="07BD1643"/>
    <w:rsid w:val="07BD5DBF"/>
    <w:rsid w:val="07BD69FF"/>
    <w:rsid w:val="07BE74DF"/>
    <w:rsid w:val="07BF4B46"/>
    <w:rsid w:val="07BF4EA6"/>
    <w:rsid w:val="07BF505C"/>
    <w:rsid w:val="07BF7EB9"/>
    <w:rsid w:val="07C10049"/>
    <w:rsid w:val="07C11432"/>
    <w:rsid w:val="07C21FD0"/>
    <w:rsid w:val="07C22247"/>
    <w:rsid w:val="07C25ACA"/>
    <w:rsid w:val="07C40FCD"/>
    <w:rsid w:val="07C4574A"/>
    <w:rsid w:val="07C56A4F"/>
    <w:rsid w:val="07C644D1"/>
    <w:rsid w:val="07C65661"/>
    <w:rsid w:val="07C71F52"/>
    <w:rsid w:val="07C74150"/>
    <w:rsid w:val="07C766CF"/>
    <w:rsid w:val="07CB2B57"/>
    <w:rsid w:val="07CC63DA"/>
    <w:rsid w:val="07CD242F"/>
    <w:rsid w:val="07CD3E5B"/>
    <w:rsid w:val="07CE18DD"/>
    <w:rsid w:val="07CF155D"/>
    <w:rsid w:val="07CF735F"/>
    <w:rsid w:val="07D102E3"/>
    <w:rsid w:val="07D26499"/>
    <w:rsid w:val="07D37F63"/>
    <w:rsid w:val="07D41268"/>
    <w:rsid w:val="07D459E5"/>
    <w:rsid w:val="07D50775"/>
    <w:rsid w:val="07D53466"/>
    <w:rsid w:val="07D6114F"/>
    <w:rsid w:val="07D71CEE"/>
    <w:rsid w:val="07D721EC"/>
    <w:rsid w:val="07D76969"/>
    <w:rsid w:val="07D91E6C"/>
    <w:rsid w:val="07D956F0"/>
    <w:rsid w:val="07DA3171"/>
    <w:rsid w:val="07DB2381"/>
    <w:rsid w:val="07DB4646"/>
    <w:rsid w:val="07DB49A4"/>
    <w:rsid w:val="07DB536F"/>
    <w:rsid w:val="07DD0873"/>
    <w:rsid w:val="07DD40F6"/>
    <w:rsid w:val="07DE62F4"/>
    <w:rsid w:val="07E14CFA"/>
    <w:rsid w:val="07E2057E"/>
    <w:rsid w:val="07E2277C"/>
    <w:rsid w:val="07E301FD"/>
    <w:rsid w:val="07E32CEB"/>
    <w:rsid w:val="07E35FFF"/>
    <w:rsid w:val="07E61182"/>
    <w:rsid w:val="07E66F84"/>
    <w:rsid w:val="07E72487"/>
    <w:rsid w:val="07E74A05"/>
    <w:rsid w:val="07E84685"/>
    <w:rsid w:val="07E86197"/>
    <w:rsid w:val="07E92107"/>
    <w:rsid w:val="07E94D14"/>
    <w:rsid w:val="07E9507F"/>
    <w:rsid w:val="07E953EA"/>
    <w:rsid w:val="07EA49A8"/>
    <w:rsid w:val="07EA7B88"/>
    <w:rsid w:val="07EB0E8D"/>
    <w:rsid w:val="07EC690F"/>
    <w:rsid w:val="07ED23E6"/>
    <w:rsid w:val="07EE1AC0"/>
    <w:rsid w:val="07EE1E12"/>
    <w:rsid w:val="07EE2F85"/>
    <w:rsid w:val="07EE658E"/>
    <w:rsid w:val="07EF395F"/>
    <w:rsid w:val="07F044FE"/>
    <w:rsid w:val="07F05315"/>
    <w:rsid w:val="07F12D96"/>
    <w:rsid w:val="07F17513"/>
    <w:rsid w:val="07F20818"/>
    <w:rsid w:val="07F24F95"/>
    <w:rsid w:val="07F32A16"/>
    <w:rsid w:val="07F36615"/>
    <w:rsid w:val="07F43D1B"/>
    <w:rsid w:val="07F46FEF"/>
    <w:rsid w:val="07F6399B"/>
    <w:rsid w:val="07F71107"/>
    <w:rsid w:val="07F712CB"/>
    <w:rsid w:val="07F76E9E"/>
    <w:rsid w:val="07F8491F"/>
    <w:rsid w:val="07F963D9"/>
    <w:rsid w:val="07FA7E23"/>
    <w:rsid w:val="07FB4797"/>
    <w:rsid w:val="07FB58A4"/>
    <w:rsid w:val="07FC1127"/>
    <w:rsid w:val="07FC3326"/>
    <w:rsid w:val="07FD0DA7"/>
    <w:rsid w:val="07FD6BA9"/>
    <w:rsid w:val="07FE6829"/>
    <w:rsid w:val="07FE68AF"/>
    <w:rsid w:val="07FE6A73"/>
    <w:rsid w:val="07FF20AC"/>
    <w:rsid w:val="07FF7612"/>
    <w:rsid w:val="07FF7B2E"/>
    <w:rsid w:val="080055AF"/>
    <w:rsid w:val="08007FEC"/>
    <w:rsid w:val="08013031"/>
    <w:rsid w:val="08021565"/>
    <w:rsid w:val="08031F3F"/>
    <w:rsid w:val="08036534"/>
    <w:rsid w:val="08036B8C"/>
    <w:rsid w:val="08042ADE"/>
    <w:rsid w:val="08042CA2"/>
    <w:rsid w:val="08043FB5"/>
    <w:rsid w:val="08061963"/>
    <w:rsid w:val="080674B8"/>
    <w:rsid w:val="08070A00"/>
    <w:rsid w:val="08074F3A"/>
    <w:rsid w:val="080829BC"/>
    <w:rsid w:val="0808616E"/>
    <w:rsid w:val="08086333"/>
    <w:rsid w:val="08096D0D"/>
    <w:rsid w:val="08096ED2"/>
    <w:rsid w:val="080B044A"/>
    <w:rsid w:val="080C13C2"/>
    <w:rsid w:val="080D6E43"/>
    <w:rsid w:val="080E239D"/>
    <w:rsid w:val="080F2346"/>
    <w:rsid w:val="080F4957"/>
    <w:rsid w:val="08107DC8"/>
    <w:rsid w:val="081144B5"/>
    <w:rsid w:val="08114679"/>
    <w:rsid w:val="08144B81"/>
    <w:rsid w:val="081608A9"/>
    <w:rsid w:val="08161CD1"/>
    <w:rsid w:val="08171283"/>
    <w:rsid w:val="081751D4"/>
    <w:rsid w:val="08177753"/>
    <w:rsid w:val="081906D7"/>
    <w:rsid w:val="081964D9"/>
    <w:rsid w:val="081A339A"/>
    <w:rsid w:val="081C745E"/>
    <w:rsid w:val="081D54B2"/>
    <w:rsid w:val="081D70DE"/>
    <w:rsid w:val="081F03E2"/>
    <w:rsid w:val="081F25E1"/>
    <w:rsid w:val="08200062"/>
    <w:rsid w:val="082038E6"/>
    <w:rsid w:val="08210B42"/>
    <w:rsid w:val="08215AE4"/>
    <w:rsid w:val="0822097E"/>
    <w:rsid w:val="08226DE9"/>
    <w:rsid w:val="0823486A"/>
    <w:rsid w:val="08236FF3"/>
    <w:rsid w:val="08246A68"/>
    <w:rsid w:val="082544EA"/>
    <w:rsid w:val="08254F79"/>
    <w:rsid w:val="08257D6D"/>
    <w:rsid w:val="082657EF"/>
    <w:rsid w:val="082779ED"/>
    <w:rsid w:val="08280CF2"/>
    <w:rsid w:val="08292EF0"/>
    <w:rsid w:val="082962EA"/>
    <w:rsid w:val="08296773"/>
    <w:rsid w:val="082B1C77"/>
    <w:rsid w:val="082B63F3"/>
    <w:rsid w:val="082C023D"/>
    <w:rsid w:val="082C3E75"/>
    <w:rsid w:val="082C76F8"/>
    <w:rsid w:val="082D18F6"/>
    <w:rsid w:val="082D517A"/>
    <w:rsid w:val="082E2BFB"/>
    <w:rsid w:val="082E7378"/>
    <w:rsid w:val="082F067D"/>
    <w:rsid w:val="082F4DFA"/>
    <w:rsid w:val="082F62F4"/>
    <w:rsid w:val="083002FD"/>
    <w:rsid w:val="08303A92"/>
    <w:rsid w:val="083060FE"/>
    <w:rsid w:val="08313B80"/>
    <w:rsid w:val="08314631"/>
    <w:rsid w:val="08315D7E"/>
    <w:rsid w:val="08331281"/>
    <w:rsid w:val="08335BAA"/>
    <w:rsid w:val="08352586"/>
    <w:rsid w:val="08354784"/>
    <w:rsid w:val="08357123"/>
    <w:rsid w:val="08362206"/>
    <w:rsid w:val="08375A89"/>
    <w:rsid w:val="08377C87"/>
    <w:rsid w:val="08380F8C"/>
    <w:rsid w:val="0838123A"/>
    <w:rsid w:val="08385709"/>
    <w:rsid w:val="08391DD9"/>
    <w:rsid w:val="083B668E"/>
    <w:rsid w:val="083C7992"/>
    <w:rsid w:val="083D1B91"/>
    <w:rsid w:val="083D5414"/>
    <w:rsid w:val="083D5469"/>
    <w:rsid w:val="083E2E96"/>
    <w:rsid w:val="083E7612"/>
    <w:rsid w:val="083F0917"/>
    <w:rsid w:val="083F4163"/>
    <w:rsid w:val="083F5094"/>
    <w:rsid w:val="08402B15"/>
    <w:rsid w:val="0840356C"/>
    <w:rsid w:val="08407581"/>
    <w:rsid w:val="08410597"/>
    <w:rsid w:val="08412609"/>
    <w:rsid w:val="08413E1A"/>
    <w:rsid w:val="0842189C"/>
    <w:rsid w:val="08426019"/>
    <w:rsid w:val="0844151C"/>
    <w:rsid w:val="08442073"/>
    <w:rsid w:val="08452820"/>
    <w:rsid w:val="08456F9D"/>
    <w:rsid w:val="084602A2"/>
    <w:rsid w:val="084635EB"/>
    <w:rsid w:val="084637B0"/>
    <w:rsid w:val="084724A0"/>
    <w:rsid w:val="0847434F"/>
    <w:rsid w:val="084837A5"/>
    <w:rsid w:val="08484D29"/>
    <w:rsid w:val="084859A3"/>
    <w:rsid w:val="08487F22"/>
    <w:rsid w:val="084A0EA6"/>
    <w:rsid w:val="084A190F"/>
    <w:rsid w:val="084A6E40"/>
    <w:rsid w:val="084B6928"/>
    <w:rsid w:val="084B781B"/>
    <w:rsid w:val="084B79DF"/>
    <w:rsid w:val="084C21AB"/>
    <w:rsid w:val="084C43AA"/>
    <w:rsid w:val="084D0D93"/>
    <w:rsid w:val="084D1E2B"/>
    <w:rsid w:val="084D7C2D"/>
    <w:rsid w:val="084E1AF7"/>
    <w:rsid w:val="084E56AE"/>
    <w:rsid w:val="084E78AD"/>
    <w:rsid w:val="084F24D1"/>
    <w:rsid w:val="084F532E"/>
    <w:rsid w:val="08500BB1"/>
    <w:rsid w:val="08502EAB"/>
    <w:rsid w:val="08506633"/>
    <w:rsid w:val="08510831"/>
    <w:rsid w:val="08513C0E"/>
    <w:rsid w:val="085140B5"/>
    <w:rsid w:val="085262B3"/>
    <w:rsid w:val="08533D34"/>
    <w:rsid w:val="08534FC3"/>
    <w:rsid w:val="08535187"/>
    <w:rsid w:val="085375B8"/>
    <w:rsid w:val="085417B6"/>
    <w:rsid w:val="08552ABB"/>
    <w:rsid w:val="08564CB9"/>
    <w:rsid w:val="0856729F"/>
    <w:rsid w:val="0857273B"/>
    <w:rsid w:val="08583A3F"/>
    <w:rsid w:val="08595C3E"/>
    <w:rsid w:val="085A36BF"/>
    <w:rsid w:val="085A6F43"/>
    <w:rsid w:val="085B1141"/>
    <w:rsid w:val="085B49C4"/>
    <w:rsid w:val="085D0005"/>
    <w:rsid w:val="085D4644"/>
    <w:rsid w:val="085E20C5"/>
    <w:rsid w:val="085E5949"/>
    <w:rsid w:val="085F33CA"/>
    <w:rsid w:val="08600E4C"/>
    <w:rsid w:val="0860304A"/>
    <w:rsid w:val="08617538"/>
    <w:rsid w:val="0862434F"/>
    <w:rsid w:val="0862654D"/>
    <w:rsid w:val="08627F12"/>
    <w:rsid w:val="0863510B"/>
    <w:rsid w:val="08647852"/>
    <w:rsid w:val="08652D8D"/>
    <w:rsid w:val="086552D4"/>
    <w:rsid w:val="086707D7"/>
    <w:rsid w:val="086735A3"/>
    <w:rsid w:val="08674142"/>
    <w:rsid w:val="08686258"/>
    <w:rsid w:val="0869175B"/>
    <w:rsid w:val="086A6259"/>
    <w:rsid w:val="086B33D9"/>
    <w:rsid w:val="086B4C5E"/>
    <w:rsid w:val="086B6DF8"/>
    <w:rsid w:val="086C1A35"/>
    <w:rsid w:val="086C26E0"/>
    <w:rsid w:val="086C77D2"/>
    <w:rsid w:val="086C7996"/>
    <w:rsid w:val="086E5BE3"/>
    <w:rsid w:val="086F18EA"/>
    <w:rsid w:val="086F1AAE"/>
    <w:rsid w:val="086F3665"/>
    <w:rsid w:val="086F623A"/>
    <w:rsid w:val="08702488"/>
    <w:rsid w:val="0870264D"/>
    <w:rsid w:val="08723A01"/>
    <w:rsid w:val="087245E9"/>
    <w:rsid w:val="08745B19"/>
    <w:rsid w:val="08767256"/>
    <w:rsid w:val="08770A71"/>
    <w:rsid w:val="08777DF5"/>
    <w:rsid w:val="087807CF"/>
    <w:rsid w:val="087A4C54"/>
    <w:rsid w:val="087D297A"/>
    <w:rsid w:val="087E3C7F"/>
    <w:rsid w:val="08801380"/>
    <w:rsid w:val="08814C04"/>
    <w:rsid w:val="08816951"/>
    <w:rsid w:val="08816E02"/>
    <w:rsid w:val="088176B4"/>
    <w:rsid w:val="08822685"/>
    <w:rsid w:val="08830107"/>
    <w:rsid w:val="08830C2D"/>
    <w:rsid w:val="08845B88"/>
    <w:rsid w:val="08847D87"/>
    <w:rsid w:val="08851FE1"/>
    <w:rsid w:val="0885360A"/>
    <w:rsid w:val="0886328A"/>
    <w:rsid w:val="0887371F"/>
    <w:rsid w:val="08882010"/>
    <w:rsid w:val="088840F9"/>
    <w:rsid w:val="088842BD"/>
    <w:rsid w:val="0888458F"/>
    <w:rsid w:val="0888678D"/>
    <w:rsid w:val="088875E7"/>
    <w:rsid w:val="0889727B"/>
    <w:rsid w:val="08897A92"/>
    <w:rsid w:val="088A1C90"/>
    <w:rsid w:val="088B2F95"/>
    <w:rsid w:val="088B556C"/>
    <w:rsid w:val="088B7712"/>
    <w:rsid w:val="088C6DAF"/>
    <w:rsid w:val="088E0328"/>
    <w:rsid w:val="088E0696"/>
    <w:rsid w:val="088E3F19"/>
    <w:rsid w:val="088F199B"/>
    <w:rsid w:val="088F1A65"/>
    <w:rsid w:val="088F6118"/>
    <w:rsid w:val="08902440"/>
    <w:rsid w:val="08902604"/>
    <w:rsid w:val="08915791"/>
    <w:rsid w:val="08922920"/>
    <w:rsid w:val="0892709C"/>
    <w:rsid w:val="0894259F"/>
    <w:rsid w:val="08945E23"/>
    <w:rsid w:val="08961326"/>
    <w:rsid w:val="089622E5"/>
    <w:rsid w:val="08965AA3"/>
    <w:rsid w:val="089718A3"/>
    <w:rsid w:val="0897720D"/>
    <w:rsid w:val="08980FA6"/>
    <w:rsid w:val="08984829"/>
    <w:rsid w:val="08990786"/>
    <w:rsid w:val="089922AB"/>
    <w:rsid w:val="089979DE"/>
    <w:rsid w:val="089A1160"/>
    <w:rsid w:val="089A1F2A"/>
    <w:rsid w:val="089B1EC4"/>
    <w:rsid w:val="089B57AE"/>
    <w:rsid w:val="089B79AC"/>
    <w:rsid w:val="089C542D"/>
    <w:rsid w:val="089D0CB1"/>
    <w:rsid w:val="089E0931"/>
    <w:rsid w:val="089E6732"/>
    <w:rsid w:val="089F41B4"/>
    <w:rsid w:val="089F5390"/>
    <w:rsid w:val="08A01C35"/>
    <w:rsid w:val="08A03E34"/>
    <w:rsid w:val="08A05F2E"/>
    <w:rsid w:val="08A118B5"/>
    <w:rsid w:val="08A16908"/>
    <w:rsid w:val="08A27337"/>
    <w:rsid w:val="08A4283A"/>
    <w:rsid w:val="08A460BD"/>
    <w:rsid w:val="08A502BB"/>
    <w:rsid w:val="08A51783"/>
    <w:rsid w:val="08A53B3F"/>
    <w:rsid w:val="08A65D3D"/>
    <w:rsid w:val="08A72B38"/>
    <w:rsid w:val="08A737BE"/>
    <w:rsid w:val="08A77042"/>
    <w:rsid w:val="08A92545"/>
    <w:rsid w:val="08A94275"/>
    <w:rsid w:val="08AA4743"/>
    <w:rsid w:val="08AB21C5"/>
    <w:rsid w:val="08AB5A48"/>
    <w:rsid w:val="08AC34C9"/>
    <w:rsid w:val="08AC6F2B"/>
    <w:rsid w:val="08AD0F4B"/>
    <w:rsid w:val="08AD7905"/>
    <w:rsid w:val="08AE04A4"/>
    <w:rsid w:val="08AE69CD"/>
    <w:rsid w:val="08AF0BCB"/>
    <w:rsid w:val="08B01A1D"/>
    <w:rsid w:val="08B11B50"/>
    <w:rsid w:val="08B11F30"/>
    <w:rsid w:val="08B123F7"/>
    <w:rsid w:val="08B17951"/>
    <w:rsid w:val="08B2184D"/>
    <w:rsid w:val="08B22F96"/>
    <w:rsid w:val="08B275D1"/>
    <w:rsid w:val="08B33B34"/>
    <w:rsid w:val="08B35053"/>
    <w:rsid w:val="08B408D6"/>
    <w:rsid w:val="08B4450F"/>
    <w:rsid w:val="08B446D3"/>
    <w:rsid w:val="08B45FD1"/>
    <w:rsid w:val="08B466A8"/>
    <w:rsid w:val="08B50556"/>
    <w:rsid w:val="08B55745"/>
    <w:rsid w:val="08B65A87"/>
    <w:rsid w:val="08B65FD7"/>
    <w:rsid w:val="08B73A59"/>
    <w:rsid w:val="08B814DA"/>
    <w:rsid w:val="08B84D5E"/>
    <w:rsid w:val="08B872DC"/>
    <w:rsid w:val="08B90902"/>
    <w:rsid w:val="08B927DF"/>
    <w:rsid w:val="08BA0261"/>
    <w:rsid w:val="08BA12DC"/>
    <w:rsid w:val="08BA49DD"/>
    <w:rsid w:val="08BB5CE2"/>
    <w:rsid w:val="08BC3764"/>
    <w:rsid w:val="08BD5962"/>
    <w:rsid w:val="08BE6C67"/>
    <w:rsid w:val="08C068E7"/>
    <w:rsid w:val="08C160AA"/>
    <w:rsid w:val="08C17BEC"/>
    <w:rsid w:val="08C26A84"/>
    <w:rsid w:val="08C305F9"/>
    <w:rsid w:val="08C307AE"/>
    <w:rsid w:val="08C30B19"/>
    <w:rsid w:val="08C330EF"/>
    <w:rsid w:val="08C3745F"/>
    <w:rsid w:val="08C37623"/>
    <w:rsid w:val="08C40B70"/>
    <w:rsid w:val="08C452ED"/>
    <w:rsid w:val="08C47BB7"/>
    <w:rsid w:val="08C568EA"/>
    <w:rsid w:val="08C64073"/>
    <w:rsid w:val="08C71AF5"/>
    <w:rsid w:val="08C72115"/>
    <w:rsid w:val="08C8368E"/>
    <w:rsid w:val="08C83CF3"/>
    <w:rsid w:val="08C91775"/>
    <w:rsid w:val="08CB04FB"/>
    <w:rsid w:val="08CC5F7D"/>
    <w:rsid w:val="08CD39FE"/>
    <w:rsid w:val="08CD6D1E"/>
    <w:rsid w:val="08CE1480"/>
    <w:rsid w:val="08CF6F01"/>
    <w:rsid w:val="08D04983"/>
    <w:rsid w:val="08D12404"/>
    <w:rsid w:val="08D12F8B"/>
    <w:rsid w:val="08D13817"/>
    <w:rsid w:val="08D17E86"/>
    <w:rsid w:val="08D33112"/>
    <w:rsid w:val="08D33389"/>
    <w:rsid w:val="08D4468A"/>
    <w:rsid w:val="08D44BE5"/>
    <w:rsid w:val="08D55065"/>
    <w:rsid w:val="08D5688C"/>
    <w:rsid w:val="08D6430E"/>
    <w:rsid w:val="08D767A2"/>
    <w:rsid w:val="08D87811"/>
    <w:rsid w:val="08D95292"/>
    <w:rsid w:val="08DB0795"/>
    <w:rsid w:val="08DC2D87"/>
    <w:rsid w:val="08DC6217"/>
    <w:rsid w:val="08E04924"/>
    <w:rsid w:val="08E04C1D"/>
    <w:rsid w:val="08E154C3"/>
    <w:rsid w:val="08E17C10"/>
    <w:rsid w:val="08E20120"/>
    <w:rsid w:val="08E236EE"/>
    <w:rsid w:val="08E25E9D"/>
    <w:rsid w:val="08E35BA2"/>
    <w:rsid w:val="08E375DA"/>
    <w:rsid w:val="08E43623"/>
    <w:rsid w:val="08E46EA7"/>
    <w:rsid w:val="08E50D18"/>
    <w:rsid w:val="08E510A5"/>
    <w:rsid w:val="08E52240"/>
    <w:rsid w:val="08E54928"/>
    <w:rsid w:val="08E623AA"/>
    <w:rsid w:val="08E66B26"/>
    <w:rsid w:val="08E6788B"/>
    <w:rsid w:val="08E720CC"/>
    <w:rsid w:val="08E745A8"/>
    <w:rsid w:val="08E77E2B"/>
    <w:rsid w:val="08E858AD"/>
    <w:rsid w:val="08E9332E"/>
    <w:rsid w:val="08E9552D"/>
    <w:rsid w:val="08E972AA"/>
    <w:rsid w:val="08E97AAB"/>
    <w:rsid w:val="08EA0DB0"/>
    <w:rsid w:val="08EA2FAE"/>
    <w:rsid w:val="08EB0A30"/>
    <w:rsid w:val="08EB6831"/>
    <w:rsid w:val="08EC42B3"/>
    <w:rsid w:val="08ED1D35"/>
    <w:rsid w:val="08ED3F33"/>
    <w:rsid w:val="08ED64C0"/>
    <w:rsid w:val="08EE19B4"/>
    <w:rsid w:val="08EE6E9A"/>
    <w:rsid w:val="08EE7BDA"/>
    <w:rsid w:val="08EF7436"/>
    <w:rsid w:val="08F02CB9"/>
    <w:rsid w:val="08F04266"/>
    <w:rsid w:val="08F1198C"/>
    <w:rsid w:val="08F11B50"/>
    <w:rsid w:val="08F12939"/>
    <w:rsid w:val="08F203BB"/>
    <w:rsid w:val="08F316BF"/>
    <w:rsid w:val="08F438BE"/>
    <w:rsid w:val="08F54642"/>
    <w:rsid w:val="08F54BC3"/>
    <w:rsid w:val="08F62644"/>
    <w:rsid w:val="08F700C6"/>
    <w:rsid w:val="08F74842"/>
    <w:rsid w:val="08F822C4"/>
    <w:rsid w:val="08F97D45"/>
    <w:rsid w:val="08FA104A"/>
    <w:rsid w:val="08FB3249"/>
    <w:rsid w:val="08FB6ACC"/>
    <w:rsid w:val="08FC256D"/>
    <w:rsid w:val="08FD1FCF"/>
    <w:rsid w:val="08FD674C"/>
    <w:rsid w:val="08FE06A8"/>
    <w:rsid w:val="08FE0D7F"/>
    <w:rsid w:val="08FE7A50"/>
    <w:rsid w:val="08FF0187"/>
    <w:rsid w:val="090076D0"/>
    <w:rsid w:val="090109D5"/>
    <w:rsid w:val="0901547A"/>
    <w:rsid w:val="0901567A"/>
    <w:rsid w:val="090360D7"/>
    <w:rsid w:val="09043B58"/>
    <w:rsid w:val="09050131"/>
    <w:rsid w:val="090515DA"/>
    <w:rsid w:val="090573DB"/>
    <w:rsid w:val="09060B0B"/>
    <w:rsid w:val="09064E5D"/>
    <w:rsid w:val="0906705B"/>
    <w:rsid w:val="090716A9"/>
    <w:rsid w:val="09074ADD"/>
    <w:rsid w:val="09082248"/>
    <w:rsid w:val="0908255E"/>
    <w:rsid w:val="09093863"/>
    <w:rsid w:val="09095DE2"/>
    <w:rsid w:val="09097FE0"/>
    <w:rsid w:val="090A2141"/>
    <w:rsid w:val="090A5A61"/>
    <w:rsid w:val="090B34E3"/>
    <w:rsid w:val="090B4360"/>
    <w:rsid w:val="090B4829"/>
    <w:rsid w:val="090B4D3A"/>
    <w:rsid w:val="090B6D66"/>
    <w:rsid w:val="090C0F64"/>
    <w:rsid w:val="090C47E8"/>
    <w:rsid w:val="090D2269"/>
    <w:rsid w:val="090D303B"/>
    <w:rsid w:val="090D69E6"/>
    <w:rsid w:val="090E4468"/>
    <w:rsid w:val="090E7CEB"/>
    <w:rsid w:val="090F1EE9"/>
    <w:rsid w:val="090F576C"/>
    <w:rsid w:val="09110F69"/>
    <w:rsid w:val="091153EC"/>
    <w:rsid w:val="091266F1"/>
    <w:rsid w:val="091308EF"/>
    <w:rsid w:val="091324E2"/>
    <w:rsid w:val="09134173"/>
    <w:rsid w:val="09146371"/>
    <w:rsid w:val="09153A5B"/>
    <w:rsid w:val="09153DF2"/>
    <w:rsid w:val="091650F7"/>
    <w:rsid w:val="09172B79"/>
    <w:rsid w:val="091772F6"/>
    <w:rsid w:val="091805FA"/>
    <w:rsid w:val="09184D77"/>
    <w:rsid w:val="0919027A"/>
    <w:rsid w:val="091A5CFC"/>
    <w:rsid w:val="091B377D"/>
    <w:rsid w:val="091B5662"/>
    <w:rsid w:val="091B62A2"/>
    <w:rsid w:val="091C11FF"/>
    <w:rsid w:val="091D1F66"/>
    <w:rsid w:val="091D4A82"/>
    <w:rsid w:val="091E2940"/>
    <w:rsid w:val="091E2E96"/>
    <w:rsid w:val="091E4702"/>
    <w:rsid w:val="091F34DF"/>
    <w:rsid w:val="091F7F85"/>
    <w:rsid w:val="09205A07"/>
    <w:rsid w:val="09215687"/>
    <w:rsid w:val="092217DD"/>
    <w:rsid w:val="092255F6"/>
    <w:rsid w:val="0922698B"/>
    <w:rsid w:val="09241E8E"/>
    <w:rsid w:val="0924660B"/>
    <w:rsid w:val="0925408D"/>
    <w:rsid w:val="09260ED4"/>
    <w:rsid w:val="09277590"/>
    <w:rsid w:val="09280DA2"/>
    <w:rsid w:val="09285011"/>
    <w:rsid w:val="09296316"/>
    <w:rsid w:val="092A0515"/>
    <w:rsid w:val="092A393D"/>
    <w:rsid w:val="092A3D98"/>
    <w:rsid w:val="092A75B4"/>
    <w:rsid w:val="092B1819"/>
    <w:rsid w:val="092B4153"/>
    <w:rsid w:val="092C4CF1"/>
    <w:rsid w:val="092C769C"/>
    <w:rsid w:val="092D1499"/>
    <w:rsid w:val="092D4D1C"/>
    <w:rsid w:val="092E642F"/>
    <w:rsid w:val="092F499C"/>
    <w:rsid w:val="092F6FCD"/>
    <w:rsid w:val="0930241E"/>
    <w:rsid w:val="09305CA1"/>
    <w:rsid w:val="09310157"/>
    <w:rsid w:val="09342F98"/>
    <w:rsid w:val="09353A12"/>
    <w:rsid w:val="09364775"/>
    <w:rsid w:val="09372CF3"/>
    <w:rsid w:val="09381EDF"/>
    <w:rsid w:val="09382988"/>
    <w:rsid w:val="09385CEE"/>
    <w:rsid w:val="09390B2F"/>
    <w:rsid w:val="093966C8"/>
    <w:rsid w:val="0939688D"/>
    <w:rsid w:val="093A6C7B"/>
    <w:rsid w:val="093A7294"/>
    <w:rsid w:val="093D137F"/>
    <w:rsid w:val="093D4FB7"/>
    <w:rsid w:val="093E2A38"/>
    <w:rsid w:val="093F04BA"/>
    <w:rsid w:val="09405F3B"/>
    <w:rsid w:val="094139BD"/>
    <w:rsid w:val="0942143F"/>
    <w:rsid w:val="0943614C"/>
    <w:rsid w:val="09436EC0"/>
    <w:rsid w:val="09444942"/>
    <w:rsid w:val="094523C3"/>
    <w:rsid w:val="09465165"/>
    <w:rsid w:val="0946531A"/>
    <w:rsid w:val="09473B2C"/>
    <w:rsid w:val="094758C6"/>
    <w:rsid w:val="09483348"/>
    <w:rsid w:val="094921B7"/>
    <w:rsid w:val="0949237B"/>
    <w:rsid w:val="094B3730"/>
    <w:rsid w:val="094C42CE"/>
    <w:rsid w:val="094D3053"/>
    <w:rsid w:val="094D4CA9"/>
    <w:rsid w:val="094D77D0"/>
    <w:rsid w:val="094F2CD3"/>
    <w:rsid w:val="09500754"/>
    <w:rsid w:val="09503FD7"/>
    <w:rsid w:val="095161D6"/>
    <w:rsid w:val="0952109C"/>
    <w:rsid w:val="095216D9"/>
    <w:rsid w:val="09523C57"/>
    <w:rsid w:val="09534F5C"/>
    <w:rsid w:val="09542451"/>
    <w:rsid w:val="09544BDC"/>
    <w:rsid w:val="0955045F"/>
    <w:rsid w:val="0955265E"/>
    <w:rsid w:val="09565EE1"/>
    <w:rsid w:val="09566674"/>
    <w:rsid w:val="09572295"/>
    <w:rsid w:val="095813E4"/>
    <w:rsid w:val="09591064"/>
    <w:rsid w:val="095A6844"/>
    <w:rsid w:val="095A6AE5"/>
    <w:rsid w:val="095B4567"/>
    <w:rsid w:val="095B73E3"/>
    <w:rsid w:val="095C1FE8"/>
    <w:rsid w:val="095D095C"/>
    <w:rsid w:val="095E0D6F"/>
    <w:rsid w:val="095F2F6D"/>
    <w:rsid w:val="095F67F0"/>
    <w:rsid w:val="09613E28"/>
    <w:rsid w:val="09616470"/>
    <w:rsid w:val="09627775"/>
    <w:rsid w:val="09631973"/>
    <w:rsid w:val="09631DB4"/>
    <w:rsid w:val="09635565"/>
    <w:rsid w:val="09640931"/>
    <w:rsid w:val="09642C78"/>
    <w:rsid w:val="096506FA"/>
    <w:rsid w:val="09654E76"/>
    <w:rsid w:val="096628F8"/>
    <w:rsid w:val="0966617B"/>
    <w:rsid w:val="09673BFD"/>
    <w:rsid w:val="0968167E"/>
    <w:rsid w:val="09685DFB"/>
    <w:rsid w:val="09691794"/>
    <w:rsid w:val="096943A2"/>
    <w:rsid w:val="09697100"/>
    <w:rsid w:val="096A6D80"/>
    <w:rsid w:val="096B2603"/>
    <w:rsid w:val="096B2D0D"/>
    <w:rsid w:val="096B4801"/>
    <w:rsid w:val="096C0084"/>
    <w:rsid w:val="096C444A"/>
    <w:rsid w:val="096D7D04"/>
    <w:rsid w:val="096E3588"/>
    <w:rsid w:val="096E5786"/>
    <w:rsid w:val="096F1009"/>
    <w:rsid w:val="096F3207"/>
    <w:rsid w:val="096F6562"/>
    <w:rsid w:val="09700C89"/>
    <w:rsid w:val="09706A8B"/>
    <w:rsid w:val="09706D78"/>
    <w:rsid w:val="0971450C"/>
    <w:rsid w:val="097148FC"/>
    <w:rsid w:val="097237E4"/>
    <w:rsid w:val="09727A0F"/>
    <w:rsid w:val="09730E8F"/>
    <w:rsid w:val="09731C0E"/>
    <w:rsid w:val="09732F58"/>
    <w:rsid w:val="09735491"/>
    <w:rsid w:val="0974768F"/>
    <w:rsid w:val="09755111"/>
    <w:rsid w:val="09762B92"/>
    <w:rsid w:val="09766415"/>
    <w:rsid w:val="09770614"/>
    <w:rsid w:val="09781919"/>
    <w:rsid w:val="097846E4"/>
    <w:rsid w:val="09786095"/>
    <w:rsid w:val="09793B17"/>
    <w:rsid w:val="09794E91"/>
    <w:rsid w:val="097950BE"/>
    <w:rsid w:val="0979739A"/>
    <w:rsid w:val="097A4E1C"/>
    <w:rsid w:val="097B71D6"/>
    <w:rsid w:val="097B7229"/>
    <w:rsid w:val="097C031F"/>
    <w:rsid w:val="097C4A9B"/>
    <w:rsid w:val="097E3822"/>
    <w:rsid w:val="097E7F9F"/>
    <w:rsid w:val="097F5A20"/>
    <w:rsid w:val="0980017F"/>
    <w:rsid w:val="09806D25"/>
    <w:rsid w:val="09810F23"/>
    <w:rsid w:val="098135C9"/>
    <w:rsid w:val="098353CA"/>
    <w:rsid w:val="09837CAA"/>
    <w:rsid w:val="0984572B"/>
    <w:rsid w:val="09847929"/>
    <w:rsid w:val="09860C2E"/>
    <w:rsid w:val="09866A95"/>
    <w:rsid w:val="098708AE"/>
    <w:rsid w:val="098766B0"/>
    <w:rsid w:val="09880BAD"/>
    <w:rsid w:val="09886330"/>
    <w:rsid w:val="09891BB3"/>
    <w:rsid w:val="09893DB1"/>
    <w:rsid w:val="098A1833"/>
    <w:rsid w:val="098B2B38"/>
    <w:rsid w:val="098B2CC4"/>
    <w:rsid w:val="098C05B9"/>
    <w:rsid w:val="098C4D36"/>
    <w:rsid w:val="098D44AE"/>
    <w:rsid w:val="098D603B"/>
    <w:rsid w:val="098E0239"/>
    <w:rsid w:val="098E11E0"/>
    <w:rsid w:val="098E3ABC"/>
    <w:rsid w:val="098E4DDC"/>
    <w:rsid w:val="098F0433"/>
    <w:rsid w:val="098F5CBA"/>
    <w:rsid w:val="0990783C"/>
    <w:rsid w:val="099111BE"/>
    <w:rsid w:val="09926C3F"/>
    <w:rsid w:val="09927A92"/>
    <w:rsid w:val="09930631"/>
    <w:rsid w:val="09941BAA"/>
    <w:rsid w:val="099519E5"/>
    <w:rsid w:val="09953447"/>
    <w:rsid w:val="09957BC4"/>
    <w:rsid w:val="09965645"/>
    <w:rsid w:val="0997694A"/>
    <w:rsid w:val="099843CC"/>
    <w:rsid w:val="09995076"/>
    <w:rsid w:val="099A78CF"/>
    <w:rsid w:val="099C2DD2"/>
    <w:rsid w:val="099C4AB2"/>
    <w:rsid w:val="099C718D"/>
    <w:rsid w:val="099D32E7"/>
    <w:rsid w:val="099E62D5"/>
    <w:rsid w:val="099F12A5"/>
    <w:rsid w:val="099F1422"/>
    <w:rsid w:val="099F15D7"/>
    <w:rsid w:val="09A017D8"/>
    <w:rsid w:val="09A2275D"/>
    <w:rsid w:val="09A23581"/>
    <w:rsid w:val="09A301DE"/>
    <w:rsid w:val="09A536E1"/>
    <w:rsid w:val="09A66A4D"/>
    <w:rsid w:val="09A775EB"/>
    <w:rsid w:val="09A777B0"/>
    <w:rsid w:val="09A84666"/>
    <w:rsid w:val="09AA18C7"/>
    <w:rsid w:val="09AB20DD"/>
    <w:rsid w:val="09AB5E2F"/>
    <w:rsid w:val="09AC2C7C"/>
    <w:rsid w:val="09AC4D17"/>
    <w:rsid w:val="09AC590E"/>
    <w:rsid w:val="09AE41F5"/>
    <w:rsid w:val="09AE656F"/>
    <w:rsid w:val="09B01A72"/>
    <w:rsid w:val="09B12D77"/>
    <w:rsid w:val="09B174F4"/>
    <w:rsid w:val="09B207F9"/>
    <w:rsid w:val="09B329F7"/>
    <w:rsid w:val="09B43CFC"/>
    <w:rsid w:val="09B5177D"/>
    <w:rsid w:val="09B51B61"/>
    <w:rsid w:val="09B55EFA"/>
    <w:rsid w:val="09B6253B"/>
    <w:rsid w:val="09B62700"/>
    <w:rsid w:val="09B6397C"/>
    <w:rsid w:val="09B743C8"/>
    <w:rsid w:val="09B90184"/>
    <w:rsid w:val="09BA2382"/>
    <w:rsid w:val="09BA51F2"/>
    <w:rsid w:val="09BB3687"/>
    <w:rsid w:val="09BB5885"/>
    <w:rsid w:val="09BB7E03"/>
    <w:rsid w:val="09BC1108"/>
    <w:rsid w:val="09BD6B8A"/>
    <w:rsid w:val="09BE0882"/>
    <w:rsid w:val="09BE7CE3"/>
    <w:rsid w:val="09BF208D"/>
    <w:rsid w:val="09BF428B"/>
    <w:rsid w:val="09C01D0D"/>
    <w:rsid w:val="09C01FBF"/>
    <w:rsid w:val="09C1299A"/>
    <w:rsid w:val="09C1778E"/>
    <w:rsid w:val="09C23012"/>
    <w:rsid w:val="09C51A18"/>
    <w:rsid w:val="09C56195"/>
    <w:rsid w:val="09C63C16"/>
    <w:rsid w:val="09C67499"/>
    <w:rsid w:val="09C71698"/>
    <w:rsid w:val="09C74F1B"/>
    <w:rsid w:val="09C828C8"/>
    <w:rsid w:val="09C8299C"/>
    <w:rsid w:val="09C82D35"/>
    <w:rsid w:val="09C87119"/>
    <w:rsid w:val="09C87767"/>
    <w:rsid w:val="09C9041E"/>
    <w:rsid w:val="09C91E87"/>
    <w:rsid w:val="09CA0B1C"/>
    <w:rsid w:val="09CA1CEA"/>
    <w:rsid w:val="09CA261C"/>
    <w:rsid w:val="09CC13A3"/>
    <w:rsid w:val="09CD35A1"/>
    <w:rsid w:val="09CE1022"/>
    <w:rsid w:val="09CE25B1"/>
    <w:rsid w:val="09CF2327"/>
    <w:rsid w:val="09D04526"/>
    <w:rsid w:val="09D11FA7"/>
    <w:rsid w:val="09D1582A"/>
    <w:rsid w:val="09D232AC"/>
    <w:rsid w:val="09D30D2D"/>
    <w:rsid w:val="09D32F2C"/>
    <w:rsid w:val="09D354AA"/>
    <w:rsid w:val="09D37BC5"/>
    <w:rsid w:val="09D405A0"/>
    <w:rsid w:val="09D467AF"/>
    <w:rsid w:val="09D5642F"/>
    <w:rsid w:val="09D71932"/>
    <w:rsid w:val="09D724F3"/>
    <w:rsid w:val="09D77734"/>
    <w:rsid w:val="09D83A6D"/>
    <w:rsid w:val="09D851B5"/>
    <w:rsid w:val="09D92CC0"/>
    <w:rsid w:val="09D94E35"/>
    <w:rsid w:val="09DA28B7"/>
    <w:rsid w:val="09DA460A"/>
    <w:rsid w:val="09DA536D"/>
    <w:rsid w:val="09DA6CC4"/>
    <w:rsid w:val="09DB0338"/>
    <w:rsid w:val="09DD383B"/>
    <w:rsid w:val="09DE12BD"/>
    <w:rsid w:val="09DF0839"/>
    <w:rsid w:val="09DF6D3E"/>
    <w:rsid w:val="09E00043"/>
    <w:rsid w:val="09E047C0"/>
    <w:rsid w:val="09E11F77"/>
    <w:rsid w:val="09E12241"/>
    <w:rsid w:val="09E15AC5"/>
    <w:rsid w:val="09E22951"/>
    <w:rsid w:val="09E23546"/>
    <w:rsid w:val="09E27CC3"/>
    <w:rsid w:val="09E35745"/>
    <w:rsid w:val="09E46A49"/>
    <w:rsid w:val="09E50C48"/>
    <w:rsid w:val="09E544CB"/>
    <w:rsid w:val="09E576CD"/>
    <w:rsid w:val="09E66C8B"/>
    <w:rsid w:val="09E7414B"/>
    <w:rsid w:val="09E759BE"/>
    <w:rsid w:val="09E75FE1"/>
    <w:rsid w:val="09E9764E"/>
    <w:rsid w:val="09EA50CF"/>
    <w:rsid w:val="09EB63D4"/>
    <w:rsid w:val="09EC2210"/>
    <w:rsid w:val="09EC6054"/>
    <w:rsid w:val="09ED18D7"/>
    <w:rsid w:val="09ED3AD6"/>
    <w:rsid w:val="09EE1557"/>
    <w:rsid w:val="09EF4DDA"/>
    <w:rsid w:val="09F04A5A"/>
    <w:rsid w:val="09F31262"/>
    <w:rsid w:val="09F337E1"/>
    <w:rsid w:val="09F43460"/>
    <w:rsid w:val="09F46CE4"/>
    <w:rsid w:val="09F54765"/>
    <w:rsid w:val="09F621E7"/>
    <w:rsid w:val="09F675A4"/>
    <w:rsid w:val="09F743E5"/>
    <w:rsid w:val="09F75FDB"/>
    <w:rsid w:val="09F77C68"/>
    <w:rsid w:val="09F856EA"/>
    <w:rsid w:val="09F9316B"/>
    <w:rsid w:val="09FA0BED"/>
    <w:rsid w:val="09FA45C2"/>
    <w:rsid w:val="09FB2DEB"/>
    <w:rsid w:val="09FB666F"/>
    <w:rsid w:val="09FC086D"/>
    <w:rsid w:val="09FC1918"/>
    <w:rsid w:val="09FC40F0"/>
    <w:rsid w:val="09FD1B72"/>
    <w:rsid w:val="09FD5EAA"/>
    <w:rsid w:val="09FF2C83"/>
    <w:rsid w:val="09FF5075"/>
    <w:rsid w:val="0A002AF6"/>
    <w:rsid w:val="0A011554"/>
    <w:rsid w:val="0A03366B"/>
    <w:rsid w:val="0A033A7B"/>
    <w:rsid w:val="0A051860"/>
    <w:rsid w:val="0A054BE4"/>
    <w:rsid w:val="0A056DB5"/>
    <w:rsid w:val="0A056F7E"/>
    <w:rsid w:val="0A072481"/>
    <w:rsid w:val="0A086CFC"/>
    <w:rsid w:val="0A087F03"/>
    <w:rsid w:val="0A0976D6"/>
    <w:rsid w:val="0A0A00B0"/>
    <w:rsid w:val="0A0A3406"/>
    <w:rsid w:val="0A0B0C4F"/>
    <w:rsid w:val="0A0B6909"/>
    <w:rsid w:val="0A0C438A"/>
    <w:rsid w:val="0A0D1E0C"/>
    <w:rsid w:val="0A0D238C"/>
    <w:rsid w:val="0A0F3741"/>
    <w:rsid w:val="0A0F530F"/>
    <w:rsid w:val="0A102D91"/>
    <w:rsid w:val="0A126294"/>
    <w:rsid w:val="0A1263F7"/>
    <w:rsid w:val="0A133D15"/>
    <w:rsid w:val="0A136F96"/>
    <w:rsid w:val="0A141797"/>
    <w:rsid w:val="0A147970"/>
    <w:rsid w:val="0A147B34"/>
    <w:rsid w:val="0A157218"/>
    <w:rsid w:val="0A171C4C"/>
    <w:rsid w:val="0A18019D"/>
    <w:rsid w:val="0A182626"/>
    <w:rsid w:val="0A183A20"/>
    <w:rsid w:val="0A193000"/>
    <w:rsid w:val="0A195C1F"/>
    <w:rsid w:val="0A1A36A0"/>
    <w:rsid w:val="0A1B473E"/>
    <w:rsid w:val="0A1B49A5"/>
    <w:rsid w:val="0A1C6BA3"/>
    <w:rsid w:val="0A1D7EA8"/>
    <w:rsid w:val="0A1E20A6"/>
    <w:rsid w:val="0A1E592A"/>
    <w:rsid w:val="0A1F0A4A"/>
    <w:rsid w:val="0A1F0DB5"/>
    <w:rsid w:val="0A1F33AB"/>
    <w:rsid w:val="0A1F7B28"/>
    <w:rsid w:val="0A2001BE"/>
    <w:rsid w:val="0A200E2D"/>
    <w:rsid w:val="0A2055A9"/>
    <w:rsid w:val="0A211347"/>
    <w:rsid w:val="0A21150B"/>
    <w:rsid w:val="0A21302B"/>
    <w:rsid w:val="0A2148F3"/>
    <w:rsid w:val="0A217411"/>
    <w:rsid w:val="0A217932"/>
    <w:rsid w:val="0A220AAD"/>
    <w:rsid w:val="0A224330"/>
    <w:rsid w:val="0A232A84"/>
    <w:rsid w:val="0A241A31"/>
    <w:rsid w:val="0A243FB0"/>
    <w:rsid w:val="0A262D36"/>
    <w:rsid w:val="0A263993"/>
    <w:rsid w:val="0A2707B8"/>
    <w:rsid w:val="0A2729B6"/>
    <w:rsid w:val="0A280437"/>
    <w:rsid w:val="0A286115"/>
    <w:rsid w:val="0A293CBB"/>
    <w:rsid w:val="0A2A7852"/>
    <w:rsid w:val="0A2B13BC"/>
    <w:rsid w:val="0A2C6E3E"/>
    <w:rsid w:val="0A2D0142"/>
    <w:rsid w:val="0A2D3AC2"/>
    <w:rsid w:val="0A2D48BF"/>
    <w:rsid w:val="0A2F3646"/>
    <w:rsid w:val="0A2F7DC2"/>
    <w:rsid w:val="0A304297"/>
    <w:rsid w:val="0A305844"/>
    <w:rsid w:val="0A314FFA"/>
    <w:rsid w:val="0A320D47"/>
    <w:rsid w:val="0A33204C"/>
    <w:rsid w:val="0A3367C8"/>
    <w:rsid w:val="0A34424A"/>
    <w:rsid w:val="0A346F4D"/>
    <w:rsid w:val="0A347ACD"/>
    <w:rsid w:val="0A362FD0"/>
    <w:rsid w:val="0A36774D"/>
    <w:rsid w:val="0A3906D2"/>
    <w:rsid w:val="0A3A19D7"/>
    <w:rsid w:val="0A3A3B56"/>
    <w:rsid w:val="0A3A6153"/>
    <w:rsid w:val="0A3C4EDA"/>
    <w:rsid w:val="0A3C5294"/>
    <w:rsid w:val="0A3C70D8"/>
    <w:rsid w:val="0A3D295B"/>
    <w:rsid w:val="0A3D4B5A"/>
    <w:rsid w:val="0A3D5E32"/>
    <w:rsid w:val="0A3E680D"/>
    <w:rsid w:val="0A3F005D"/>
    <w:rsid w:val="0A3F5E5E"/>
    <w:rsid w:val="0A407F4A"/>
    <w:rsid w:val="0A413560"/>
    <w:rsid w:val="0A420FE1"/>
    <w:rsid w:val="0A451F66"/>
    <w:rsid w:val="0A4557E9"/>
    <w:rsid w:val="0A46326B"/>
    <w:rsid w:val="0A463FB5"/>
    <w:rsid w:val="0A464179"/>
    <w:rsid w:val="0A4679E7"/>
    <w:rsid w:val="0A475469"/>
    <w:rsid w:val="0A4756F2"/>
    <w:rsid w:val="0A48676E"/>
    <w:rsid w:val="0A49096C"/>
    <w:rsid w:val="0A4915EC"/>
    <w:rsid w:val="0A4A63EE"/>
    <w:rsid w:val="0A4B75EA"/>
    <w:rsid w:val="0A4B76F2"/>
    <w:rsid w:val="0A4C18F1"/>
    <w:rsid w:val="0A4C631C"/>
    <w:rsid w:val="0A4C70C9"/>
    <w:rsid w:val="0A4D175D"/>
    <w:rsid w:val="0A4D1921"/>
    <w:rsid w:val="0A4D2BF6"/>
    <w:rsid w:val="0A4D5FB1"/>
    <w:rsid w:val="0A4D7372"/>
    <w:rsid w:val="0A4E0677"/>
    <w:rsid w:val="0A4E4DF4"/>
    <w:rsid w:val="0A4F016A"/>
    <w:rsid w:val="0A4F60F9"/>
    <w:rsid w:val="0A5002F7"/>
    <w:rsid w:val="0A503B7A"/>
    <w:rsid w:val="0A514413"/>
    <w:rsid w:val="0A52707D"/>
    <w:rsid w:val="0A534AFF"/>
    <w:rsid w:val="0A54477F"/>
    <w:rsid w:val="0A556F05"/>
    <w:rsid w:val="0A56047D"/>
    <w:rsid w:val="0A563076"/>
    <w:rsid w:val="0A573505"/>
    <w:rsid w:val="0A596A08"/>
    <w:rsid w:val="0A5A1C12"/>
    <w:rsid w:val="0A5A448A"/>
    <w:rsid w:val="0A5A6688"/>
    <w:rsid w:val="0A5B1F0B"/>
    <w:rsid w:val="0A5B3CD2"/>
    <w:rsid w:val="0A5C540E"/>
    <w:rsid w:val="0A5C798D"/>
    <w:rsid w:val="0A5D301F"/>
    <w:rsid w:val="0A5D760D"/>
    <w:rsid w:val="0A5E0911"/>
    <w:rsid w:val="0A5E508E"/>
    <w:rsid w:val="0A5E5DEA"/>
    <w:rsid w:val="0A607363"/>
    <w:rsid w:val="0A611896"/>
    <w:rsid w:val="0A617D3D"/>
    <w:rsid w:val="0A6208DC"/>
    <w:rsid w:val="0A631516"/>
    <w:rsid w:val="0A634D99"/>
    <w:rsid w:val="0A641E54"/>
    <w:rsid w:val="0A64281B"/>
    <w:rsid w:val="0A65029C"/>
    <w:rsid w:val="0A663F6C"/>
    <w:rsid w:val="0A67379F"/>
    <w:rsid w:val="0A681221"/>
    <w:rsid w:val="0A6845A4"/>
    <w:rsid w:val="0A6854E5"/>
    <w:rsid w:val="0A693642"/>
    <w:rsid w:val="0A693D18"/>
    <w:rsid w:val="0A696248"/>
    <w:rsid w:val="0A696CA3"/>
    <w:rsid w:val="0A6A6C22"/>
    <w:rsid w:val="0A6B1C9E"/>
    <w:rsid w:val="0A6B21A6"/>
    <w:rsid w:val="0A6C019B"/>
    <w:rsid w:val="0A6C0360"/>
    <w:rsid w:val="0A6F0BAC"/>
    <w:rsid w:val="0A6F22B3"/>
    <w:rsid w:val="0A70662D"/>
    <w:rsid w:val="0A7140AF"/>
    <w:rsid w:val="0A721B30"/>
    <w:rsid w:val="0A7279A9"/>
    <w:rsid w:val="0A730EA2"/>
    <w:rsid w:val="0A735943"/>
    <w:rsid w:val="0A750537"/>
    <w:rsid w:val="0A757080"/>
    <w:rsid w:val="0A7764F5"/>
    <w:rsid w:val="0A7814BB"/>
    <w:rsid w:val="0A791B72"/>
    <w:rsid w:val="0A791D37"/>
    <w:rsid w:val="0A7A254C"/>
    <w:rsid w:val="0A7A49BE"/>
    <w:rsid w:val="0A7A5B4A"/>
    <w:rsid w:val="0A7B2255"/>
    <w:rsid w:val="0A7C035C"/>
    <w:rsid w:val="0A7C7EC1"/>
    <w:rsid w:val="0A7D53C7"/>
    <w:rsid w:val="0A7D5943"/>
    <w:rsid w:val="0A7E33C5"/>
    <w:rsid w:val="0A7E5203"/>
    <w:rsid w:val="0A7E5DA1"/>
    <w:rsid w:val="0A7E6C48"/>
    <w:rsid w:val="0A7F0E46"/>
    <w:rsid w:val="0A7F46C9"/>
    <w:rsid w:val="0A80214B"/>
    <w:rsid w:val="0A8168BF"/>
    <w:rsid w:val="0A817BCD"/>
    <w:rsid w:val="0A817EB9"/>
    <w:rsid w:val="0A8330D0"/>
    <w:rsid w:val="0A83784C"/>
    <w:rsid w:val="0A8452CE"/>
    <w:rsid w:val="0A8511F3"/>
    <w:rsid w:val="0A8565D3"/>
    <w:rsid w:val="0A8605FC"/>
    <w:rsid w:val="0A871AD6"/>
    <w:rsid w:val="0A891756"/>
    <w:rsid w:val="0A8A2A5A"/>
    <w:rsid w:val="0A8A71D7"/>
    <w:rsid w:val="0A8B04DC"/>
    <w:rsid w:val="0A8B4C59"/>
    <w:rsid w:val="0A8C015C"/>
    <w:rsid w:val="0A8C26DA"/>
    <w:rsid w:val="0A8C7778"/>
    <w:rsid w:val="0A8D0EB6"/>
    <w:rsid w:val="0A8D39DF"/>
    <w:rsid w:val="0A8E365F"/>
    <w:rsid w:val="0A902E09"/>
    <w:rsid w:val="0A906B62"/>
    <w:rsid w:val="0A9123E5"/>
    <w:rsid w:val="0A9139A7"/>
    <w:rsid w:val="0A9145E4"/>
    <w:rsid w:val="0A922065"/>
    <w:rsid w:val="0A924546"/>
    <w:rsid w:val="0A9358E8"/>
    <w:rsid w:val="0A937AE7"/>
    <w:rsid w:val="0A943144"/>
    <w:rsid w:val="0A945568"/>
    <w:rsid w:val="0A952FEA"/>
    <w:rsid w:val="0A95686D"/>
    <w:rsid w:val="0A9642EF"/>
    <w:rsid w:val="0A973977"/>
    <w:rsid w:val="0A9805B1"/>
    <w:rsid w:val="0A9877F2"/>
    <w:rsid w:val="0A9919F0"/>
    <w:rsid w:val="0A995273"/>
    <w:rsid w:val="0A9B4EF3"/>
    <w:rsid w:val="0A9C61F8"/>
    <w:rsid w:val="0A9D3C79"/>
    <w:rsid w:val="0A9E16FB"/>
    <w:rsid w:val="0A9E5E78"/>
    <w:rsid w:val="0A9F38F9"/>
    <w:rsid w:val="0AA0137B"/>
    <w:rsid w:val="0AA12680"/>
    <w:rsid w:val="0AA16DFC"/>
    <w:rsid w:val="0AA20101"/>
    <w:rsid w:val="0AA2487E"/>
    <w:rsid w:val="0AA27E70"/>
    <w:rsid w:val="0AA30A0F"/>
    <w:rsid w:val="0AA322FF"/>
    <w:rsid w:val="0AA35B83"/>
    <w:rsid w:val="0AA415AE"/>
    <w:rsid w:val="0AA51086"/>
    <w:rsid w:val="0AA53284"/>
    <w:rsid w:val="0AA60D06"/>
    <w:rsid w:val="0AA73501"/>
    <w:rsid w:val="0AA74589"/>
    <w:rsid w:val="0AA755DF"/>
    <w:rsid w:val="0AA76787"/>
    <w:rsid w:val="0AA8200A"/>
    <w:rsid w:val="0AA84209"/>
    <w:rsid w:val="0AA91C8A"/>
    <w:rsid w:val="0AA97A8C"/>
    <w:rsid w:val="0AAA770C"/>
    <w:rsid w:val="0AAB518D"/>
    <w:rsid w:val="0AAB6B91"/>
    <w:rsid w:val="0AAC78F4"/>
    <w:rsid w:val="0AAD3F14"/>
    <w:rsid w:val="0AAE0CA9"/>
    <w:rsid w:val="0AAE6112"/>
    <w:rsid w:val="0AAF3B94"/>
    <w:rsid w:val="0AB01615"/>
    <w:rsid w:val="0AB018BB"/>
    <w:rsid w:val="0AB04E98"/>
    <w:rsid w:val="0AB1291A"/>
    <w:rsid w:val="0AB17097"/>
    <w:rsid w:val="0AB17A28"/>
    <w:rsid w:val="0AB17F49"/>
    <w:rsid w:val="0AB2039C"/>
    <w:rsid w:val="0AB24B18"/>
    <w:rsid w:val="0AB2675B"/>
    <w:rsid w:val="0AB26E31"/>
    <w:rsid w:val="0AB3259A"/>
    <w:rsid w:val="0AB359AE"/>
    <w:rsid w:val="0AB35D19"/>
    <w:rsid w:val="0AB35E1D"/>
    <w:rsid w:val="0AB4389F"/>
    <w:rsid w:val="0AB55A9D"/>
    <w:rsid w:val="0AB56615"/>
    <w:rsid w:val="0AB6351E"/>
    <w:rsid w:val="0AB66DA2"/>
    <w:rsid w:val="0AB66FEF"/>
    <w:rsid w:val="0AB70FA0"/>
    <w:rsid w:val="0AB74823"/>
    <w:rsid w:val="0AB77B8E"/>
    <w:rsid w:val="0AB8072D"/>
    <w:rsid w:val="0AB944A3"/>
    <w:rsid w:val="0AB97D26"/>
    <w:rsid w:val="0ABA57A8"/>
    <w:rsid w:val="0ABC0CAB"/>
    <w:rsid w:val="0ABD3BF9"/>
    <w:rsid w:val="0ABD672D"/>
    <w:rsid w:val="0ABE63AC"/>
    <w:rsid w:val="0ABF2205"/>
    <w:rsid w:val="0ABF3E2E"/>
    <w:rsid w:val="0AC15133"/>
    <w:rsid w:val="0AC168AF"/>
    <w:rsid w:val="0AC17331"/>
    <w:rsid w:val="0AC22BB4"/>
    <w:rsid w:val="0AC24DB3"/>
    <w:rsid w:val="0AC2744D"/>
    <w:rsid w:val="0AC27FEC"/>
    <w:rsid w:val="0AC30636"/>
    <w:rsid w:val="0AC32834"/>
    <w:rsid w:val="0AC37E28"/>
    <w:rsid w:val="0AC41A19"/>
    <w:rsid w:val="0AC515BB"/>
    <w:rsid w:val="0AC53B39"/>
    <w:rsid w:val="0AC55D37"/>
    <w:rsid w:val="0AC637B9"/>
    <w:rsid w:val="0AC6703C"/>
    <w:rsid w:val="0AC72140"/>
    <w:rsid w:val="0AC74ABE"/>
    <w:rsid w:val="0AC8421B"/>
    <w:rsid w:val="0AC86CBC"/>
    <w:rsid w:val="0AC94A31"/>
    <w:rsid w:val="0ACA278E"/>
    <w:rsid w:val="0ACA5A42"/>
    <w:rsid w:val="0ACB7550"/>
    <w:rsid w:val="0ACD78AC"/>
    <w:rsid w:val="0ACE430C"/>
    <w:rsid w:val="0ACE49E2"/>
    <w:rsid w:val="0ACF355F"/>
    <w:rsid w:val="0AD0794C"/>
    <w:rsid w:val="0AD12F3C"/>
    <w:rsid w:val="0AD153CD"/>
    <w:rsid w:val="0AD22E4F"/>
    <w:rsid w:val="0AD23ADB"/>
    <w:rsid w:val="0AD45054"/>
    <w:rsid w:val="0AD46352"/>
    <w:rsid w:val="0AD55A2E"/>
    <w:rsid w:val="0AD61855"/>
    <w:rsid w:val="0AD656DD"/>
    <w:rsid w:val="0AD927DA"/>
    <w:rsid w:val="0ADA025B"/>
    <w:rsid w:val="0ADC2637"/>
    <w:rsid w:val="0ADC71BF"/>
    <w:rsid w:val="0ADD6413"/>
    <w:rsid w:val="0ADE46E3"/>
    <w:rsid w:val="0ADF2164"/>
    <w:rsid w:val="0AE07BE6"/>
    <w:rsid w:val="0AE15667"/>
    <w:rsid w:val="0AE16A2B"/>
    <w:rsid w:val="0AE230E9"/>
    <w:rsid w:val="0AE30B6B"/>
    <w:rsid w:val="0AE3696C"/>
    <w:rsid w:val="0AE37FA3"/>
    <w:rsid w:val="0AE4097E"/>
    <w:rsid w:val="0AE465EC"/>
    <w:rsid w:val="0AE51E6F"/>
    <w:rsid w:val="0AE572A2"/>
    <w:rsid w:val="0AE578F1"/>
    <w:rsid w:val="0AE61AEF"/>
    <w:rsid w:val="0AE65372"/>
    <w:rsid w:val="0AE72C5A"/>
    <w:rsid w:val="0AE72DF4"/>
    <w:rsid w:val="0AE77571"/>
    <w:rsid w:val="0AE8346F"/>
    <w:rsid w:val="0AEA04F5"/>
    <w:rsid w:val="0AEA3D79"/>
    <w:rsid w:val="0AEA4BAD"/>
    <w:rsid w:val="0AEB1110"/>
    <w:rsid w:val="0AEB147C"/>
    <w:rsid w:val="0AEB5587"/>
    <w:rsid w:val="0AEB5F77"/>
    <w:rsid w:val="0AEB62EA"/>
    <w:rsid w:val="0AEC01AE"/>
    <w:rsid w:val="0AEC39F9"/>
    <w:rsid w:val="0AEC6126"/>
    <w:rsid w:val="0AEC727C"/>
    <w:rsid w:val="0AEC7FF8"/>
    <w:rsid w:val="0AED4CFD"/>
    <w:rsid w:val="0AED6D2B"/>
    <w:rsid w:val="0AED7922"/>
    <w:rsid w:val="0AEE3D69"/>
    <w:rsid w:val="0AEE6EFC"/>
    <w:rsid w:val="0AEF0200"/>
    <w:rsid w:val="0AEF497D"/>
    <w:rsid w:val="0AF023FF"/>
    <w:rsid w:val="0AF05C82"/>
    <w:rsid w:val="0AF13704"/>
    <w:rsid w:val="0AF17E80"/>
    <w:rsid w:val="0AF22EF3"/>
    <w:rsid w:val="0AF36C07"/>
    <w:rsid w:val="0AF40E05"/>
    <w:rsid w:val="0AF4446C"/>
    <w:rsid w:val="0AF5210A"/>
    <w:rsid w:val="0AF5500B"/>
    <w:rsid w:val="0AF56886"/>
    <w:rsid w:val="0AF67B8B"/>
    <w:rsid w:val="0AF7780B"/>
    <w:rsid w:val="0AF83222"/>
    <w:rsid w:val="0AF8528D"/>
    <w:rsid w:val="0AF86F5E"/>
    <w:rsid w:val="0AF90B10"/>
    <w:rsid w:val="0AF92D0E"/>
    <w:rsid w:val="0AFA069B"/>
    <w:rsid w:val="0AFA0790"/>
    <w:rsid w:val="0AFA3738"/>
    <w:rsid w:val="0AFB20FF"/>
    <w:rsid w:val="0AFB4013"/>
    <w:rsid w:val="0AFB6211"/>
    <w:rsid w:val="0AFC16BE"/>
    <w:rsid w:val="0AFC3C93"/>
    <w:rsid w:val="0AFD1714"/>
    <w:rsid w:val="0AFD318D"/>
    <w:rsid w:val="0AFD4F98"/>
    <w:rsid w:val="0AFD7516"/>
    <w:rsid w:val="0AFF049B"/>
    <w:rsid w:val="0B002699"/>
    <w:rsid w:val="0B0052A5"/>
    <w:rsid w:val="0B005469"/>
    <w:rsid w:val="0B005F1C"/>
    <w:rsid w:val="0B02141F"/>
    <w:rsid w:val="0B022D92"/>
    <w:rsid w:val="0B044923"/>
    <w:rsid w:val="0B050935"/>
    <w:rsid w:val="0B0523A4"/>
    <w:rsid w:val="0B056B21"/>
    <w:rsid w:val="0B0645A2"/>
    <w:rsid w:val="0B067E26"/>
    <w:rsid w:val="0B072024"/>
    <w:rsid w:val="0B072072"/>
    <w:rsid w:val="0B083329"/>
    <w:rsid w:val="0B0835EB"/>
    <w:rsid w:val="0B087AA5"/>
    <w:rsid w:val="0B090DAA"/>
    <w:rsid w:val="0B093FC6"/>
    <w:rsid w:val="0B09418A"/>
    <w:rsid w:val="0B095527"/>
    <w:rsid w:val="0B0A2FA9"/>
    <w:rsid w:val="0B0A4206"/>
    <w:rsid w:val="0B0A4D29"/>
    <w:rsid w:val="0B0A682C"/>
    <w:rsid w:val="0B0B42AD"/>
    <w:rsid w:val="0B0C1D2F"/>
    <w:rsid w:val="0B0D77B0"/>
    <w:rsid w:val="0B0E19AF"/>
    <w:rsid w:val="0B0E5232"/>
    <w:rsid w:val="0B0F03B9"/>
    <w:rsid w:val="0B0F4EB2"/>
    <w:rsid w:val="0B102933"/>
    <w:rsid w:val="0B1103B5"/>
    <w:rsid w:val="0B1161B7"/>
    <w:rsid w:val="0B120D44"/>
    <w:rsid w:val="0B123C38"/>
    <w:rsid w:val="0B125E37"/>
    <w:rsid w:val="0B1316BA"/>
    <w:rsid w:val="0B1338B8"/>
    <w:rsid w:val="0B143885"/>
    <w:rsid w:val="0B143A4A"/>
    <w:rsid w:val="0B14713B"/>
    <w:rsid w:val="0B156DBB"/>
    <w:rsid w:val="0B16263E"/>
    <w:rsid w:val="0B16483D"/>
    <w:rsid w:val="0B16599D"/>
    <w:rsid w:val="0B177790"/>
    <w:rsid w:val="0B1835C3"/>
    <w:rsid w:val="0B186F16"/>
    <w:rsid w:val="0B187D40"/>
    <w:rsid w:val="0B1A3243"/>
    <w:rsid w:val="0B1B0CC4"/>
    <w:rsid w:val="0B1B4548"/>
    <w:rsid w:val="0B1C1D90"/>
    <w:rsid w:val="0B1C6746"/>
    <w:rsid w:val="0B1D7A4B"/>
    <w:rsid w:val="0B1E2F42"/>
    <w:rsid w:val="0B1E3309"/>
    <w:rsid w:val="0B1E54CC"/>
    <w:rsid w:val="0B1F76CB"/>
    <w:rsid w:val="0B2009CF"/>
    <w:rsid w:val="0B20425A"/>
    <w:rsid w:val="0B20514C"/>
    <w:rsid w:val="0B212BCE"/>
    <w:rsid w:val="0B2360D1"/>
    <w:rsid w:val="0B2367D5"/>
    <w:rsid w:val="0B243B52"/>
    <w:rsid w:val="0B247F12"/>
    <w:rsid w:val="0B2508ED"/>
    <w:rsid w:val="0B2522D8"/>
    <w:rsid w:val="0B254E57"/>
    <w:rsid w:val="0B261376"/>
    <w:rsid w:val="0B261650"/>
    <w:rsid w:val="0B261C02"/>
    <w:rsid w:val="0B2628D9"/>
    <w:rsid w:val="0B267056"/>
    <w:rsid w:val="0B27035A"/>
    <w:rsid w:val="0B270E55"/>
    <w:rsid w:val="0B272559"/>
    <w:rsid w:val="0B295A5C"/>
    <w:rsid w:val="0B2A12DF"/>
    <w:rsid w:val="0B2B0F5F"/>
    <w:rsid w:val="0B2B6D61"/>
    <w:rsid w:val="0B2C56BA"/>
    <w:rsid w:val="0B2D6095"/>
    <w:rsid w:val="0B2E5767"/>
    <w:rsid w:val="0B2F77D2"/>
    <w:rsid w:val="0B2F7965"/>
    <w:rsid w:val="0B300F0F"/>
    <w:rsid w:val="0B310D4B"/>
    <w:rsid w:val="0B3166EB"/>
    <w:rsid w:val="0B32416D"/>
    <w:rsid w:val="0B331BEE"/>
    <w:rsid w:val="0B343A01"/>
    <w:rsid w:val="0B344AB5"/>
    <w:rsid w:val="0B3543DB"/>
    <w:rsid w:val="0B367E19"/>
    <w:rsid w:val="0B3705F5"/>
    <w:rsid w:val="0B386076"/>
    <w:rsid w:val="0B3A1579"/>
    <w:rsid w:val="0B3A7C30"/>
    <w:rsid w:val="0B3B07CF"/>
    <w:rsid w:val="0B3B6FFB"/>
    <w:rsid w:val="0B3C4A7C"/>
    <w:rsid w:val="0B3D1B83"/>
    <w:rsid w:val="0B3D1D48"/>
    <w:rsid w:val="0B3D24FE"/>
    <w:rsid w:val="0B3F5A01"/>
    <w:rsid w:val="0B426986"/>
    <w:rsid w:val="0B434407"/>
    <w:rsid w:val="0B45415B"/>
    <w:rsid w:val="0B45790A"/>
    <w:rsid w:val="0B462E0D"/>
    <w:rsid w:val="0B46538C"/>
    <w:rsid w:val="0B481FE1"/>
    <w:rsid w:val="0B485434"/>
    <w:rsid w:val="0B486311"/>
    <w:rsid w:val="0B491B94"/>
    <w:rsid w:val="0B493D92"/>
    <w:rsid w:val="0B4A7615"/>
    <w:rsid w:val="0B4B2302"/>
    <w:rsid w:val="0B4B5097"/>
    <w:rsid w:val="0B4B7295"/>
    <w:rsid w:val="0B4C4D17"/>
    <w:rsid w:val="0B4D059A"/>
    <w:rsid w:val="0B4D2798"/>
    <w:rsid w:val="0B4D37F6"/>
    <w:rsid w:val="0B4E021A"/>
    <w:rsid w:val="0B4E133B"/>
    <w:rsid w:val="0B4E3A9D"/>
    <w:rsid w:val="0B4E601C"/>
    <w:rsid w:val="0B4F5C9B"/>
    <w:rsid w:val="0B4F7789"/>
    <w:rsid w:val="0B50371D"/>
    <w:rsid w:val="0B510EC7"/>
    <w:rsid w:val="0B51119F"/>
    <w:rsid w:val="0B514A22"/>
    <w:rsid w:val="0B5169F5"/>
    <w:rsid w:val="0B5224A3"/>
    <w:rsid w:val="0B526C20"/>
    <w:rsid w:val="0B5346A2"/>
    <w:rsid w:val="0B5379F5"/>
    <w:rsid w:val="0B537BAB"/>
    <w:rsid w:val="0B542E1A"/>
    <w:rsid w:val="0B5459A6"/>
    <w:rsid w:val="0B553428"/>
    <w:rsid w:val="0B560EAA"/>
    <w:rsid w:val="0B57692B"/>
    <w:rsid w:val="0B5843AD"/>
    <w:rsid w:val="0B591E2E"/>
    <w:rsid w:val="0B5964AA"/>
    <w:rsid w:val="0B5965AB"/>
    <w:rsid w:val="0B59720D"/>
    <w:rsid w:val="0B5A402C"/>
    <w:rsid w:val="0B5A78B0"/>
    <w:rsid w:val="0B5C7530"/>
    <w:rsid w:val="0B5D0834"/>
    <w:rsid w:val="0B5E04B4"/>
    <w:rsid w:val="0B5E26D9"/>
    <w:rsid w:val="0B5E2A33"/>
    <w:rsid w:val="0B5E62B6"/>
    <w:rsid w:val="0B5F3278"/>
    <w:rsid w:val="0B5F3D37"/>
    <w:rsid w:val="0B5F5F36"/>
    <w:rsid w:val="0B6017B9"/>
    <w:rsid w:val="0B603655"/>
    <w:rsid w:val="0B6039B7"/>
    <w:rsid w:val="0B603C52"/>
    <w:rsid w:val="0B611439"/>
    <w:rsid w:val="0B6149B5"/>
    <w:rsid w:val="0B61723B"/>
    <w:rsid w:val="0B624CBC"/>
    <w:rsid w:val="0B62538F"/>
    <w:rsid w:val="0B626EBA"/>
    <w:rsid w:val="0B6308AD"/>
    <w:rsid w:val="0B63273E"/>
    <w:rsid w:val="0B646ACD"/>
    <w:rsid w:val="0B655C41"/>
    <w:rsid w:val="0B6574A7"/>
    <w:rsid w:val="0B657E3F"/>
    <w:rsid w:val="0B660046"/>
    <w:rsid w:val="0B661144"/>
    <w:rsid w:val="0B6658C1"/>
    <w:rsid w:val="0B667E81"/>
    <w:rsid w:val="0B670A20"/>
    <w:rsid w:val="0B670BE4"/>
    <w:rsid w:val="0B676BC5"/>
    <w:rsid w:val="0B6813FA"/>
    <w:rsid w:val="0B68215D"/>
    <w:rsid w:val="0B684647"/>
    <w:rsid w:val="0B691F99"/>
    <w:rsid w:val="0B6A7B4A"/>
    <w:rsid w:val="0B6B1D48"/>
    <w:rsid w:val="0B6C77CA"/>
    <w:rsid w:val="0B6D0ACF"/>
    <w:rsid w:val="0B6D524B"/>
    <w:rsid w:val="0B6D5629"/>
    <w:rsid w:val="0B6D57EE"/>
    <w:rsid w:val="0B6E6353"/>
    <w:rsid w:val="0B6F3FD2"/>
    <w:rsid w:val="0B6F4ED0"/>
    <w:rsid w:val="0B701A53"/>
    <w:rsid w:val="0B70448E"/>
    <w:rsid w:val="0B704644"/>
    <w:rsid w:val="0B7061D0"/>
    <w:rsid w:val="0B713C52"/>
    <w:rsid w:val="0B7216D3"/>
    <w:rsid w:val="0B724F56"/>
    <w:rsid w:val="0B7329D8"/>
    <w:rsid w:val="0B737155"/>
    <w:rsid w:val="0B7423F7"/>
    <w:rsid w:val="0B752F96"/>
    <w:rsid w:val="0B755EDB"/>
    <w:rsid w:val="0B7600D9"/>
    <w:rsid w:val="0B76395D"/>
    <w:rsid w:val="0B765B5B"/>
    <w:rsid w:val="0B7713DE"/>
    <w:rsid w:val="0B7735DC"/>
    <w:rsid w:val="0B7750AD"/>
    <w:rsid w:val="0B7948E1"/>
    <w:rsid w:val="0B796626"/>
    <w:rsid w:val="0B796AE0"/>
    <w:rsid w:val="0B7A2363"/>
    <w:rsid w:val="0B7A4561"/>
    <w:rsid w:val="0B7B7DE4"/>
    <w:rsid w:val="0B7C097A"/>
    <w:rsid w:val="0B7C7A64"/>
    <w:rsid w:val="0B7D7F39"/>
    <w:rsid w:val="0B7E0D69"/>
    <w:rsid w:val="0B7E2F67"/>
    <w:rsid w:val="0B7E67EB"/>
    <w:rsid w:val="0B7E74F7"/>
    <w:rsid w:val="0B7F09E9"/>
    <w:rsid w:val="0B7F2855"/>
    <w:rsid w:val="0B7F6074"/>
    <w:rsid w:val="0B801CEE"/>
    <w:rsid w:val="0B813DCE"/>
    <w:rsid w:val="0B813EEC"/>
    <w:rsid w:val="0B82196E"/>
    <w:rsid w:val="0B8251F1"/>
    <w:rsid w:val="0B832C72"/>
    <w:rsid w:val="0B834E1E"/>
    <w:rsid w:val="0B835347"/>
    <w:rsid w:val="0B835865"/>
    <w:rsid w:val="0B8373EF"/>
    <w:rsid w:val="0B844E71"/>
    <w:rsid w:val="0B846A84"/>
    <w:rsid w:val="0B8528F2"/>
    <w:rsid w:val="0B860374"/>
    <w:rsid w:val="0B86206A"/>
    <w:rsid w:val="0B863BF7"/>
    <w:rsid w:val="0B875DF5"/>
    <w:rsid w:val="0B883877"/>
    <w:rsid w:val="0B8912F8"/>
    <w:rsid w:val="0B891CA7"/>
    <w:rsid w:val="0B891F50"/>
    <w:rsid w:val="0B8A2AEF"/>
    <w:rsid w:val="0B8A2CB3"/>
    <w:rsid w:val="0B8B007F"/>
    <w:rsid w:val="0B8B23AB"/>
    <w:rsid w:val="0B8C227D"/>
    <w:rsid w:val="0B8C4068"/>
    <w:rsid w:val="0B8D3582"/>
    <w:rsid w:val="0B8D4C06"/>
    <w:rsid w:val="0B8D4DCB"/>
    <w:rsid w:val="0B8E1003"/>
    <w:rsid w:val="0B8F0C83"/>
    <w:rsid w:val="0B8F3202"/>
    <w:rsid w:val="0B8F6344"/>
    <w:rsid w:val="0B8F6A85"/>
    <w:rsid w:val="0B904506"/>
    <w:rsid w:val="0B911F88"/>
    <w:rsid w:val="0B9176F8"/>
    <w:rsid w:val="0B920297"/>
    <w:rsid w:val="0B927A0A"/>
    <w:rsid w:val="0B9319D4"/>
    <w:rsid w:val="0B93548B"/>
    <w:rsid w:val="0B937689"/>
    <w:rsid w:val="0B942F0D"/>
    <w:rsid w:val="0B94510B"/>
    <w:rsid w:val="0B95098E"/>
    <w:rsid w:val="0B966410"/>
    <w:rsid w:val="0B973E91"/>
    <w:rsid w:val="0B9744C6"/>
    <w:rsid w:val="0B984EA0"/>
    <w:rsid w:val="0B985065"/>
    <w:rsid w:val="0B987394"/>
    <w:rsid w:val="0B994E16"/>
    <w:rsid w:val="0B9B0319"/>
    <w:rsid w:val="0B9B6FB8"/>
    <w:rsid w:val="0B9C5D9B"/>
    <w:rsid w:val="0B9C7B56"/>
    <w:rsid w:val="0B9D06F5"/>
    <w:rsid w:val="0B9D381C"/>
    <w:rsid w:val="0B9E10CF"/>
    <w:rsid w:val="0B9E129E"/>
    <w:rsid w:val="0B9F0258"/>
    <w:rsid w:val="0BA352FE"/>
    <w:rsid w:val="0BA431A7"/>
    <w:rsid w:val="0BA550E1"/>
    <w:rsid w:val="0BA7412C"/>
    <w:rsid w:val="0BA81BAD"/>
    <w:rsid w:val="0BA965B8"/>
    <w:rsid w:val="0BA96923"/>
    <w:rsid w:val="0BAA4B3E"/>
    <w:rsid w:val="0BAA50B0"/>
    <w:rsid w:val="0BAC05B3"/>
    <w:rsid w:val="0BAD4BBE"/>
    <w:rsid w:val="0BAD4D82"/>
    <w:rsid w:val="0BAD6A61"/>
    <w:rsid w:val="0BAE3AB7"/>
    <w:rsid w:val="0BAF4DBB"/>
    <w:rsid w:val="0BB0283D"/>
    <w:rsid w:val="0BB04A3B"/>
    <w:rsid w:val="0BB06CD5"/>
    <w:rsid w:val="0BB27F3E"/>
    <w:rsid w:val="0BB359C0"/>
    <w:rsid w:val="0BB4198C"/>
    <w:rsid w:val="0BB66944"/>
    <w:rsid w:val="0BB721C8"/>
    <w:rsid w:val="0BB80509"/>
    <w:rsid w:val="0BB81E48"/>
    <w:rsid w:val="0BB87FE9"/>
    <w:rsid w:val="0BB9314C"/>
    <w:rsid w:val="0BBA0BCE"/>
    <w:rsid w:val="0BBA534B"/>
    <w:rsid w:val="0BBB664F"/>
    <w:rsid w:val="0BBC40D1"/>
    <w:rsid w:val="0BBC7CD2"/>
    <w:rsid w:val="0BBD62CF"/>
    <w:rsid w:val="0BBE124B"/>
    <w:rsid w:val="0BBF5056"/>
    <w:rsid w:val="0BC02AD7"/>
    <w:rsid w:val="0BC07254"/>
    <w:rsid w:val="0BC1319E"/>
    <w:rsid w:val="0BC14CD6"/>
    <w:rsid w:val="0BC23F01"/>
    <w:rsid w:val="0BC25FDA"/>
    <w:rsid w:val="0BC414DD"/>
    <w:rsid w:val="0BC536DC"/>
    <w:rsid w:val="0BC56F5F"/>
    <w:rsid w:val="0BC6115D"/>
    <w:rsid w:val="0BC63A93"/>
    <w:rsid w:val="0BC72462"/>
    <w:rsid w:val="0BC74660"/>
    <w:rsid w:val="0BC773CD"/>
    <w:rsid w:val="0BC81A19"/>
    <w:rsid w:val="0BC820E2"/>
    <w:rsid w:val="0BC87EE4"/>
    <w:rsid w:val="0BC916A9"/>
    <w:rsid w:val="0BC95965"/>
    <w:rsid w:val="0BCA33E7"/>
    <w:rsid w:val="0BCA55E5"/>
    <w:rsid w:val="0BCB3067"/>
    <w:rsid w:val="0BCD656A"/>
    <w:rsid w:val="0BCE0B0C"/>
    <w:rsid w:val="0BCE1DED"/>
    <w:rsid w:val="0BCE3FEB"/>
    <w:rsid w:val="0BCE4B75"/>
    <w:rsid w:val="0BCF1A6D"/>
    <w:rsid w:val="0BCF786E"/>
    <w:rsid w:val="0BD02D72"/>
    <w:rsid w:val="0BD107F3"/>
    <w:rsid w:val="0BD14F70"/>
    <w:rsid w:val="0BD229F1"/>
    <w:rsid w:val="0BD27BF6"/>
    <w:rsid w:val="0BD30473"/>
    <w:rsid w:val="0BD40DA4"/>
    <w:rsid w:val="0BD45DE9"/>
    <w:rsid w:val="0BD45EF5"/>
    <w:rsid w:val="0BD6231D"/>
    <w:rsid w:val="0BD726FC"/>
    <w:rsid w:val="0BD76E79"/>
    <w:rsid w:val="0BD848FB"/>
    <w:rsid w:val="0BD9237C"/>
    <w:rsid w:val="0BD95C00"/>
    <w:rsid w:val="0BDA3681"/>
    <w:rsid w:val="0BDB587F"/>
    <w:rsid w:val="0BDC6B84"/>
    <w:rsid w:val="0BDC70EB"/>
    <w:rsid w:val="0BDD4606"/>
    <w:rsid w:val="0BDD7AC5"/>
    <w:rsid w:val="0BDE6804"/>
    <w:rsid w:val="0BDF4286"/>
    <w:rsid w:val="0BDF7B09"/>
    <w:rsid w:val="0BE0558A"/>
    <w:rsid w:val="0BE1277B"/>
    <w:rsid w:val="0BE1300C"/>
    <w:rsid w:val="0BE20A8D"/>
    <w:rsid w:val="0BE22C8C"/>
    <w:rsid w:val="0BE3070D"/>
    <w:rsid w:val="0BE34556"/>
    <w:rsid w:val="0BE3650F"/>
    <w:rsid w:val="0BE43F91"/>
    <w:rsid w:val="0BE45432"/>
    <w:rsid w:val="0BE4618F"/>
    <w:rsid w:val="0BE51A12"/>
    <w:rsid w:val="0BE53C10"/>
    <w:rsid w:val="0BE67494"/>
    <w:rsid w:val="0BE74F15"/>
    <w:rsid w:val="0BE77549"/>
    <w:rsid w:val="0BE80418"/>
    <w:rsid w:val="0BE95E9A"/>
    <w:rsid w:val="0BEA0098"/>
    <w:rsid w:val="0BEB5B1A"/>
    <w:rsid w:val="0BEC359B"/>
    <w:rsid w:val="0BEC6E1F"/>
    <w:rsid w:val="0BED3778"/>
    <w:rsid w:val="0BED43B6"/>
    <w:rsid w:val="0BEE2322"/>
    <w:rsid w:val="0BEE4152"/>
    <w:rsid w:val="0BEE6A9E"/>
    <w:rsid w:val="0BEF0644"/>
    <w:rsid w:val="0BEF7DA3"/>
    <w:rsid w:val="0BF00DCF"/>
    <w:rsid w:val="0BF056CB"/>
    <w:rsid w:val="0BF132A6"/>
    <w:rsid w:val="0BF17A23"/>
    <w:rsid w:val="0BF20D28"/>
    <w:rsid w:val="0BF254A5"/>
    <w:rsid w:val="0BF26C44"/>
    <w:rsid w:val="0BF31366"/>
    <w:rsid w:val="0BF32558"/>
    <w:rsid w:val="0BF32F26"/>
    <w:rsid w:val="0BF367A9"/>
    <w:rsid w:val="0BF40F20"/>
    <w:rsid w:val="0BF518FA"/>
    <w:rsid w:val="0BF51CAC"/>
    <w:rsid w:val="0BF56429"/>
    <w:rsid w:val="0BF7192C"/>
    <w:rsid w:val="0BF73038"/>
    <w:rsid w:val="0BF751B0"/>
    <w:rsid w:val="0BF82C31"/>
    <w:rsid w:val="0BF83BD6"/>
    <w:rsid w:val="0BF873AE"/>
    <w:rsid w:val="0BF906B3"/>
    <w:rsid w:val="0BF928B1"/>
    <w:rsid w:val="0BFA0333"/>
    <w:rsid w:val="0BFA514F"/>
    <w:rsid w:val="0BFB5B29"/>
    <w:rsid w:val="0BFB5DB4"/>
    <w:rsid w:val="0BFC6504"/>
    <w:rsid w:val="0BFC66C8"/>
    <w:rsid w:val="0BFE4B3A"/>
    <w:rsid w:val="0BFF25BC"/>
    <w:rsid w:val="0C003508"/>
    <w:rsid w:val="0C005ABF"/>
    <w:rsid w:val="0C020FC2"/>
    <w:rsid w:val="0C022D96"/>
    <w:rsid w:val="0C036A44"/>
    <w:rsid w:val="0C0444C5"/>
    <w:rsid w:val="0C044A0F"/>
    <w:rsid w:val="0C051F47"/>
    <w:rsid w:val="0C0553E9"/>
    <w:rsid w:val="0C0679C8"/>
    <w:rsid w:val="0C076B26"/>
    <w:rsid w:val="0C082ECB"/>
    <w:rsid w:val="0C095AC4"/>
    <w:rsid w:val="0C0A63CF"/>
    <w:rsid w:val="0C0C18D2"/>
    <w:rsid w:val="0C0C21B7"/>
    <w:rsid w:val="0C0D7353"/>
    <w:rsid w:val="0C0E410A"/>
    <w:rsid w:val="0C0E42CE"/>
    <w:rsid w:val="0C105683"/>
    <w:rsid w:val="0C115D59"/>
    <w:rsid w:val="0C1237DB"/>
    <w:rsid w:val="0C126DC0"/>
    <w:rsid w:val="0C1618B2"/>
    <w:rsid w:val="0C165A64"/>
    <w:rsid w:val="0C172450"/>
    <w:rsid w:val="0C172615"/>
    <w:rsid w:val="0C1734E6"/>
    <w:rsid w:val="0C177C63"/>
    <w:rsid w:val="0C180F68"/>
    <w:rsid w:val="0C193B8E"/>
    <w:rsid w:val="0C1A446B"/>
    <w:rsid w:val="0C1B40EA"/>
    <w:rsid w:val="0C1C1A45"/>
    <w:rsid w:val="0C1C1B6C"/>
    <w:rsid w:val="0C1C796E"/>
    <w:rsid w:val="0C1D53EF"/>
    <w:rsid w:val="0C1D75EE"/>
    <w:rsid w:val="0C1E506F"/>
    <w:rsid w:val="0C1E7DBD"/>
    <w:rsid w:val="0C1F767A"/>
    <w:rsid w:val="0C201171"/>
    <w:rsid w:val="0C203DF5"/>
    <w:rsid w:val="0C206374"/>
    <w:rsid w:val="0C215FF4"/>
    <w:rsid w:val="0C2272F9"/>
    <w:rsid w:val="0C234D7A"/>
    <w:rsid w:val="0C2410DF"/>
    <w:rsid w:val="0C2427FC"/>
    <w:rsid w:val="0C243E28"/>
    <w:rsid w:val="0C246F78"/>
    <w:rsid w:val="0C2549C6"/>
    <w:rsid w:val="0C265CFF"/>
    <w:rsid w:val="0C28597F"/>
    <w:rsid w:val="0C286ADE"/>
    <w:rsid w:val="0C296C83"/>
    <w:rsid w:val="0C2974B8"/>
    <w:rsid w:val="0C2A0A31"/>
    <w:rsid w:val="0C2A0E82"/>
    <w:rsid w:val="0C2A4705"/>
    <w:rsid w:val="0C2B2187"/>
    <w:rsid w:val="0C2B6903"/>
    <w:rsid w:val="0C2C1FAA"/>
    <w:rsid w:val="0C2D2B48"/>
    <w:rsid w:val="0C2D2C04"/>
    <w:rsid w:val="0C2E310B"/>
    <w:rsid w:val="0C304E24"/>
    <w:rsid w:val="0C30660E"/>
    <w:rsid w:val="0C3157FF"/>
    <w:rsid w:val="0C31628E"/>
    <w:rsid w:val="0C32639D"/>
    <w:rsid w:val="0C337593"/>
    <w:rsid w:val="0C345014"/>
    <w:rsid w:val="0C360518"/>
    <w:rsid w:val="0C361A2E"/>
    <w:rsid w:val="0C362716"/>
    <w:rsid w:val="0C3725CC"/>
    <w:rsid w:val="0C383A1B"/>
    <w:rsid w:val="0C385C19"/>
    <w:rsid w:val="0C393B45"/>
    <w:rsid w:val="0C396F1E"/>
    <w:rsid w:val="0C3B2421"/>
    <w:rsid w:val="0C3B3C7D"/>
    <w:rsid w:val="0C3B6B9E"/>
    <w:rsid w:val="0C3C7EA2"/>
    <w:rsid w:val="0C3D20A1"/>
    <w:rsid w:val="0C3D32CF"/>
    <w:rsid w:val="0C3E71D6"/>
    <w:rsid w:val="0C3E7B22"/>
    <w:rsid w:val="0C3F0E27"/>
    <w:rsid w:val="0C3F55A4"/>
    <w:rsid w:val="0C3F7BB0"/>
    <w:rsid w:val="0C40074F"/>
    <w:rsid w:val="0C410AA7"/>
    <w:rsid w:val="0C4112ED"/>
    <w:rsid w:val="0C421DAC"/>
    <w:rsid w:val="0C421E8C"/>
    <w:rsid w:val="0C433FAA"/>
    <w:rsid w:val="0C43782D"/>
    <w:rsid w:val="0C441A2C"/>
    <w:rsid w:val="0C443FA3"/>
    <w:rsid w:val="0C4452AF"/>
    <w:rsid w:val="0C452D30"/>
    <w:rsid w:val="0C45497E"/>
    <w:rsid w:val="0C45530D"/>
    <w:rsid w:val="0C4574AD"/>
    <w:rsid w:val="0C461A3B"/>
    <w:rsid w:val="0C464F2F"/>
    <w:rsid w:val="0C465358"/>
    <w:rsid w:val="0C4729B0"/>
    <w:rsid w:val="0C483CB5"/>
    <w:rsid w:val="0C49746F"/>
    <w:rsid w:val="0C497634"/>
    <w:rsid w:val="0C4A13B6"/>
    <w:rsid w:val="0C4A39D3"/>
    <w:rsid w:val="0C4A7332"/>
    <w:rsid w:val="0C4B0BAD"/>
    <w:rsid w:val="0C4C26BB"/>
    <w:rsid w:val="0C4C48B9"/>
    <w:rsid w:val="0C4D013D"/>
    <w:rsid w:val="0C4E2B00"/>
    <w:rsid w:val="0C4E7DBD"/>
    <w:rsid w:val="0C4F583E"/>
    <w:rsid w:val="0C5010C1"/>
    <w:rsid w:val="0C5032C0"/>
    <w:rsid w:val="0C510D41"/>
    <w:rsid w:val="0C522046"/>
    <w:rsid w:val="0C526355"/>
    <w:rsid w:val="0C536D2F"/>
    <w:rsid w:val="0C537AC8"/>
    <w:rsid w:val="0C5502A8"/>
    <w:rsid w:val="0C560A4C"/>
    <w:rsid w:val="0C572C4B"/>
    <w:rsid w:val="0C577EF6"/>
    <w:rsid w:val="0C581E7A"/>
    <w:rsid w:val="0C583F4F"/>
    <w:rsid w:val="0C59614E"/>
    <w:rsid w:val="0C5A3BCF"/>
    <w:rsid w:val="0C5B1651"/>
    <w:rsid w:val="0C5B4ED4"/>
    <w:rsid w:val="0C5C70D2"/>
    <w:rsid w:val="0C5E25D5"/>
    <w:rsid w:val="0C5E5E59"/>
    <w:rsid w:val="0C5F0057"/>
    <w:rsid w:val="0C5F38DA"/>
    <w:rsid w:val="0C600706"/>
    <w:rsid w:val="0C600E4F"/>
    <w:rsid w:val="0C60355A"/>
    <w:rsid w:val="0C610FDC"/>
    <w:rsid w:val="0C616DDD"/>
    <w:rsid w:val="0C62485F"/>
    <w:rsid w:val="0C647D62"/>
    <w:rsid w:val="0C653F5B"/>
    <w:rsid w:val="0C664657"/>
    <w:rsid w:val="0C664AFA"/>
    <w:rsid w:val="0C664D2E"/>
    <w:rsid w:val="0C670CE7"/>
    <w:rsid w:val="0C673A60"/>
    <w:rsid w:val="0C6841EA"/>
    <w:rsid w:val="0C686768"/>
    <w:rsid w:val="0C691C6B"/>
    <w:rsid w:val="0C6A7427"/>
    <w:rsid w:val="0C6A76ED"/>
    <w:rsid w:val="0C6B516E"/>
    <w:rsid w:val="0C6C2BF0"/>
    <w:rsid w:val="0C6D0671"/>
    <w:rsid w:val="0C6D1703"/>
    <w:rsid w:val="0C6E60F3"/>
    <w:rsid w:val="0C6F381A"/>
    <w:rsid w:val="0C717078"/>
    <w:rsid w:val="0C724AF9"/>
    <w:rsid w:val="0C725932"/>
    <w:rsid w:val="0C73257B"/>
    <w:rsid w:val="0C746CE6"/>
    <w:rsid w:val="0C74719F"/>
    <w:rsid w:val="0C7634FF"/>
    <w:rsid w:val="0C770DFE"/>
    <w:rsid w:val="0C770F81"/>
    <w:rsid w:val="0C770FC2"/>
    <w:rsid w:val="0C786A02"/>
    <w:rsid w:val="0C795780"/>
    <w:rsid w:val="0C7A30DA"/>
    <w:rsid w:val="0C7B320A"/>
    <w:rsid w:val="0C7B4653"/>
    <w:rsid w:val="0C7C448E"/>
    <w:rsid w:val="0C7C502D"/>
    <w:rsid w:val="0C7C5409"/>
    <w:rsid w:val="0C7D2E8A"/>
    <w:rsid w:val="0C7D5BCC"/>
    <w:rsid w:val="0C7D670E"/>
    <w:rsid w:val="0C7E090C"/>
    <w:rsid w:val="0C7E418F"/>
    <w:rsid w:val="0C7F2609"/>
    <w:rsid w:val="0C7F638D"/>
    <w:rsid w:val="0C807692"/>
    <w:rsid w:val="0C807CE3"/>
    <w:rsid w:val="0C811890"/>
    <w:rsid w:val="0C815114"/>
    <w:rsid w:val="0C817312"/>
    <w:rsid w:val="0C822B95"/>
    <w:rsid w:val="0C824D94"/>
    <w:rsid w:val="0C830617"/>
    <w:rsid w:val="0C832815"/>
    <w:rsid w:val="0C840297"/>
    <w:rsid w:val="0C846098"/>
    <w:rsid w:val="0C855D18"/>
    <w:rsid w:val="0C857C6D"/>
    <w:rsid w:val="0C87121B"/>
    <w:rsid w:val="0C87701D"/>
    <w:rsid w:val="0C88548B"/>
    <w:rsid w:val="0C88602A"/>
    <w:rsid w:val="0C89471E"/>
    <w:rsid w:val="0C897FA2"/>
    <w:rsid w:val="0C8A21A0"/>
    <w:rsid w:val="0C8A5A23"/>
    <w:rsid w:val="0C8B34A5"/>
    <w:rsid w:val="0C8B7C21"/>
    <w:rsid w:val="0C8C0B1C"/>
    <w:rsid w:val="0C8C0F26"/>
    <w:rsid w:val="0C8D3125"/>
    <w:rsid w:val="0C8D69A8"/>
    <w:rsid w:val="0C8E0BA6"/>
    <w:rsid w:val="0C8E2094"/>
    <w:rsid w:val="0C8F1EAB"/>
    <w:rsid w:val="0C8F2DF7"/>
    <w:rsid w:val="0C9040A9"/>
    <w:rsid w:val="0C913FA4"/>
    <w:rsid w:val="0C9153AE"/>
    <w:rsid w:val="0C922E8C"/>
    <w:rsid w:val="0C923562"/>
    <w:rsid w:val="0C923718"/>
    <w:rsid w:val="0C923A83"/>
    <w:rsid w:val="0C9275AC"/>
    <w:rsid w:val="0C93502E"/>
    <w:rsid w:val="0C9358E9"/>
    <w:rsid w:val="0C942AAF"/>
    <w:rsid w:val="0C946333"/>
    <w:rsid w:val="0C953DB4"/>
    <w:rsid w:val="0C9576C0"/>
    <w:rsid w:val="0C965FB3"/>
    <w:rsid w:val="0C96783C"/>
    <w:rsid w:val="0C967A01"/>
    <w:rsid w:val="0C973A34"/>
    <w:rsid w:val="0C9814B6"/>
    <w:rsid w:val="0C984D39"/>
    <w:rsid w:val="0C9949B9"/>
    <w:rsid w:val="0C9A023C"/>
    <w:rsid w:val="0C9B3A6C"/>
    <w:rsid w:val="0C9B5CBE"/>
    <w:rsid w:val="0C9C373F"/>
    <w:rsid w:val="0C9C460A"/>
    <w:rsid w:val="0C9D11C1"/>
    <w:rsid w:val="0C9D51A9"/>
    <w:rsid w:val="0C9E0E40"/>
    <w:rsid w:val="0C9F6722"/>
    <w:rsid w:val="0C9F68C2"/>
    <w:rsid w:val="0CA02145"/>
    <w:rsid w:val="0CA11DC5"/>
    <w:rsid w:val="0CA15648"/>
    <w:rsid w:val="0CA17BC7"/>
    <w:rsid w:val="0CA267B8"/>
    <w:rsid w:val="0CA27847"/>
    <w:rsid w:val="0CA313D8"/>
    <w:rsid w:val="0CA33BE4"/>
    <w:rsid w:val="0CA352C8"/>
    <w:rsid w:val="0CA42951"/>
    <w:rsid w:val="0CA42D4A"/>
    <w:rsid w:val="0CA465CD"/>
    <w:rsid w:val="0CA507CB"/>
    <w:rsid w:val="0CA5278C"/>
    <w:rsid w:val="0CA63ECA"/>
    <w:rsid w:val="0CA73CCE"/>
    <w:rsid w:val="0CA84B3A"/>
    <w:rsid w:val="0CA85443"/>
    <w:rsid w:val="0CAA04D6"/>
    <w:rsid w:val="0CAA4C53"/>
    <w:rsid w:val="0CAA6B80"/>
    <w:rsid w:val="0CAB26D5"/>
    <w:rsid w:val="0CAB2EAE"/>
    <w:rsid w:val="0CAC0156"/>
    <w:rsid w:val="0CAD0AD3"/>
    <w:rsid w:val="0CAD33B7"/>
    <w:rsid w:val="0CAD5BD8"/>
    <w:rsid w:val="0CAE3659"/>
    <w:rsid w:val="0CAE6EDD"/>
    <w:rsid w:val="0CAF01B1"/>
    <w:rsid w:val="0CAF10DB"/>
    <w:rsid w:val="0CB023E0"/>
    <w:rsid w:val="0CB02BEB"/>
    <w:rsid w:val="0CB06B5C"/>
    <w:rsid w:val="0CB07099"/>
    <w:rsid w:val="0CB07770"/>
    <w:rsid w:val="0CB1205F"/>
    <w:rsid w:val="0CB145DE"/>
    <w:rsid w:val="0CB258E3"/>
    <w:rsid w:val="0CB358A1"/>
    <w:rsid w:val="0CB40DE6"/>
    <w:rsid w:val="0CB42FE4"/>
    <w:rsid w:val="0CB4627B"/>
    <w:rsid w:val="0CB50A66"/>
    <w:rsid w:val="0CB642E9"/>
    <w:rsid w:val="0CB664E7"/>
    <w:rsid w:val="0CB73F69"/>
    <w:rsid w:val="0CB9190B"/>
    <w:rsid w:val="0CB92CEF"/>
    <w:rsid w:val="0CB9526E"/>
    <w:rsid w:val="0CBA0771"/>
    <w:rsid w:val="0CBA266F"/>
    <w:rsid w:val="0CBB296F"/>
    <w:rsid w:val="0CBB61F2"/>
    <w:rsid w:val="0CBC03F1"/>
    <w:rsid w:val="0CBD0903"/>
    <w:rsid w:val="0CBD27D9"/>
    <w:rsid w:val="0CBD4786"/>
    <w:rsid w:val="0CBD5E72"/>
    <w:rsid w:val="0CBE22B8"/>
    <w:rsid w:val="0CBE38F4"/>
    <w:rsid w:val="0CBF1356"/>
    <w:rsid w:val="0CBF4BF8"/>
    <w:rsid w:val="0CC0267A"/>
    <w:rsid w:val="0CC06DF7"/>
    <w:rsid w:val="0CC100FC"/>
    <w:rsid w:val="0CC14878"/>
    <w:rsid w:val="0CC222FA"/>
    <w:rsid w:val="0CC25B7D"/>
    <w:rsid w:val="0CC335FF"/>
    <w:rsid w:val="0CC41080"/>
    <w:rsid w:val="0CC457FD"/>
    <w:rsid w:val="0CC5327E"/>
    <w:rsid w:val="0CC60D00"/>
    <w:rsid w:val="0CC72005"/>
    <w:rsid w:val="0CC73E81"/>
    <w:rsid w:val="0CC74046"/>
    <w:rsid w:val="0CC84203"/>
    <w:rsid w:val="0CCA2F89"/>
    <w:rsid w:val="0CCB5BAD"/>
    <w:rsid w:val="0CCB6973"/>
    <w:rsid w:val="0CCB6B37"/>
    <w:rsid w:val="0CCD3F0E"/>
    <w:rsid w:val="0CCE1990"/>
    <w:rsid w:val="0CCF7411"/>
    <w:rsid w:val="0CD04E93"/>
    <w:rsid w:val="0CD242DF"/>
    <w:rsid w:val="0CD25E17"/>
    <w:rsid w:val="0CD33899"/>
    <w:rsid w:val="0CD4131B"/>
    <w:rsid w:val="0CD6481E"/>
    <w:rsid w:val="0CD66DD1"/>
    <w:rsid w:val="0CD7229F"/>
    <w:rsid w:val="0CD87D21"/>
    <w:rsid w:val="0CD90EE9"/>
    <w:rsid w:val="0CD957A2"/>
    <w:rsid w:val="0CDB2461"/>
    <w:rsid w:val="0CDB2626"/>
    <w:rsid w:val="0CDC6727"/>
    <w:rsid w:val="0CDE1C2A"/>
    <w:rsid w:val="0CDE52DC"/>
    <w:rsid w:val="0CDF5CB6"/>
    <w:rsid w:val="0CDF76AC"/>
    <w:rsid w:val="0CE12BAF"/>
    <w:rsid w:val="0CE20630"/>
    <w:rsid w:val="0CE23EB3"/>
    <w:rsid w:val="0CE27C09"/>
    <w:rsid w:val="0CE307A8"/>
    <w:rsid w:val="0CE43B33"/>
    <w:rsid w:val="0CE5108B"/>
    <w:rsid w:val="0CE515B5"/>
    <w:rsid w:val="0CE628BA"/>
    <w:rsid w:val="0CE67036"/>
    <w:rsid w:val="0CE7033B"/>
    <w:rsid w:val="0CE74123"/>
    <w:rsid w:val="0CE74AB8"/>
    <w:rsid w:val="0CE8253A"/>
    <w:rsid w:val="0CE829B2"/>
    <w:rsid w:val="0CE91A4F"/>
    <w:rsid w:val="0CE95A3D"/>
    <w:rsid w:val="0CE97FBB"/>
    <w:rsid w:val="0CEA0261"/>
    <w:rsid w:val="0CEA0782"/>
    <w:rsid w:val="0CEA34BE"/>
    <w:rsid w:val="0CEC47C3"/>
    <w:rsid w:val="0CEC69C1"/>
    <w:rsid w:val="0CED2245"/>
    <w:rsid w:val="0CED4443"/>
    <w:rsid w:val="0CEE19B3"/>
    <w:rsid w:val="0CEE1EC4"/>
    <w:rsid w:val="0CF053C7"/>
    <w:rsid w:val="0CF10C4B"/>
    <w:rsid w:val="0CF12E49"/>
    <w:rsid w:val="0CF166CC"/>
    <w:rsid w:val="0CF22138"/>
    <w:rsid w:val="0CF31BCF"/>
    <w:rsid w:val="0CF3634C"/>
    <w:rsid w:val="0CF43DCE"/>
    <w:rsid w:val="0CF55810"/>
    <w:rsid w:val="0CF559D4"/>
    <w:rsid w:val="0CF62B54"/>
    <w:rsid w:val="0CF66F4D"/>
    <w:rsid w:val="0CF672D1"/>
    <w:rsid w:val="0CF705D6"/>
    <w:rsid w:val="0CF73EC1"/>
    <w:rsid w:val="0CF827D4"/>
    <w:rsid w:val="0CF91064"/>
    <w:rsid w:val="0CF9251D"/>
    <w:rsid w:val="0CF92889"/>
    <w:rsid w:val="0CF92DA9"/>
    <w:rsid w:val="0CFA1C03"/>
    <w:rsid w:val="0CFB25DD"/>
    <w:rsid w:val="0CFC4A5D"/>
    <w:rsid w:val="0CFE7F60"/>
    <w:rsid w:val="0CFF215F"/>
    <w:rsid w:val="0CFF59E2"/>
    <w:rsid w:val="0D003464"/>
    <w:rsid w:val="0D005C6E"/>
    <w:rsid w:val="0D007BE0"/>
    <w:rsid w:val="0D010EE5"/>
    <w:rsid w:val="0D015662"/>
    <w:rsid w:val="0D033DA9"/>
    <w:rsid w:val="0D0343E8"/>
    <w:rsid w:val="0D044068"/>
    <w:rsid w:val="0D0512FE"/>
    <w:rsid w:val="0D051AEA"/>
    <w:rsid w:val="0D0578EB"/>
    <w:rsid w:val="0D06536D"/>
    <w:rsid w:val="0D06756B"/>
    <w:rsid w:val="0D074FED"/>
    <w:rsid w:val="0D07573C"/>
    <w:rsid w:val="0D0904F0"/>
    <w:rsid w:val="0D0962F1"/>
    <w:rsid w:val="0D0A17F5"/>
    <w:rsid w:val="0D0A3D73"/>
    <w:rsid w:val="0D0A5F71"/>
    <w:rsid w:val="0D0B39F3"/>
    <w:rsid w:val="0D0C4CF8"/>
    <w:rsid w:val="0D0C6AA6"/>
    <w:rsid w:val="0D0D6EF6"/>
    <w:rsid w:val="0D1036FE"/>
    <w:rsid w:val="0D11117F"/>
    <w:rsid w:val="0D1336AF"/>
    <w:rsid w:val="0D134413"/>
    <w:rsid w:val="0D134683"/>
    <w:rsid w:val="0D140E7B"/>
    <w:rsid w:val="0D142104"/>
    <w:rsid w:val="0D144DED"/>
    <w:rsid w:val="0D146881"/>
    <w:rsid w:val="0D160909"/>
    <w:rsid w:val="0D165607"/>
    <w:rsid w:val="0D166366"/>
    <w:rsid w:val="0D16652A"/>
    <w:rsid w:val="0D166E01"/>
    <w:rsid w:val="0D166FB7"/>
    <w:rsid w:val="0D180B0A"/>
    <w:rsid w:val="0D185287"/>
    <w:rsid w:val="0D192D09"/>
    <w:rsid w:val="0D19658C"/>
    <w:rsid w:val="0D1A078A"/>
    <w:rsid w:val="0D1A101C"/>
    <w:rsid w:val="0D1A400D"/>
    <w:rsid w:val="0D1A620C"/>
    <w:rsid w:val="0D1C170F"/>
    <w:rsid w:val="0D1C7510"/>
    <w:rsid w:val="0D1F0495"/>
    <w:rsid w:val="0D1F46AC"/>
    <w:rsid w:val="0D205F17"/>
    <w:rsid w:val="0D215B97"/>
    <w:rsid w:val="0D22141A"/>
    <w:rsid w:val="0D223618"/>
    <w:rsid w:val="0D223EE4"/>
    <w:rsid w:val="0D226E9B"/>
    <w:rsid w:val="0D23109A"/>
    <w:rsid w:val="0D237A01"/>
    <w:rsid w:val="0D241949"/>
    <w:rsid w:val="0D24239E"/>
    <w:rsid w:val="0D2515DE"/>
    <w:rsid w:val="0D251794"/>
    <w:rsid w:val="0D257E20"/>
    <w:rsid w:val="0D26201E"/>
    <w:rsid w:val="0D273323"/>
    <w:rsid w:val="0D285521"/>
    <w:rsid w:val="0D292FA3"/>
    <w:rsid w:val="0D293F6C"/>
    <w:rsid w:val="0D296826"/>
    <w:rsid w:val="0D2A0A24"/>
    <w:rsid w:val="0D2A42A8"/>
    <w:rsid w:val="0D2A4946"/>
    <w:rsid w:val="0D2B1D29"/>
    <w:rsid w:val="0D2B64A6"/>
    <w:rsid w:val="0D2C3F28"/>
    <w:rsid w:val="0D2C77AB"/>
    <w:rsid w:val="0D2D03B4"/>
    <w:rsid w:val="0D2D19A9"/>
    <w:rsid w:val="0D2D522C"/>
    <w:rsid w:val="0D2D6C22"/>
    <w:rsid w:val="0D2F072F"/>
    <w:rsid w:val="0D30650C"/>
    <w:rsid w:val="0D3120EE"/>
    <w:rsid w:val="0D313C33"/>
    <w:rsid w:val="0D3216B4"/>
    <w:rsid w:val="0D322C8D"/>
    <w:rsid w:val="0D324647"/>
    <w:rsid w:val="0D32523E"/>
    <w:rsid w:val="0D344206"/>
    <w:rsid w:val="0D344BB7"/>
    <w:rsid w:val="0D352639"/>
    <w:rsid w:val="0D354F69"/>
    <w:rsid w:val="0D3600BA"/>
    <w:rsid w:val="0D375B3C"/>
    <w:rsid w:val="0D3835BD"/>
    <w:rsid w:val="0D39103F"/>
    <w:rsid w:val="0D3A05F9"/>
    <w:rsid w:val="0D3A4542"/>
    <w:rsid w:val="0D3B1FC4"/>
    <w:rsid w:val="0D3B6C32"/>
    <w:rsid w:val="0D3C7A45"/>
    <w:rsid w:val="0D3D54C7"/>
    <w:rsid w:val="0D3E2F48"/>
    <w:rsid w:val="0D407A1C"/>
    <w:rsid w:val="0D415DA1"/>
    <w:rsid w:val="0D42194E"/>
    <w:rsid w:val="0D450893"/>
    <w:rsid w:val="0D4528D3"/>
    <w:rsid w:val="0D471FD0"/>
    <w:rsid w:val="0D475DD6"/>
    <w:rsid w:val="0D4870DB"/>
    <w:rsid w:val="0D4940E8"/>
    <w:rsid w:val="0D494B5D"/>
    <w:rsid w:val="0D4A25DE"/>
    <w:rsid w:val="0D4B0060"/>
    <w:rsid w:val="0D4D3563"/>
    <w:rsid w:val="0D4D7CE0"/>
    <w:rsid w:val="0D4E0FE4"/>
    <w:rsid w:val="0D4F144C"/>
    <w:rsid w:val="0D4F196D"/>
    <w:rsid w:val="0D4F31E3"/>
    <w:rsid w:val="0D4F6A66"/>
    <w:rsid w:val="0D500C64"/>
    <w:rsid w:val="0D500CF1"/>
    <w:rsid w:val="0D5044E7"/>
    <w:rsid w:val="0D5116CB"/>
    <w:rsid w:val="0D5166E6"/>
    <w:rsid w:val="0D521BE9"/>
    <w:rsid w:val="0D52226A"/>
    <w:rsid w:val="0D53546C"/>
    <w:rsid w:val="0D53766A"/>
    <w:rsid w:val="0D5437E3"/>
    <w:rsid w:val="0D5439A7"/>
    <w:rsid w:val="0D552B6D"/>
    <w:rsid w:val="0D564D5C"/>
    <w:rsid w:val="0D5663F1"/>
    <w:rsid w:val="0D573E72"/>
    <w:rsid w:val="0D576071"/>
    <w:rsid w:val="0D5818F4"/>
    <w:rsid w:val="0D583AF2"/>
    <w:rsid w:val="0D591574"/>
    <w:rsid w:val="0D597375"/>
    <w:rsid w:val="0D5A2878"/>
    <w:rsid w:val="0D5A6FF5"/>
    <w:rsid w:val="0D5B02FA"/>
    <w:rsid w:val="0D5B4A77"/>
    <w:rsid w:val="0D5C4EF6"/>
    <w:rsid w:val="0D5D2504"/>
    <w:rsid w:val="0D5D26C8"/>
    <w:rsid w:val="0D5D37FD"/>
    <w:rsid w:val="0D5D7F7A"/>
    <w:rsid w:val="0D5E339D"/>
    <w:rsid w:val="0D5E3553"/>
    <w:rsid w:val="0D5E38BE"/>
    <w:rsid w:val="0D5E59FB"/>
    <w:rsid w:val="0D5F347D"/>
    <w:rsid w:val="0D604782"/>
    <w:rsid w:val="0D612203"/>
    <w:rsid w:val="0D621C7D"/>
    <w:rsid w:val="0D635706"/>
    <w:rsid w:val="0D636733"/>
    <w:rsid w:val="0D643188"/>
    <w:rsid w:val="0D647E70"/>
    <w:rsid w:val="0D650A0F"/>
    <w:rsid w:val="0D650C0A"/>
    <w:rsid w:val="0D656C27"/>
    <w:rsid w:val="0D662E08"/>
    <w:rsid w:val="0D66668B"/>
    <w:rsid w:val="0D671DC3"/>
    <w:rsid w:val="0D68630B"/>
    <w:rsid w:val="0D69333C"/>
    <w:rsid w:val="0D693500"/>
    <w:rsid w:val="0D6A180E"/>
    <w:rsid w:val="0D6A5091"/>
    <w:rsid w:val="0D6B4D11"/>
    <w:rsid w:val="0D6C0594"/>
    <w:rsid w:val="0D6C2793"/>
    <w:rsid w:val="0D6D0214"/>
    <w:rsid w:val="0D6D5138"/>
    <w:rsid w:val="0D6D61B7"/>
    <w:rsid w:val="0D6E5C96"/>
    <w:rsid w:val="0D6E6B91"/>
    <w:rsid w:val="0D710CA8"/>
    <w:rsid w:val="0D7359A1"/>
    <w:rsid w:val="0D743422"/>
    <w:rsid w:val="0D750EA4"/>
    <w:rsid w:val="0D755621"/>
    <w:rsid w:val="0D764D13"/>
    <w:rsid w:val="0D770B24"/>
    <w:rsid w:val="0D781E29"/>
    <w:rsid w:val="0D7865A5"/>
    <w:rsid w:val="0D796FEF"/>
    <w:rsid w:val="0D7978AA"/>
    <w:rsid w:val="0D7A1AA8"/>
    <w:rsid w:val="0D7B0568"/>
    <w:rsid w:val="0D7B2DAD"/>
    <w:rsid w:val="0D7B752A"/>
    <w:rsid w:val="0D7C082F"/>
    <w:rsid w:val="0D7C4FAB"/>
    <w:rsid w:val="0D7C7760"/>
    <w:rsid w:val="0D7D2605"/>
    <w:rsid w:val="0D7D2A2D"/>
    <w:rsid w:val="0D7D62B0"/>
    <w:rsid w:val="0D7E3D32"/>
    <w:rsid w:val="0D7F17B3"/>
    <w:rsid w:val="0D7F5F30"/>
    <w:rsid w:val="0D8039B2"/>
    <w:rsid w:val="0D807235"/>
    <w:rsid w:val="0D811A27"/>
    <w:rsid w:val="0D814CB6"/>
    <w:rsid w:val="0D817B82"/>
    <w:rsid w:val="0D826EB5"/>
    <w:rsid w:val="0D8301BA"/>
    <w:rsid w:val="0D834936"/>
    <w:rsid w:val="0D845C3B"/>
    <w:rsid w:val="0D847E39"/>
    <w:rsid w:val="0D8558BB"/>
    <w:rsid w:val="0D8609C6"/>
    <w:rsid w:val="0D86333C"/>
    <w:rsid w:val="0D870DBE"/>
    <w:rsid w:val="0D884641"/>
    <w:rsid w:val="0D886840"/>
    <w:rsid w:val="0D8942C1"/>
    <w:rsid w:val="0D896A37"/>
    <w:rsid w:val="0D8A1F3D"/>
    <w:rsid w:val="0D8A34B8"/>
    <w:rsid w:val="0D8B0022"/>
    <w:rsid w:val="0D8B55C6"/>
    <w:rsid w:val="0D8C0AC9"/>
    <w:rsid w:val="0D8C4A31"/>
    <w:rsid w:val="0D8E0749"/>
    <w:rsid w:val="0D8E3FCC"/>
    <w:rsid w:val="0D8E5FAA"/>
    <w:rsid w:val="0D8E6B48"/>
    <w:rsid w:val="0D900286"/>
    <w:rsid w:val="0D9074CF"/>
    <w:rsid w:val="0D9116CE"/>
    <w:rsid w:val="0D9217FF"/>
    <w:rsid w:val="0D9229D2"/>
    <w:rsid w:val="0D9261C3"/>
    <w:rsid w:val="0D92714F"/>
    <w:rsid w:val="0D934BD1"/>
    <w:rsid w:val="0D945ED5"/>
    <w:rsid w:val="0D953957"/>
    <w:rsid w:val="0D9848DC"/>
    <w:rsid w:val="0D98567C"/>
    <w:rsid w:val="0D985A2E"/>
    <w:rsid w:val="0D99235D"/>
    <w:rsid w:val="0D996408"/>
    <w:rsid w:val="0D9A585D"/>
    <w:rsid w:val="0D9C10BE"/>
    <w:rsid w:val="0D9C1ACC"/>
    <w:rsid w:val="0D9C32E2"/>
    <w:rsid w:val="0D9D0D63"/>
    <w:rsid w:val="0D9E2637"/>
    <w:rsid w:val="0D9E67E5"/>
    <w:rsid w:val="0D9F4266"/>
    <w:rsid w:val="0DA01CE8"/>
    <w:rsid w:val="0DA1776A"/>
    <w:rsid w:val="0DA25129"/>
    <w:rsid w:val="0DA306EE"/>
    <w:rsid w:val="0DA466A2"/>
    <w:rsid w:val="0DA5089B"/>
    <w:rsid w:val="0DA50C06"/>
    <w:rsid w:val="0DA57405"/>
    <w:rsid w:val="0DA61673"/>
    <w:rsid w:val="0DA76D42"/>
    <w:rsid w:val="0DA770F4"/>
    <w:rsid w:val="0DA8151C"/>
    <w:rsid w:val="0DA84B76"/>
    <w:rsid w:val="0DA925F8"/>
    <w:rsid w:val="0DAA28D1"/>
    <w:rsid w:val="0DAC357C"/>
    <w:rsid w:val="0DAC6DFF"/>
    <w:rsid w:val="0DAD0FFE"/>
    <w:rsid w:val="0DAD574B"/>
    <w:rsid w:val="0DAE2303"/>
    <w:rsid w:val="0DB01F82"/>
    <w:rsid w:val="0DB05806"/>
    <w:rsid w:val="0DB13287"/>
    <w:rsid w:val="0DB20D09"/>
    <w:rsid w:val="0DB20DDC"/>
    <w:rsid w:val="0DB317B6"/>
    <w:rsid w:val="0DB3678A"/>
    <w:rsid w:val="0DB4420C"/>
    <w:rsid w:val="0DB60FFE"/>
    <w:rsid w:val="0DB638CD"/>
    <w:rsid w:val="0DB63E8C"/>
    <w:rsid w:val="0DB7190D"/>
    <w:rsid w:val="0DB75190"/>
    <w:rsid w:val="0DB80BB5"/>
    <w:rsid w:val="0DB8738F"/>
    <w:rsid w:val="0DBA2892"/>
    <w:rsid w:val="0DBB3B97"/>
    <w:rsid w:val="0DBC069B"/>
    <w:rsid w:val="0DBC1618"/>
    <w:rsid w:val="0DBC3817"/>
    <w:rsid w:val="0DBD1075"/>
    <w:rsid w:val="0DBD701A"/>
    <w:rsid w:val="0DBD709A"/>
    <w:rsid w:val="0DBE0332"/>
    <w:rsid w:val="0DBE1C14"/>
    <w:rsid w:val="0DBE6D1A"/>
    <w:rsid w:val="0DBF259D"/>
    <w:rsid w:val="0DBF27B3"/>
    <w:rsid w:val="0DBF479B"/>
    <w:rsid w:val="0DC15AA0"/>
    <w:rsid w:val="0DC17C9E"/>
    <w:rsid w:val="0DC23522"/>
    <w:rsid w:val="0DC331A1"/>
    <w:rsid w:val="0DC350E0"/>
    <w:rsid w:val="0DC36A25"/>
    <w:rsid w:val="0DC40C23"/>
    <w:rsid w:val="0DC444A6"/>
    <w:rsid w:val="0DC51F28"/>
    <w:rsid w:val="0DC52DE4"/>
    <w:rsid w:val="0DC566A4"/>
    <w:rsid w:val="0DC573BC"/>
    <w:rsid w:val="0DC64126"/>
    <w:rsid w:val="0DC679A9"/>
    <w:rsid w:val="0DC70935"/>
    <w:rsid w:val="0DC82EAC"/>
    <w:rsid w:val="0DC87629"/>
    <w:rsid w:val="0DC9092E"/>
    <w:rsid w:val="0DC950AB"/>
    <w:rsid w:val="0DCA63AF"/>
    <w:rsid w:val="0DCB05AE"/>
    <w:rsid w:val="0DCB11DF"/>
    <w:rsid w:val="0DCB3427"/>
    <w:rsid w:val="0DCB3E31"/>
    <w:rsid w:val="0DCD49A0"/>
    <w:rsid w:val="0DCD7334"/>
    <w:rsid w:val="0DCE1532"/>
    <w:rsid w:val="0DCE4DB6"/>
    <w:rsid w:val="0DCF2837"/>
    <w:rsid w:val="0DD04A36"/>
    <w:rsid w:val="0DD06AB7"/>
    <w:rsid w:val="0DD124B7"/>
    <w:rsid w:val="0DD237BC"/>
    <w:rsid w:val="0DD30BCF"/>
    <w:rsid w:val="0DD3123D"/>
    <w:rsid w:val="0DD3343C"/>
    <w:rsid w:val="0DD353C1"/>
    <w:rsid w:val="0DD359BA"/>
    <w:rsid w:val="0DD46CBF"/>
    <w:rsid w:val="0DD5693F"/>
    <w:rsid w:val="0DD63885"/>
    <w:rsid w:val="0DD71E42"/>
    <w:rsid w:val="0DD77C44"/>
    <w:rsid w:val="0DD856C5"/>
    <w:rsid w:val="0DD878C3"/>
    <w:rsid w:val="0DD93147"/>
    <w:rsid w:val="0DDA0BC8"/>
    <w:rsid w:val="0DDA2DC7"/>
    <w:rsid w:val="0DDB40CB"/>
    <w:rsid w:val="0DDB664A"/>
    <w:rsid w:val="0DDC1B4D"/>
    <w:rsid w:val="0DDC62CA"/>
    <w:rsid w:val="0DDD048E"/>
    <w:rsid w:val="0DDD3D4B"/>
    <w:rsid w:val="0DDD75CE"/>
    <w:rsid w:val="0DDE102D"/>
    <w:rsid w:val="0DDE17CD"/>
    <w:rsid w:val="0DDE5050"/>
    <w:rsid w:val="0DDF1BCC"/>
    <w:rsid w:val="0DDF724E"/>
    <w:rsid w:val="0DE00553"/>
    <w:rsid w:val="0DE025A6"/>
    <w:rsid w:val="0DE04CD0"/>
    <w:rsid w:val="0DE12751"/>
    <w:rsid w:val="0DE15FD5"/>
    <w:rsid w:val="0DE2190D"/>
    <w:rsid w:val="0DE23A56"/>
    <w:rsid w:val="0DE279E8"/>
    <w:rsid w:val="0DE27B9E"/>
    <w:rsid w:val="0DE314D8"/>
    <w:rsid w:val="0DE35C55"/>
    <w:rsid w:val="0DE40111"/>
    <w:rsid w:val="0DE436D6"/>
    <w:rsid w:val="0DE46F59"/>
    <w:rsid w:val="0DE549DB"/>
    <w:rsid w:val="0DE567D5"/>
    <w:rsid w:val="0DE6245C"/>
    <w:rsid w:val="0DE67374"/>
    <w:rsid w:val="0DE7465B"/>
    <w:rsid w:val="0DE77F12"/>
    <w:rsid w:val="0DE820DC"/>
    <w:rsid w:val="0DE85960"/>
    <w:rsid w:val="0DE97B5E"/>
    <w:rsid w:val="0DEA1E65"/>
    <w:rsid w:val="0DEA55DF"/>
    <w:rsid w:val="0DEB68E4"/>
    <w:rsid w:val="0DEC0AE2"/>
    <w:rsid w:val="0DEC4366"/>
    <w:rsid w:val="0DEC6564"/>
    <w:rsid w:val="0DED1DE7"/>
    <w:rsid w:val="0DEE45AB"/>
    <w:rsid w:val="0DEE4B1B"/>
    <w:rsid w:val="0DF02010"/>
    <w:rsid w:val="0DF02D6C"/>
    <w:rsid w:val="0DF107ED"/>
    <w:rsid w:val="0DF129EC"/>
    <w:rsid w:val="0DF2046D"/>
    <w:rsid w:val="0DF2626F"/>
    <w:rsid w:val="0DF33CF1"/>
    <w:rsid w:val="0DF41772"/>
    <w:rsid w:val="0DF43970"/>
    <w:rsid w:val="0DF513F2"/>
    <w:rsid w:val="0DF54C75"/>
    <w:rsid w:val="0DF626F7"/>
    <w:rsid w:val="0DF66E74"/>
    <w:rsid w:val="0DF70178"/>
    <w:rsid w:val="0DF748F5"/>
    <w:rsid w:val="0DF82377"/>
    <w:rsid w:val="0DF85BFA"/>
    <w:rsid w:val="0DF9367B"/>
    <w:rsid w:val="0DFA10FD"/>
    <w:rsid w:val="0DFC7A6B"/>
    <w:rsid w:val="0DFD0446"/>
    <w:rsid w:val="0DFE559A"/>
    <w:rsid w:val="0DFE7B03"/>
    <w:rsid w:val="0DFF5585"/>
    <w:rsid w:val="0E003006"/>
    <w:rsid w:val="0E01348B"/>
    <w:rsid w:val="0E023C9B"/>
    <w:rsid w:val="0E026509"/>
    <w:rsid w:val="0E033F8B"/>
    <w:rsid w:val="0E0407B3"/>
    <w:rsid w:val="0E0453D8"/>
    <w:rsid w:val="0E055DB2"/>
    <w:rsid w:val="0E066951"/>
    <w:rsid w:val="0E087ECA"/>
    <w:rsid w:val="0E090A68"/>
    <w:rsid w:val="0E0A1FE1"/>
    <w:rsid w:val="0E0A3916"/>
    <w:rsid w:val="0E0B1397"/>
    <w:rsid w:val="0E0D231C"/>
    <w:rsid w:val="0E0D40F9"/>
    <w:rsid w:val="0E0F54AD"/>
    <w:rsid w:val="0E0F5672"/>
    <w:rsid w:val="0E1032A1"/>
    <w:rsid w:val="0E10604C"/>
    <w:rsid w:val="0E106210"/>
    <w:rsid w:val="0E110D22"/>
    <w:rsid w:val="0E130328"/>
    <w:rsid w:val="0E132027"/>
    <w:rsid w:val="0E134225"/>
    <w:rsid w:val="0E140D02"/>
    <w:rsid w:val="0E141CA7"/>
    <w:rsid w:val="0E152FAC"/>
    <w:rsid w:val="0E160A2D"/>
    <w:rsid w:val="0E1651AA"/>
    <w:rsid w:val="0E172C2B"/>
    <w:rsid w:val="0E1764AF"/>
    <w:rsid w:val="0E183F30"/>
    <w:rsid w:val="0E1919B2"/>
    <w:rsid w:val="0E19612F"/>
    <w:rsid w:val="0E1A2554"/>
    <w:rsid w:val="0E1B1632"/>
    <w:rsid w:val="0E1B17A7"/>
    <w:rsid w:val="0E1B64AA"/>
    <w:rsid w:val="0E1C1286"/>
    <w:rsid w:val="0E1C2936"/>
    <w:rsid w:val="0E1D4B35"/>
    <w:rsid w:val="0E1E25B6"/>
    <w:rsid w:val="0E1F38BB"/>
    <w:rsid w:val="0E20133D"/>
    <w:rsid w:val="0E201B3A"/>
    <w:rsid w:val="0E201CFF"/>
    <w:rsid w:val="0E216DBE"/>
    <w:rsid w:val="0E220FBD"/>
    <w:rsid w:val="0E2230B3"/>
    <w:rsid w:val="0E224840"/>
    <w:rsid w:val="0E233E16"/>
    <w:rsid w:val="0E236A3E"/>
    <w:rsid w:val="0E241F41"/>
    <w:rsid w:val="0E2557C4"/>
    <w:rsid w:val="0E255D69"/>
    <w:rsid w:val="0E270CC8"/>
    <w:rsid w:val="0E2774A7"/>
    <w:rsid w:val="0E280947"/>
    <w:rsid w:val="0E286749"/>
    <w:rsid w:val="0E287E81"/>
    <w:rsid w:val="0E29465B"/>
    <w:rsid w:val="0E29509C"/>
    <w:rsid w:val="0E2B18CC"/>
    <w:rsid w:val="0E2B76CE"/>
    <w:rsid w:val="0E2C2BD1"/>
    <w:rsid w:val="0E2C734E"/>
    <w:rsid w:val="0E2E60D4"/>
    <w:rsid w:val="0E2F02D2"/>
    <w:rsid w:val="0E2F4C4F"/>
    <w:rsid w:val="0E305629"/>
    <w:rsid w:val="0E321257"/>
    <w:rsid w:val="0E33255C"/>
    <w:rsid w:val="0E337741"/>
    <w:rsid w:val="0E34475A"/>
    <w:rsid w:val="0E355A5F"/>
    <w:rsid w:val="0E3620C1"/>
    <w:rsid w:val="0E362232"/>
    <w:rsid w:val="0E3623F7"/>
    <w:rsid w:val="0E370F62"/>
    <w:rsid w:val="0E3869E3"/>
    <w:rsid w:val="0E386E38"/>
    <w:rsid w:val="0E394465"/>
    <w:rsid w:val="0E3B40E5"/>
    <w:rsid w:val="0E3C6626"/>
    <w:rsid w:val="0E3C75E8"/>
    <w:rsid w:val="0E3D2E6B"/>
    <w:rsid w:val="0E3E2AEB"/>
    <w:rsid w:val="0E3F056D"/>
    <w:rsid w:val="0E3F636E"/>
    <w:rsid w:val="0E401CB6"/>
    <w:rsid w:val="0E403DF0"/>
    <w:rsid w:val="0E411871"/>
    <w:rsid w:val="0E412690"/>
    <w:rsid w:val="0E413A70"/>
    <w:rsid w:val="0E4214F1"/>
    <w:rsid w:val="0E4272F3"/>
    <w:rsid w:val="0E4449F4"/>
    <w:rsid w:val="0E452476"/>
    <w:rsid w:val="0E455CF9"/>
    <w:rsid w:val="0E461615"/>
    <w:rsid w:val="0E46377B"/>
    <w:rsid w:val="0E4711FC"/>
    <w:rsid w:val="0E474666"/>
    <w:rsid w:val="0E4768C0"/>
    <w:rsid w:val="0E477E26"/>
    <w:rsid w:val="0E480C16"/>
    <w:rsid w:val="0E4833FA"/>
    <w:rsid w:val="0E487ABB"/>
    <w:rsid w:val="0E4946FF"/>
    <w:rsid w:val="0E4A2181"/>
    <w:rsid w:val="0E4B13B1"/>
    <w:rsid w:val="0E4B1576"/>
    <w:rsid w:val="0E4B437F"/>
    <w:rsid w:val="0E4B7C02"/>
    <w:rsid w:val="0E4C5684"/>
    <w:rsid w:val="0E4D368D"/>
    <w:rsid w:val="0E4F2D85"/>
    <w:rsid w:val="0E500807"/>
    <w:rsid w:val="0E511B0C"/>
    <w:rsid w:val="0E523D0A"/>
    <w:rsid w:val="0E52758D"/>
    <w:rsid w:val="0E53500F"/>
    <w:rsid w:val="0E5378BC"/>
    <w:rsid w:val="0E5400D2"/>
    <w:rsid w:val="0E54531A"/>
    <w:rsid w:val="0E552710"/>
    <w:rsid w:val="0E554C8F"/>
    <w:rsid w:val="0E562298"/>
    <w:rsid w:val="0E5721EA"/>
    <w:rsid w:val="0E575C13"/>
    <w:rsid w:val="0E581497"/>
    <w:rsid w:val="0E582F4D"/>
    <w:rsid w:val="0E591116"/>
    <w:rsid w:val="0E596F18"/>
    <w:rsid w:val="0E5A6B98"/>
    <w:rsid w:val="0E5B4619"/>
    <w:rsid w:val="0E5B4EA0"/>
    <w:rsid w:val="0E5B5064"/>
    <w:rsid w:val="0E5C209B"/>
    <w:rsid w:val="0E5C7E9D"/>
    <w:rsid w:val="0E5D33A0"/>
    <w:rsid w:val="0E5D717C"/>
    <w:rsid w:val="0E5E559E"/>
    <w:rsid w:val="0E5E7992"/>
    <w:rsid w:val="0E5F68A3"/>
    <w:rsid w:val="0E604325"/>
    <w:rsid w:val="0E627828"/>
    <w:rsid w:val="0E6331E7"/>
    <w:rsid w:val="0E642D2B"/>
    <w:rsid w:val="0E6454B7"/>
    <w:rsid w:val="0E654555"/>
    <w:rsid w:val="0E65475F"/>
    <w:rsid w:val="0E663E6E"/>
    <w:rsid w:val="0E66622E"/>
    <w:rsid w:val="0E681731"/>
    <w:rsid w:val="0E697416"/>
    <w:rsid w:val="0E6A4ABA"/>
    <w:rsid w:val="0E6A4C34"/>
    <w:rsid w:val="0E6B1369"/>
    <w:rsid w:val="0E6B26B6"/>
    <w:rsid w:val="0E6C0137"/>
    <w:rsid w:val="0E6D2AA6"/>
    <w:rsid w:val="0E6F10BC"/>
    <w:rsid w:val="0E706B3D"/>
    <w:rsid w:val="0E7143C9"/>
    <w:rsid w:val="0E726137"/>
    <w:rsid w:val="0E73034D"/>
    <w:rsid w:val="0E736B7C"/>
    <w:rsid w:val="0E750A47"/>
    <w:rsid w:val="0E752FC5"/>
    <w:rsid w:val="0E760C28"/>
    <w:rsid w:val="0E7664C8"/>
    <w:rsid w:val="0E7717C7"/>
    <w:rsid w:val="0E772366"/>
    <w:rsid w:val="0E773F4A"/>
    <w:rsid w:val="0E7819CB"/>
    <w:rsid w:val="0E782F04"/>
    <w:rsid w:val="0E7938DE"/>
    <w:rsid w:val="0E79524F"/>
    <w:rsid w:val="0E7A4ECE"/>
    <w:rsid w:val="0E7B0752"/>
    <w:rsid w:val="0E7D16D6"/>
    <w:rsid w:val="0E7D3C55"/>
    <w:rsid w:val="0E7D63D0"/>
    <w:rsid w:val="0E7E6171"/>
    <w:rsid w:val="0E7E7133"/>
    <w:rsid w:val="0E7F4BD9"/>
    <w:rsid w:val="0E802627"/>
    <w:rsid w:val="0E80265B"/>
    <w:rsid w:val="0E802CFD"/>
    <w:rsid w:val="0E803068"/>
    <w:rsid w:val="0E811086"/>
    <w:rsid w:val="0E811F50"/>
    <w:rsid w:val="0E812106"/>
    <w:rsid w:val="0E821C25"/>
    <w:rsid w:val="0E8222DB"/>
    <w:rsid w:val="0E825B5E"/>
    <w:rsid w:val="0E8335E0"/>
    <w:rsid w:val="0E837D5C"/>
    <w:rsid w:val="0E84319E"/>
    <w:rsid w:val="0E843362"/>
    <w:rsid w:val="0E856AE3"/>
    <w:rsid w:val="0E860CE1"/>
    <w:rsid w:val="0E864564"/>
    <w:rsid w:val="0E864717"/>
    <w:rsid w:val="0E871FE6"/>
    <w:rsid w:val="0E876762"/>
    <w:rsid w:val="0E8841E4"/>
    <w:rsid w:val="0E8869F3"/>
    <w:rsid w:val="0E887A67"/>
    <w:rsid w:val="0E8954E9"/>
    <w:rsid w:val="0E896D1D"/>
    <w:rsid w:val="0E8A2F6A"/>
    <w:rsid w:val="0E8A76E7"/>
    <w:rsid w:val="0E8B09EC"/>
    <w:rsid w:val="0E8C2BEA"/>
    <w:rsid w:val="0E8C646E"/>
    <w:rsid w:val="0E8D1EBF"/>
    <w:rsid w:val="0E8E1971"/>
    <w:rsid w:val="0E8E3B6F"/>
    <w:rsid w:val="0E8F43C2"/>
    <w:rsid w:val="0E8F4C4E"/>
    <w:rsid w:val="0E8F73F2"/>
    <w:rsid w:val="0E903460"/>
    <w:rsid w:val="0E90419B"/>
    <w:rsid w:val="0E91419C"/>
    <w:rsid w:val="0E914EA6"/>
    <w:rsid w:val="0E920377"/>
    <w:rsid w:val="0E92554F"/>
    <w:rsid w:val="0E9346B0"/>
    <w:rsid w:val="0E9360EE"/>
    <w:rsid w:val="0E937FF7"/>
    <w:rsid w:val="0E94387A"/>
    <w:rsid w:val="0E945A78"/>
    <w:rsid w:val="0E9512FB"/>
    <w:rsid w:val="0E960F7B"/>
    <w:rsid w:val="0E9824E1"/>
    <w:rsid w:val="0E98447E"/>
    <w:rsid w:val="0E987D02"/>
    <w:rsid w:val="0E991F00"/>
    <w:rsid w:val="0E9B0C86"/>
    <w:rsid w:val="0E9C4E0F"/>
    <w:rsid w:val="0E9D5B72"/>
    <w:rsid w:val="0E9D7276"/>
    <w:rsid w:val="0E9E1C0B"/>
    <w:rsid w:val="0E9E6388"/>
    <w:rsid w:val="0E9E654C"/>
    <w:rsid w:val="0E9F3E09"/>
    <w:rsid w:val="0EA10664"/>
    <w:rsid w:val="0EA11202"/>
    <w:rsid w:val="0EA12B90"/>
    <w:rsid w:val="0EA20611"/>
    <w:rsid w:val="0EA21BDD"/>
    <w:rsid w:val="0EA24D8E"/>
    <w:rsid w:val="0EA3280F"/>
    <w:rsid w:val="0EA53794"/>
    <w:rsid w:val="0EA67017"/>
    <w:rsid w:val="0EA74A99"/>
    <w:rsid w:val="0EA7526D"/>
    <w:rsid w:val="0EA8251A"/>
    <w:rsid w:val="0EA84719"/>
    <w:rsid w:val="0EA92EB4"/>
    <w:rsid w:val="0EA967E6"/>
    <w:rsid w:val="0EA969AA"/>
    <w:rsid w:val="0EAA5A1E"/>
    <w:rsid w:val="0EAB2494"/>
    <w:rsid w:val="0EAB2B6B"/>
    <w:rsid w:val="0EAB569D"/>
    <w:rsid w:val="0EAC0F21"/>
    <w:rsid w:val="0EAC137C"/>
    <w:rsid w:val="0EAC189D"/>
    <w:rsid w:val="0EAC311F"/>
    <w:rsid w:val="0EAD0BA0"/>
    <w:rsid w:val="0EAD4424"/>
    <w:rsid w:val="0EAE1EA5"/>
    <w:rsid w:val="0EAF40A4"/>
    <w:rsid w:val="0EB01B25"/>
    <w:rsid w:val="0EB12E2A"/>
    <w:rsid w:val="0EB175A7"/>
    <w:rsid w:val="0EB208AB"/>
    <w:rsid w:val="0EB2797B"/>
    <w:rsid w:val="0EB32AAA"/>
    <w:rsid w:val="0EB3632D"/>
    <w:rsid w:val="0EB46C44"/>
    <w:rsid w:val="0EB51830"/>
    <w:rsid w:val="0EB55FAD"/>
    <w:rsid w:val="0EB601BD"/>
    <w:rsid w:val="0EB60381"/>
    <w:rsid w:val="0EB672B2"/>
    <w:rsid w:val="0EB81736"/>
    <w:rsid w:val="0EB90236"/>
    <w:rsid w:val="0EBA2435"/>
    <w:rsid w:val="0EBA5CB8"/>
    <w:rsid w:val="0EBB2DAD"/>
    <w:rsid w:val="0EBB3739"/>
    <w:rsid w:val="0EBB7EB6"/>
    <w:rsid w:val="0EBD33B9"/>
    <w:rsid w:val="0EBE46BE"/>
    <w:rsid w:val="0EBE68BC"/>
    <w:rsid w:val="0EBF2140"/>
    <w:rsid w:val="0EBF433E"/>
    <w:rsid w:val="0EC07BC1"/>
    <w:rsid w:val="0EC107E0"/>
    <w:rsid w:val="0EC252C3"/>
    <w:rsid w:val="0EC30B46"/>
    <w:rsid w:val="0EC32D44"/>
    <w:rsid w:val="0EC407C6"/>
    <w:rsid w:val="0EC465C7"/>
    <w:rsid w:val="0EC51ACA"/>
    <w:rsid w:val="0EC54049"/>
    <w:rsid w:val="0EC63CAC"/>
    <w:rsid w:val="0EC6754C"/>
    <w:rsid w:val="0EC74FCE"/>
    <w:rsid w:val="0EC853E9"/>
    <w:rsid w:val="0EC870E3"/>
    <w:rsid w:val="0EC95C60"/>
    <w:rsid w:val="0EC95DC3"/>
    <w:rsid w:val="0ECA5069"/>
    <w:rsid w:val="0ECB3177"/>
    <w:rsid w:val="0ECC1455"/>
    <w:rsid w:val="0ECD6ED7"/>
    <w:rsid w:val="0ECE4958"/>
    <w:rsid w:val="0ECF23DA"/>
    <w:rsid w:val="0ECF2B91"/>
    <w:rsid w:val="0ED0356B"/>
    <w:rsid w:val="0ED1410A"/>
    <w:rsid w:val="0ED30DE0"/>
    <w:rsid w:val="0ED46862"/>
    <w:rsid w:val="0ED61D65"/>
    <w:rsid w:val="0ED73949"/>
    <w:rsid w:val="0ED777E6"/>
    <w:rsid w:val="0ED818B2"/>
    <w:rsid w:val="0ED92450"/>
    <w:rsid w:val="0EDA076B"/>
    <w:rsid w:val="0EDA2E2B"/>
    <w:rsid w:val="0EDC3C6E"/>
    <w:rsid w:val="0EDD16F0"/>
    <w:rsid w:val="0EDE5AE1"/>
    <w:rsid w:val="0EDF0476"/>
    <w:rsid w:val="0EE05EF8"/>
    <w:rsid w:val="0EE205D3"/>
    <w:rsid w:val="0EE235F9"/>
    <w:rsid w:val="0EE3107B"/>
    <w:rsid w:val="0EE31171"/>
    <w:rsid w:val="0EE36E7C"/>
    <w:rsid w:val="0EE41B4B"/>
    <w:rsid w:val="0EE46AFC"/>
    <w:rsid w:val="0EE53EE8"/>
    <w:rsid w:val="0EE5457E"/>
    <w:rsid w:val="0EE61FFF"/>
    <w:rsid w:val="0EE66792"/>
    <w:rsid w:val="0EE67E01"/>
    <w:rsid w:val="0EE73304"/>
    <w:rsid w:val="0EE74802"/>
    <w:rsid w:val="0EE851DC"/>
    <w:rsid w:val="0EE853A0"/>
    <w:rsid w:val="0EE96807"/>
    <w:rsid w:val="0EEA4289"/>
    <w:rsid w:val="0EEB1D0A"/>
    <w:rsid w:val="0EEB72F3"/>
    <w:rsid w:val="0EEC3F08"/>
    <w:rsid w:val="0EEC778C"/>
    <w:rsid w:val="0EEC7E92"/>
    <w:rsid w:val="0EED198A"/>
    <w:rsid w:val="0EEE740C"/>
    <w:rsid w:val="0EEF0710"/>
    <w:rsid w:val="0EEF4E8D"/>
    <w:rsid w:val="0EF0290F"/>
    <w:rsid w:val="0EF02B48"/>
    <w:rsid w:val="0EF25E12"/>
    <w:rsid w:val="0EF34A9B"/>
    <w:rsid w:val="0EF3635A"/>
    <w:rsid w:val="0EF37117"/>
    <w:rsid w:val="0EF45C83"/>
    <w:rsid w:val="0EF56D77"/>
    <w:rsid w:val="0EF56D96"/>
    <w:rsid w:val="0EF6009B"/>
    <w:rsid w:val="0EF6229A"/>
    <w:rsid w:val="0EF64818"/>
    <w:rsid w:val="0EF67916"/>
    <w:rsid w:val="0EF702F0"/>
    <w:rsid w:val="0EF77D1B"/>
    <w:rsid w:val="0EF8359E"/>
    <w:rsid w:val="0EF8579D"/>
    <w:rsid w:val="0EF91020"/>
    <w:rsid w:val="0EF91A2E"/>
    <w:rsid w:val="0EF9321E"/>
    <w:rsid w:val="0EFA0CA0"/>
    <w:rsid w:val="0EFB2FA6"/>
    <w:rsid w:val="0EFB6721"/>
    <w:rsid w:val="0EFC1FA5"/>
    <w:rsid w:val="0EFC3981"/>
    <w:rsid w:val="0EFD1C24"/>
    <w:rsid w:val="0EFD7A26"/>
    <w:rsid w:val="0EFE2F29"/>
    <w:rsid w:val="0EFF09AB"/>
    <w:rsid w:val="0EFF5127"/>
    <w:rsid w:val="0F00642C"/>
    <w:rsid w:val="0F01062B"/>
    <w:rsid w:val="0F013EAE"/>
    <w:rsid w:val="0F017011"/>
    <w:rsid w:val="0F02058A"/>
    <w:rsid w:val="0F020616"/>
    <w:rsid w:val="0F02192F"/>
    <w:rsid w:val="0F022F45"/>
    <w:rsid w:val="0F0312ED"/>
    <w:rsid w:val="0F0373B1"/>
    <w:rsid w:val="0F037BD4"/>
    <w:rsid w:val="0F0415AF"/>
    <w:rsid w:val="0F046C72"/>
    <w:rsid w:val="0F052866"/>
    <w:rsid w:val="0F0528B4"/>
    <w:rsid w:val="0F057031"/>
    <w:rsid w:val="0F063240"/>
    <w:rsid w:val="0F064AB2"/>
    <w:rsid w:val="0F072534"/>
    <w:rsid w:val="0F073DDF"/>
    <w:rsid w:val="0F075DB7"/>
    <w:rsid w:val="0F08497D"/>
    <w:rsid w:val="0F095A37"/>
    <w:rsid w:val="0F0B0F3A"/>
    <w:rsid w:val="0F0D000E"/>
    <w:rsid w:val="0F0D6145"/>
    <w:rsid w:val="0F0E1EBF"/>
    <w:rsid w:val="0F0E5742"/>
    <w:rsid w:val="0F0E7940"/>
    <w:rsid w:val="0F0F31C4"/>
    <w:rsid w:val="0F102FA9"/>
    <w:rsid w:val="0F1108C5"/>
    <w:rsid w:val="0F1166C7"/>
    <w:rsid w:val="0F1217BA"/>
    <w:rsid w:val="0F124148"/>
    <w:rsid w:val="0F12423D"/>
    <w:rsid w:val="0F126346"/>
    <w:rsid w:val="0F131BCA"/>
    <w:rsid w:val="0F133DC8"/>
    <w:rsid w:val="0F13775A"/>
    <w:rsid w:val="0F14184A"/>
    <w:rsid w:val="0F1550CD"/>
    <w:rsid w:val="0F1572CB"/>
    <w:rsid w:val="0F1605D0"/>
    <w:rsid w:val="0F162B4E"/>
    <w:rsid w:val="0F164D4D"/>
    <w:rsid w:val="0F176051"/>
    <w:rsid w:val="0F183AD3"/>
    <w:rsid w:val="0F191555"/>
    <w:rsid w:val="0F195CD1"/>
    <w:rsid w:val="0F1A3753"/>
    <w:rsid w:val="0F1B23BF"/>
    <w:rsid w:val="0F1C24D9"/>
    <w:rsid w:val="0F1C6C56"/>
    <w:rsid w:val="0F1D44D7"/>
    <w:rsid w:val="0F1D46D8"/>
    <w:rsid w:val="0F1E2159"/>
    <w:rsid w:val="0F1E4EB1"/>
    <w:rsid w:val="0F1E59DC"/>
    <w:rsid w:val="0F2024D3"/>
    <w:rsid w:val="0F203F97"/>
    <w:rsid w:val="0F20565C"/>
    <w:rsid w:val="0F216961"/>
    <w:rsid w:val="0F2227A9"/>
    <w:rsid w:val="0F2243E3"/>
    <w:rsid w:val="0F231E64"/>
    <w:rsid w:val="0F2412A4"/>
    <w:rsid w:val="0F2478E6"/>
    <w:rsid w:val="0F251C7F"/>
    <w:rsid w:val="0F262032"/>
    <w:rsid w:val="0F26281D"/>
    <w:rsid w:val="0F262DE9"/>
    <w:rsid w:val="0F267565"/>
    <w:rsid w:val="0F283D96"/>
    <w:rsid w:val="0F293D6D"/>
    <w:rsid w:val="0F295F6C"/>
    <w:rsid w:val="0F2A17EF"/>
    <w:rsid w:val="0F2A530F"/>
    <w:rsid w:val="0F2B146F"/>
    <w:rsid w:val="0F2B7270"/>
    <w:rsid w:val="0F2C4CF2"/>
    <w:rsid w:val="0F2C7427"/>
    <w:rsid w:val="0F2D7E01"/>
    <w:rsid w:val="0F2E5C77"/>
    <w:rsid w:val="0F2E6C95"/>
    <w:rsid w:val="0F2F36F8"/>
    <w:rsid w:val="0F30117A"/>
    <w:rsid w:val="0F301F18"/>
    <w:rsid w:val="0F316BFB"/>
    <w:rsid w:val="0F3320FE"/>
    <w:rsid w:val="0F3341F4"/>
    <w:rsid w:val="0F355602"/>
    <w:rsid w:val="0F370B05"/>
    <w:rsid w:val="0F376EAB"/>
    <w:rsid w:val="0F387885"/>
    <w:rsid w:val="0F394008"/>
    <w:rsid w:val="0F3A199C"/>
    <w:rsid w:val="0F3A1A89"/>
    <w:rsid w:val="0F3B2377"/>
    <w:rsid w:val="0F3B750B"/>
    <w:rsid w:val="0F3C4F8C"/>
    <w:rsid w:val="0F3D2A0E"/>
    <w:rsid w:val="0F3E4653"/>
    <w:rsid w:val="0F3F7763"/>
    <w:rsid w:val="0F403993"/>
    <w:rsid w:val="0F405BCB"/>
    <w:rsid w:val="0F426E96"/>
    <w:rsid w:val="0F434917"/>
    <w:rsid w:val="0F442399"/>
    <w:rsid w:val="0F45369E"/>
    <w:rsid w:val="0F457E1A"/>
    <w:rsid w:val="0F46111F"/>
    <w:rsid w:val="0F46331D"/>
    <w:rsid w:val="0F470D9F"/>
    <w:rsid w:val="0F4731AF"/>
    <w:rsid w:val="0F483D4E"/>
    <w:rsid w:val="0F486821"/>
    <w:rsid w:val="0F4920A4"/>
    <w:rsid w:val="0F497356"/>
    <w:rsid w:val="0F4A5C7C"/>
    <w:rsid w:val="0F4A7B25"/>
    <w:rsid w:val="0F4B55A7"/>
    <w:rsid w:val="0F4B77A5"/>
    <w:rsid w:val="0F4C3028"/>
    <w:rsid w:val="0F4C5227"/>
    <w:rsid w:val="0F4D22AC"/>
    <w:rsid w:val="0F4D75A3"/>
    <w:rsid w:val="0F4E072A"/>
    <w:rsid w:val="0F4E3FAD"/>
    <w:rsid w:val="0F4E652C"/>
    <w:rsid w:val="0F4F0B1B"/>
    <w:rsid w:val="0F4F1A2F"/>
    <w:rsid w:val="0F4F61AB"/>
    <w:rsid w:val="0F503C2D"/>
    <w:rsid w:val="0F5074B0"/>
    <w:rsid w:val="0F5116AE"/>
    <w:rsid w:val="0F522A6F"/>
    <w:rsid w:val="0F522C33"/>
    <w:rsid w:val="0F525316"/>
    <w:rsid w:val="0F530435"/>
    <w:rsid w:val="0F53360D"/>
    <w:rsid w:val="0F534BB2"/>
    <w:rsid w:val="0F542633"/>
    <w:rsid w:val="0F544B86"/>
    <w:rsid w:val="0F545EB6"/>
    <w:rsid w:val="0F565B36"/>
    <w:rsid w:val="0F581039"/>
    <w:rsid w:val="0F5848BD"/>
    <w:rsid w:val="0F587009"/>
    <w:rsid w:val="0F58783C"/>
    <w:rsid w:val="0F59233E"/>
    <w:rsid w:val="0F596ABB"/>
    <w:rsid w:val="0F5A5BA1"/>
    <w:rsid w:val="0F5A7DC0"/>
    <w:rsid w:val="0F5B1FBE"/>
    <w:rsid w:val="0F5B4A89"/>
    <w:rsid w:val="0F5B5841"/>
    <w:rsid w:val="0F5C24F2"/>
    <w:rsid w:val="0F5C4047"/>
    <w:rsid w:val="0F5D2ECD"/>
    <w:rsid w:val="0F5D3091"/>
    <w:rsid w:val="0F5E2F43"/>
    <w:rsid w:val="0F5E3A6B"/>
    <w:rsid w:val="0F5E67C6"/>
    <w:rsid w:val="0F5F09C4"/>
    <w:rsid w:val="0F5F45FE"/>
    <w:rsid w:val="0F5F6446"/>
    <w:rsid w:val="0F601CC9"/>
    <w:rsid w:val="0F603EC7"/>
    <w:rsid w:val="0F611659"/>
    <w:rsid w:val="0F6159BE"/>
    <w:rsid w:val="0F61774B"/>
    <w:rsid w:val="0F6251CC"/>
    <w:rsid w:val="0F6270FC"/>
    <w:rsid w:val="0F6273CA"/>
    <w:rsid w:val="0F6406CF"/>
    <w:rsid w:val="0F6428CD"/>
    <w:rsid w:val="0F65034F"/>
    <w:rsid w:val="0F650565"/>
    <w:rsid w:val="0F663BD2"/>
    <w:rsid w:val="0F67278C"/>
    <w:rsid w:val="0F673852"/>
    <w:rsid w:val="0F6770D5"/>
    <w:rsid w:val="0F6806E9"/>
    <w:rsid w:val="0F6812D4"/>
    <w:rsid w:val="0F68332B"/>
    <w:rsid w:val="0F6925D8"/>
    <w:rsid w:val="0F697CA7"/>
    <w:rsid w:val="0F6B2258"/>
    <w:rsid w:val="0F6C4AA9"/>
    <w:rsid w:val="0F6D0FDF"/>
    <w:rsid w:val="0F6E7396"/>
    <w:rsid w:val="0F6F0AD3"/>
    <w:rsid w:val="0F6F0C5E"/>
    <w:rsid w:val="0F6F44E2"/>
    <w:rsid w:val="0F7066E0"/>
    <w:rsid w:val="0F7179E5"/>
    <w:rsid w:val="0F721BE3"/>
    <w:rsid w:val="0F722BEA"/>
    <w:rsid w:val="0F725466"/>
    <w:rsid w:val="0F732EE8"/>
    <w:rsid w:val="0F7335C5"/>
    <w:rsid w:val="0F733789"/>
    <w:rsid w:val="0F752B68"/>
    <w:rsid w:val="0F7563EB"/>
    <w:rsid w:val="0F7605E9"/>
    <w:rsid w:val="0F76123D"/>
    <w:rsid w:val="0F763E6D"/>
    <w:rsid w:val="0F773AEC"/>
    <w:rsid w:val="0F77627B"/>
    <w:rsid w:val="0F78156E"/>
    <w:rsid w:val="0F786C55"/>
    <w:rsid w:val="0F7977F4"/>
    <w:rsid w:val="0F7A0392"/>
    <w:rsid w:val="0F7A2873"/>
    <w:rsid w:val="0F7A4A71"/>
    <w:rsid w:val="0F7D3049"/>
    <w:rsid w:val="0F7D37F7"/>
    <w:rsid w:val="0F7E1279"/>
    <w:rsid w:val="0F8021FE"/>
    <w:rsid w:val="0F80697A"/>
    <w:rsid w:val="0F815B3A"/>
    <w:rsid w:val="0F817C7F"/>
    <w:rsid w:val="0F821E7D"/>
    <w:rsid w:val="0F825701"/>
    <w:rsid w:val="0F826515"/>
    <w:rsid w:val="0F833182"/>
    <w:rsid w:val="0F8378FF"/>
    <w:rsid w:val="0F840C04"/>
    <w:rsid w:val="0F845381"/>
    <w:rsid w:val="0F85062C"/>
    <w:rsid w:val="0F8507F1"/>
    <w:rsid w:val="0F852E02"/>
    <w:rsid w:val="0F860884"/>
    <w:rsid w:val="0F864107"/>
    <w:rsid w:val="0F873CFF"/>
    <w:rsid w:val="0F882D9D"/>
    <w:rsid w:val="0F883D87"/>
    <w:rsid w:val="0F891808"/>
    <w:rsid w:val="0F8A4A20"/>
    <w:rsid w:val="0F8A728A"/>
    <w:rsid w:val="0F8B058F"/>
    <w:rsid w:val="0F8C278D"/>
    <w:rsid w:val="0F8C5F99"/>
    <w:rsid w:val="0F8C6010"/>
    <w:rsid w:val="0F8D22CE"/>
    <w:rsid w:val="0F8D6973"/>
    <w:rsid w:val="0F8D6B37"/>
    <w:rsid w:val="0F8E5C90"/>
    <w:rsid w:val="0F8F1193"/>
    <w:rsid w:val="0F8F6F95"/>
    <w:rsid w:val="0F900C4F"/>
    <w:rsid w:val="0F902CCD"/>
    <w:rsid w:val="0F906C15"/>
    <w:rsid w:val="0F912498"/>
    <w:rsid w:val="0F927F1A"/>
    <w:rsid w:val="0F950E9E"/>
    <w:rsid w:val="0F95411B"/>
    <w:rsid w:val="0F9542DF"/>
    <w:rsid w:val="0F955E06"/>
    <w:rsid w:val="0F966920"/>
    <w:rsid w:val="0F971E23"/>
    <w:rsid w:val="0F9743A1"/>
    <w:rsid w:val="0F9763F7"/>
    <w:rsid w:val="0F9A112B"/>
    <w:rsid w:val="0F9A2DA7"/>
    <w:rsid w:val="0F9B0829"/>
    <w:rsid w:val="0F9B0EE8"/>
    <w:rsid w:val="0F9C1A87"/>
    <w:rsid w:val="0F9C62AB"/>
    <w:rsid w:val="0F9D3D2C"/>
    <w:rsid w:val="0F9E24FD"/>
    <w:rsid w:val="0F9E3000"/>
    <w:rsid w:val="0F9F722F"/>
    <w:rsid w:val="0FA04CB1"/>
    <w:rsid w:val="0FA12732"/>
    <w:rsid w:val="0FA31024"/>
    <w:rsid w:val="0FA316FB"/>
    <w:rsid w:val="0FA318B0"/>
    <w:rsid w:val="0FA35C35"/>
    <w:rsid w:val="0FA4042D"/>
    <w:rsid w:val="0FA405E3"/>
    <w:rsid w:val="0FA61347"/>
    <w:rsid w:val="0FA7463C"/>
    <w:rsid w:val="0FA826FB"/>
    <w:rsid w:val="0FAA55C0"/>
    <w:rsid w:val="0FAB3042"/>
    <w:rsid w:val="0FAB49D7"/>
    <w:rsid w:val="0FAB68C5"/>
    <w:rsid w:val="0FAC5576"/>
    <w:rsid w:val="0FAD2AD0"/>
    <w:rsid w:val="0FAD6545"/>
    <w:rsid w:val="0FAE3FC6"/>
    <w:rsid w:val="0FAF1A48"/>
    <w:rsid w:val="0FAF52CB"/>
    <w:rsid w:val="0FB00067"/>
    <w:rsid w:val="0FB02D4D"/>
    <w:rsid w:val="0FB129CD"/>
    <w:rsid w:val="0FB14DA3"/>
    <w:rsid w:val="0FB215E0"/>
    <w:rsid w:val="0FB2312B"/>
    <w:rsid w:val="0FB26250"/>
    <w:rsid w:val="0FB31FBB"/>
    <w:rsid w:val="0FB35ED0"/>
    <w:rsid w:val="0FB436F8"/>
    <w:rsid w:val="0FB571D5"/>
    <w:rsid w:val="0FB64E35"/>
    <w:rsid w:val="0FB70159"/>
    <w:rsid w:val="0FB82358"/>
    <w:rsid w:val="0FB85BDB"/>
    <w:rsid w:val="0FB97DD9"/>
    <w:rsid w:val="0FBB32DC"/>
    <w:rsid w:val="0FBB6B5F"/>
    <w:rsid w:val="0FBC0D5E"/>
    <w:rsid w:val="0FBD67DF"/>
    <w:rsid w:val="0FBE7AE4"/>
    <w:rsid w:val="0FBF1CE2"/>
    <w:rsid w:val="0FBF5566"/>
    <w:rsid w:val="0FC02FE7"/>
    <w:rsid w:val="0FC05908"/>
    <w:rsid w:val="0FC05ABE"/>
    <w:rsid w:val="0FC07764"/>
    <w:rsid w:val="0FC10A69"/>
    <w:rsid w:val="0FC147F0"/>
    <w:rsid w:val="0FC150CF"/>
    <w:rsid w:val="0FC151E5"/>
    <w:rsid w:val="0FC24485"/>
    <w:rsid w:val="0FC25C6E"/>
    <w:rsid w:val="0FC264EA"/>
    <w:rsid w:val="0FC306E9"/>
    <w:rsid w:val="0FC33F6C"/>
    <w:rsid w:val="0FC344B6"/>
    <w:rsid w:val="0FC36648"/>
    <w:rsid w:val="0FC4616A"/>
    <w:rsid w:val="0FC53BEC"/>
    <w:rsid w:val="0FC5746F"/>
    <w:rsid w:val="0FC6075F"/>
    <w:rsid w:val="0FC64A2E"/>
    <w:rsid w:val="0FC64EF0"/>
    <w:rsid w:val="0FC712FE"/>
    <w:rsid w:val="0FC81CD8"/>
    <w:rsid w:val="0FC825F2"/>
    <w:rsid w:val="0FC83354"/>
    <w:rsid w:val="0FC84B70"/>
    <w:rsid w:val="0FC95E75"/>
    <w:rsid w:val="0FCB3577"/>
    <w:rsid w:val="0FCC0FF8"/>
    <w:rsid w:val="0FCC47CA"/>
    <w:rsid w:val="0FCD6A7A"/>
    <w:rsid w:val="0FCE0CDD"/>
    <w:rsid w:val="0FCF68E2"/>
    <w:rsid w:val="0FCF6AA6"/>
    <w:rsid w:val="0FCF7D7E"/>
    <w:rsid w:val="0FD05800"/>
    <w:rsid w:val="0FD109F9"/>
    <w:rsid w:val="0FD10D03"/>
    <w:rsid w:val="0FD15480"/>
    <w:rsid w:val="0FD2175C"/>
    <w:rsid w:val="0FD22F01"/>
    <w:rsid w:val="0FD26785"/>
    <w:rsid w:val="0FD3043D"/>
    <w:rsid w:val="0FD30983"/>
    <w:rsid w:val="0FD32136"/>
    <w:rsid w:val="0FD46404"/>
    <w:rsid w:val="0FD53874"/>
    <w:rsid w:val="0FD53E86"/>
    <w:rsid w:val="0FD57709"/>
    <w:rsid w:val="0FD6518B"/>
    <w:rsid w:val="0FD72C0C"/>
    <w:rsid w:val="0FD74DED"/>
    <w:rsid w:val="0FD77389"/>
    <w:rsid w:val="0FD8068E"/>
    <w:rsid w:val="0FD83AFF"/>
    <w:rsid w:val="0FD84E0B"/>
    <w:rsid w:val="0FD9610F"/>
    <w:rsid w:val="0FDA030E"/>
    <w:rsid w:val="0FDC02B9"/>
    <w:rsid w:val="0FDD1292"/>
    <w:rsid w:val="0FDD4B16"/>
    <w:rsid w:val="0FDE15F5"/>
    <w:rsid w:val="0FDE23D0"/>
    <w:rsid w:val="0FDE2595"/>
    <w:rsid w:val="0FDE6D14"/>
    <w:rsid w:val="0FDF0019"/>
    <w:rsid w:val="0FDF2F6F"/>
    <w:rsid w:val="0FE02217"/>
    <w:rsid w:val="0FE05A9A"/>
    <w:rsid w:val="0FE07C99"/>
    <w:rsid w:val="0FE144E8"/>
    <w:rsid w:val="0FE1571A"/>
    <w:rsid w:val="0FE20F9D"/>
    <w:rsid w:val="0FE30C1D"/>
    <w:rsid w:val="0FE36A1F"/>
    <w:rsid w:val="0FE51F22"/>
    <w:rsid w:val="0FE5719E"/>
    <w:rsid w:val="0FE61BA2"/>
    <w:rsid w:val="0FE67B78"/>
    <w:rsid w:val="0FE70717"/>
    <w:rsid w:val="0FE75425"/>
    <w:rsid w:val="0FE80928"/>
    <w:rsid w:val="0FE82EA7"/>
    <w:rsid w:val="0FE850A5"/>
    <w:rsid w:val="0FE963AA"/>
    <w:rsid w:val="0FEA05A8"/>
    <w:rsid w:val="0FEB18AD"/>
    <w:rsid w:val="0FEC732E"/>
    <w:rsid w:val="0FED152D"/>
    <w:rsid w:val="0FED3546"/>
    <w:rsid w:val="0FED54E5"/>
    <w:rsid w:val="0FEE2832"/>
    <w:rsid w:val="0FEE6083"/>
    <w:rsid w:val="0FEE6FAE"/>
    <w:rsid w:val="0FEF02B3"/>
    <w:rsid w:val="0FEF4A30"/>
    <w:rsid w:val="0FF05D35"/>
    <w:rsid w:val="0FF07438"/>
    <w:rsid w:val="0FF1019B"/>
    <w:rsid w:val="0FF137B6"/>
    <w:rsid w:val="0FF20B75"/>
    <w:rsid w:val="0FF21238"/>
    <w:rsid w:val="0FF259B5"/>
    <w:rsid w:val="0FF36CB9"/>
    <w:rsid w:val="0FF40EB8"/>
    <w:rsid w:val="0FF4473B"/>
    <w:rsid w:val="0FF71E3C"/>
    <w:rsid w:val="0FF74205"/>
    <w:rsid w:val="0FF756C0"/>
    <w:rsid w:val="0FF83141"/>
    <w:rsid w:val="0FF84BE0"/>
    <w:rsid w:val="0FF84DA4"/>
    <w:rsid w:val="0FF878BE"/>
    <w:rsid w:val="0FF97D9D"/>
    <w:rsid w:val="0FFA6CF7"/>
    <w:rsid w:val="0FFB65AF"/>
    <w:rsid w:val="0FFB7896"/>
    <w:rsid w:val="0FFC1B47"/>
    <w:rsid w:val="0FFE19AD"/>
    <w:rsid w:val="0FFE504A"/>
    <w:rsid w:val="0FFF254C"/>
    <w:rsid w:val="0FFF2ACC"/>
    <w:rsid w:val="10013A51"/>
    <w:rsid w:val="10013AC5"/>
    <w:rsid w:val="10036F54"/>
    <w:rsid w:val="10045BDC"/>
    <w:rsid w:val="1005677B"/>
    <w:rsid w:val="10063231"/>
    <w:rsid w:val="10070893"/>
    <w:rsid w:val="1008126D"/>
    <w:rsid w:val="1008257A"/>
    <w:rsid w:val="10091C47"/>
    <w:rsid w:val="100A06B6"/>
    <w:rsid w:val="100A0A21"/>
    <w:rsid w:val="100A68DF"/>
    <w:rsid w:val="100B4360"/>
    <w:rsid w:val="100C1DE2"/>
    <w:rsid w:val="100C3F23"/>
    <w:rsid w:val="100C7BBE"/>
    <w:rsid w:val="100D7863"/>
    <w:rsid w:val="100E52E5"/>
    <w:rsid w:val="100E549C"/>
    <w:rsid w:val="10106A15"/>
    <w:rsid w:val="10111AED"/>
    <w:rsid w:val="1012756E"/>
    <w:rsid w:val="101420A5"/>
    <w:rsid w:val="1014226A"/>
    <w:rsid w:val="101471EE"/>
    <w:rsid w:val="101504F3"/>
    <w:rsid w:val="10154C70"/>
    <w:rsid w:val="101626F1"/>
    <w:rsid w:val="101637E3"/>
    <w:rsid w:val="10165F74"/>
    <w:rsid w:val="101739F6"/>
    <w:rsid w:val="10174381"/>
    <w:rsid w:val="10196EF9"/>
    <w:rsid w:val="101A2510"/>
    <w:rsid w:val="101A497B"/>
    <w:rsid w:val="101A62D4"/>
    <w:rsid w:val="101A6B79"/>
    <w:rsid w:val="101C207C"/>
    <w:rsid w:val="101C7A12"/>
    <w:rsid w:val="101C7E7E"/>
    <w:rsid w:val="101D7AFE"/>
    <w:rsid w:val="101E0F8B"/>
    <w:rsid w:val="101E3381"/>
    <w:rsid w:val="101E557F"/>
    <w:rsid w:val="101F3001"/>
    <w:rsid w:val="10200A82"/>
    <w:rsid w:val="10204305"/>
    <w:rsid w:val="10206884"/>
    <w:rsid w:val="10211D87"/>
    <w:rsid w:val="10213C41"/>
    <w:rsid w:val="10216504"/>
    <w:rsid w:val="10223A7C"/>
    <w:rsid w:val="10223F85"/>
    <w:rsid w:val="10231A07"/>
    <w:rsid w:val="10242D0C"/>
    <w:rsid w:val="10247488"/>
    <w:rsid w:val="10251AC8"/>
    <w:rsid w:val="1025656E"/>
    <w:rsid w:val="1026298B"/>
    <w:rsid w:val="1026641D"/>
    <w:rsid w:val="10273C90"/>
    <w:rsid w:val="10281712"/>
    <w:rsid w:val="10285E8F"/>
    <w:rsid w:val="102A4C15"/>
    <w:rsid w:val="102B2962"/>
    <w:rsid w:val="102B6E13"/>
    <w:rsid w:val="102C0118"/>
    <w:rsid w:val="102C3500"/>
    <w:rsid w:val="102C4895"/>
    <w:rsid w:val="102D2316"/>
    <w:rsid w:val="102D5B9A"/>
    <w:rsid w:val="102E4A79"/>
    <w:rsid w:val="102F109D"/>
    <w:rsid w:val="102F5819"/>
    <w:rsid w:val="1030329B"/>
    <w:rsid w:val="103145A0"/>
    <w:rsid w:val="1031679E"/>
    <w:rsid w:val="10322021"/>
    <w:rsid w:val="10337AA3"/>
    <w:rsid w:val="10340DAF"/>
    <w:rsid w:val="10345524"/>
    <w:rsid w:val="10347723"/>
    <w:rsid w:val="1035036E"/>
    <w:rsid w:val="10351CF7"/>
    <w:rsid w:val="10352FA6"/>
    <w:rsid w:val="10360A28"/>
    <w:rsid w:val="10362C26"/>
    <w:rsid w:val="10362DC0"/>
    <w:rsid w:val="1036740B"/>
    <w:rsid w:val="103764A9"/>
    <w:rsid w:val="10383F2B"/>
    <w:rsid w:val="10386129"/>
    <w:rsid w:val="1039742E"/>
    <w:rsid w:val="103A1120"/>
    <w:rsid w:val="103A4EAF"/>
    <w:rsid w:val="103B2931"/>
    <w:rsid w:val="103C03B2"/>
    <w:rsid w:val="103C4B2F"/>
    <w:rsid w:val="103C6E2A"/>
    <w:rsid w:val="103D03A3"/>
    <w:rsid w:val="103D5E34"/>
    <w:rsid w:val="103D79C9"/>
    <w:rsid w:val="103E0032"/>
    <w:rsid w:val="103E0F42"/>
    <w:rsid w:val="103E38B5"/>
    <w:rsid w:val="103F1337"/>
    <w:rsid w:val="103F1AE1"/>
    <w:rsid w:val="1040684A"/>
    <w:rsid w:val="10412E95"/>
    <w:rsid w:val="104238F8"/>
    <w:rsid w:val="10423BF8"/>
    <w:rsid w:val="1043262A"/>
    <w:rsid w:val="104344BA"/>
    <w:rsid w:val="104345D2"/>
    <w:rsid w:val="1043621B"/>
    <w:rsid w:val="10437D3D"/>
    <w:rsid w:val="10453240"/>
    <w:rsid w:val="104579BD"/>
    <w:rsid w:val="10476743"/>
    <w:rsid w:val="10477289"/>
    <w:rsid w:val="10480942"/>
    <w:rsid w:val="104841C5"/>
    <w:rsid w:val="10491C47"/>
    <w:rsid w:val="104A11DC"/>
    <w:rsid w:val="104A13A0"/>
    <w:rsid w:val="104A1F3F"/>
    <w:rsid w:val="104B2919"/>
    <w:rsid w:val="104B514A"/>
    <w:rsid w:val="104B7348"/>
    <w:rsid w:val="104C2BCB"/>
    <w:rsid w:val="104C4DC9"/>
    <w:rsid w:val="104D284B"/>
    <w:rsid w:val="104D3E92"/>
    <w:rsid w:val="104E4A31"/>
    <w:rsid w:val="104E60CE"/>
    <w:rsid w:val="104F5D4E"/>
    <w:rsid w:val="105015D1"/>
    <w:rsid w:val="10515D6A"/>
    <w:rsid w:val="10517053"/>
    <w:rsid w:val="10522556"/>
    <w:rsid w:val="10533619"/>
    <w:rsid w:val="10540A9B"/>
    <w:rsid w:val="10540C60"/>
    <w:rsid w:val="105421D6"/>
    <w:rsid w:val="105517FE"/>
    <w:rsid w:val="10557C57"/>
    <w:rsid w:val="10560F5C"/>
    <w:rsid w:val="105656D9"/>
    <w:rsid w:val="10572BB3"/>
    <w:rsid w:val="1057315A"/>
    <w:rsid w:val="10580BDC"/>
    <w:rsid w:val="1058445F"/>
    <w:rsid w:val="1059665E"/>
    <w:rsid w:val="105A40DF"/>
    <w:rsid w:val="105A5869"/>
    <w:rsid w:val="105D02E8"/>
    <w:rsid w:val="105D08E7"/>
    <w:rsid w:val="105D4AEB"/>
    <w:rsid w:val="105D5064"/>
    <w:rsid w:val="1060186C"/>
    <w:rsid w:val="1060794F"/>
    <w:rsid w:val="10616682"/>
    <w:rsid w:val="10624D6F"/>
    <w:rsid w:val="10625A8B"/>
    <w:rsid w:val="106327F0"/>
    <w:rsid w:val="10640272"/>
    <w:rsid w:val="1064458A"/>
    <w:rsid w:val="1064474E"/>
    <w:rsid w:val="10655129"/>
    <w:rsid w:val="10655CF3"/>
    <w:rsid w:val="10663775"/>
    <w:rsid w:val="106711F7"/>
    <w:rsid w:val="10677240"/>
    <w:rsid w:val="10686C78"/>
    <w:rsid w:val="1069217B"/>
    <w:rsid w:val="106946FA"/>
    <w:rsid w:val="10697615"/>
    <w:rsid w:val="106A7BFD"/>
    <w:rsid w:val="106B567E"/>
    <w:rsid w:val="106C28D1"/>
    <w:rsid w:val="106C3100"/>
    <w:rsid w:val="106D2F64"/>
    <w:rsid w:val="106D346F"/>
    <w:rsid w:val="106E6603"/>
    <w:rsid w:val="106F4084"/>
    <w:rsid w:val="10705587"/>
    <w:rsid w:val="10717588"/>
    <w:rsid w:val="10732A8B"/>
    <w:rsid w:val="10750A53"/>
    <w:rsid w:val="107517B6"/>
    <w:rsid w:val="10772D2F"/>
    <w:rsid w:val="10782796"/>
    <w:rsid w:val="107838CD"/>
    <w:rsid w:val="107A4E46"/>
    <w:rsid w:val="107A5C99"/>
    <w:rsid w:val="107B371A"/>
    <w:rsid w:val="107C119C"/>
    <w:rsid w:val="107C4FE0"/>
    <w:rsid w:val="107C63BF"/>
    <w:rsid w:val="107D339A"/>
    <w:rsid w:val="107E37F2"/>
    <w:rsid w:val="107F0312"/>
    <w:rsid w:val="107F2121"/>
    <w:rsid w:val="107F689D"/>
    <w:rsid w:val="10800EB1"/>
    <w:rsid w:val="10807BA2"/>
    <w:rsid w:val="10811DA0"/>
    <w:rsid w:val="10815624"/>
    <w:rsid w:val="108230A5"/>
    <w:rsid w:val="10830B27"/>
    <w:rsid w:val="10832D25"/>
    <w:rsid w:val="108465A8"/>
    <w:rsid w:val="1085402A"/>
    <w:rsid w:val="10856228"/>
    <w:rsid w:val="1087172B"/>
    <w:rsid w:val="10876659"/>
    <w:rsid w:val="10884FAF"/>
    <w:rsid w:val="108904B2"/>
    <w:rsid w:val="10894C2E"/>
    <w:rsid w:val="108B130F"/>
    <w:rsid w:val="108B6F31"/>
    <w:rsid w:val="108C1436"/>
    <w:rsid w:val="108C5BB3"/>
    <w:rsid w:val="108D3635"/>
    <w:rsid w:val="108E10B6"/>
    <w:rsid w:val="108F3E01"/>
    <w:rsid w:val="108F4B64"/>
    <w:rsid w:val="1090224E"/>
    <w:rsid w:val="109045B9"/>
    <w:rsid w:val="10910576"/>
    <w:rsid w:val="10926AB7"/>
    <w:rsid w:val="10927ABC"/>
    <w:rsid w:val="109346C0"/>
    <w:rsid w:val="1093553E"/>
    <w:rsid w:val="109401F4"/>
    <w:rsid w:val="10942FBF"/>
    <w:rsid w:val="10950A41"/>
    <w:rsid w:val="109542C4"/>
    <w:rsid w:val="109615A9"/>
    <w:rsid w:val="109664C2"/>
    <w:rsid w:val="10972147"/>
    <w:rsid w:val="109777C7"/>
    <w:rsid w:val="109819C6"/>
    <w:rsid w:val="10985249"/>
    <w:rsid w:val="109A074C"/>
    <w:rsid w:val="109B03CC"/>
    <w:rsid w:val="109B61CD"/>
    <w:rsid w:val="109C3C4F"/>
    <w:rsid w:val="109C5E4D"/>
    <w:rsid w:val="109E1350"/>
    <w:rsid w:val="109E6D51"/>
    <w:rsid w:val="109E7152"/>
    <w:rsid w:val="109E7AB4"/>
    <w:rsid w:val="109F6DD2"/>
    <w:rsid w:val="10A0102D"/>
    <w:rsid w:val="10A02655"/>
    <w:rsid w:val="10A04854"/>
    <w:rsid w:val="10A100D7"/>
    <w:rsid w:val="10A11BCB"/>
    <w:rsid w:val="10A122D5"/>
    <w:rsid w:val="10A1358B"/>
    <w:rsid w:val="10A15B58"/>
    <w:rsid w:val="10A235DA"/>
    <w:rsid w:val="10A27D57"/>
    <w:rsid w:val="10A32505"/>
    <w:rsid w:val="10A357D8"/>
    <w:rsid w:val="10A45AC6"/>
    <w:rsid w:val="10A4638E"/>
    <w:rsid w:val="10A50CDB"/>
    <w:rsid w:val="10A5455F"/>
    <w:rsid w:val="10A61FE0"/>
    <w:rsid w:val="10A6525C"/>
    <w:rsid w:val="10A77A62"/>
    <w:rsid w:val="10A81C60"/>
    <w:rsid w:val="10A86610"/>
    <w:rsid w:val="10A867D5"/>
    <w:rsid w:val="10A92F65"/>
    <w:rsid w:val="10A97373"/>
    <w:rsid w:val="10A976E1"/>
    <w:rsid w:val="10AA08EC"/>
    <w:rsid w:val="10AA09E6"/>
    <w:rsid w:val="10AA2392"/>
    <w:rsid w:val="10AB12C6"/>
    <w:rsid w:val="10AB142F"/>
    <w:rsid w:val="10AB6468"/>
    <w:rsid w:val="10AC0666"/>
    <w:rsid w:val="10AC1E65"/>
    <w:rsid w:val="10AC3EE9"/>
    <w:rsid w:val="10AF15EB"/>
    <w:rsid w:val="10AF4E6E"/>
    <w:rsid w:val="10B028F0"/>
    <w:rsid w:val="10B14AEE"/>
    <w:rsid w:val="10B2256F"/>
    <w:rsid w:val="10B25DF3"/>
    <w:rsid w:val="10B33874"/>
    <w:rsid w:val="10B412F6"/>
    <w:rsid w:val="10B501AC"/>
    <w:rsid w:val="10B50F76"/>
    <w:rsid w:val="10B56D77"/>
    <w:rsid w:val="10B63710"/>
    <w:rsid w:val="10B7227A"/>
    <w:rsid w:val="10B75766"/>
    <w:rsid w:val="10B81EFA"/>
    <w:rsid w:val="10B87CFC"/>
    <w:rsid w:val="10BA31FF"/>
    <w:rsid w:val="10BA53FD"/>
    <w:rsid w:val="10BB2E7F"/>
    <w:rsid w:val="10BB6702"/>
    <w:rsid w:val="10BC0900"/>
    <w:rsid w:val="10BC4184"/>
    <w:rsid w:val="10BC578F"/>
    <w:rsid w:val="10BD6382"/>
    <w:rsid w:val="10BE3E04"/>
    <w:rsid w:val="10BE7687"/>
    <w:rsid w:val="10BF1885"/>
    <w:rsid w:val="10BF5108"/>
    <w:rsid w:val="10BF78A7"/>
    <w:rsid w:val="10C00446"/>
    <w:rsid w:val="10C07307"/>
    <w:rsid w:val="10C1060B"/>
    <w:rsid w:val="10C14D88"/>
    <w:rsid w:val="10C21B83"/>
    <w:rsid w:val="10C3028B"/>
    <w:rsid w:val="10C33B0F"/>
    <w:rsid w:val="10C42038"/>
    <w:rsid w:val="10C500F9"/>
    <w:rsid w:val="10C507CF"/>
    <w:rsid w:val="10C53C9A"/>
    <w:rsid w:val="10C64A93"/>
    <w:rsid w:val="10C66FE1"/>
    <w:rsid w:val="10C72515"/>
    <w:rsid w:val="10C7607E"/>
    <w:rsid w:val="10C9732B"/>
    <w:rsid w:val="10CA3499"/>
    <w:rsid w:val="10CC16D2"/>
    <w:rsid w:val="10CC380A"/>
    <w:rsid w:val="10CC699D"/>
    <w:rsid w:val="10CD441E"/>
    <w:rsid w:val="10CE1EA0"/>
    <w:rsid w:val="10CE29BB"/>
    <w:rsid w:val="10D053A3"/>
    <w:rsid w:val="10D12E24"/>
    <w:rsid w:val="10D14AD3"/>
    <w:rsid w:val="10D208A6"/>
    <w:rsid w:val="10D26327"/>
    <w:rsid w:val="10D33DA9"/>
    <w:rsid w:val="10D4182A"/>
    <w:rsid w:val="10D4204A"/>
    <w:rsid w:val="10D46A26"/>
    <w:rsid w:val="10D46BEA"/>
    <w:rsid w:val="10D572AC"/>
    <w:rsid w:val="10D57F9F"/>
    <w:rsid w:val="10D95CB2"/>
    <w:rsid w:val="10DA3734"/>
    <w:rsid w:val="10DB11B5"/>
    <w:rsid w:val="10DB3B04"/>
    <w:rsid w:val="10DB41CE"/>
    <w:rsid w:val="10DC4F31"/>
    <w:rsid w:val="10DD46B8"/>
    <w:rsid w:val="10DD7F3C"/>
    <w:rsid w:val="10DE213A"/>
    <w:rsid w:val="10DF7048"/>
    <w:rsid w:val="10DF7BBC"/>
    <w:rsid w:val="10E07A23"/>
    <w:rsid w:val="10E103FD"/>
    <w:rsid w:val="10E20B40"/>
    <w:rsid w:val="10E21B3A"/>
    <w:rsid w:val="10E243C3"/>
    <w:rsid w:val="10E31E45"/>
    <w:rsid w:val="10E44043"/>
    <w:rsid w:val="10E51AC5"/>
    <w:rsid w:val="10E55348"/>
    <w:rsid w:val="10E62DCA"/>
    <w:rsid w:val="10E7084B"/>
    <w:rsid w:val="10E74FC8"/>
    <w:rsid w:val="10E82A49"/>
    <w:rsid w:val="10E904CB"/>
    <w:rsid w:val="10E93D4E"/>
    <w:rsid w:val="10EA17D0"/>
    <w:rsid w:val="10EB1450"/>
    <w:rsid w:val="10EB7251"/>
    <w:rsid w:val="10EC4CD3"/>
    <w:rsid w:val="10EC6ED1"/>
    <w:rsid w:val="10ED2754"/>
    <w:rsid w:val="10EE1995"/>
    <w:rsid w:val="10EE1F98"/>
    <w:rsid w:val="10EF7E56"/>
    <w:rsid w:val="10F03EEC"/>
    <w:rsid w:val="10F10820"/>
    <w:rsid w:val="10F13359"/>
    <w:rsid w:val="10F2465E"/>
    <w:rsid w:val="10F320DF"/>
    <w:rsid w:val="10F442DE"/>
    <w:rsid w:val="10F469DD"/>
    <w:rsid w:val="10F543DD"/>
    <w:rsid w:val="10F555E2"/>
    <w:rsid w:val="10F63064"/>
    <w:rsid w:val="10F677E1"/>
    <w:rsid w:val="10F70AE6"/>
    <w:rsid w:val="10F82CE4"/>
    <w:rsid w:val="10F90765"/>
    <w:rsid w:val="10F90C6D"/>
    <w:rsid w:val="10F93FE9"/>
    <w:rsid w:val="10FA61E7"/>
    <w:rsid w:val="10FB3C68"/>
    <w:rsid w:val="10FB74EC"/>
    <w:rsid w:val="10FC4F6D"/>
    <w:rsid w:val="10FD716C"/>
    <w:rsid w:val="10FE0470"/>
    <w:rsid w:val="10FE4BED"/>
    <w:rsid w:val="10FE58C3"/>
    <w:rsid w:val="10FF5EF2"/>
    <w:rsid w:val="10FF7000"/>
    <w:rsid w:val="110000F0"/>
    <w:rsid w:val="11003973"/>
    <w:rsid w:val="110079DA"/>
    <w:rsid w:val="1101035E"/>
    <w:rsid w:val="110113F5"/>
    <w:rsid w:val="110235F3"/>
    <w:rsid w:val="11026E77"/>
    <w:rsid w:val="11031AF2"/>
    <w:rsid w:val="110348F8"/>
    <w:rsid w:val="1104237A"/>
    <w:rsid w:val="11051FFA"/>
    <w:rsid w:val="1105306B"/>
    <w:rsid w:val="11056D1C"/>
    <w:rsid w:val="11057DFB"/>
    <w:rsid w:val="11063C09"/>
    <w:rsid w:val="1106587D"/>
    <w:rsid w:val="11095D21"/>
    <w:rsid w:val="110A1D05"/>
    <w:rsid w:val="110A6481"/>
    <w:rsid w:val="110A66FB"/>
    <w:rsid w:val="110B3F03"/>
    <w:rsid w:val="110B729A"/>
    <w:rsid w:val="110B7786"/>
    <w:rsid w:val="110C09D7"/>
    <w:rsid w:val="110C5208"/>
    <w:rsid w:val="110E4E87"/>
    <w:rsid w:val="110E7C6F"/>
    <w:rsid w:val="110F2909"/>
    <w:rsid w:val="110F618C"/>
    <w:rsid w:val="11103304"/>
    <w:rsid w:val="11103C0E"/>
    <w:rsid w:val="11114067"/>
    <w:rsid w:val="11115E0C"/>
    <w:rsid w:val="1112388E"/>
    <w:rsid w:val="11127111"/>
    <w:rsid w:val="11145FBB"/>
    <w:rsid w:val="11146D91"/>
    <w:rsid w:val="11150096"/>
    <w:rsid w:val="11154812"/>
    <w:rsid w:val="11161147"/>
    <w:rsid w:val="11173599"/>
    <w:rsid w:val="11177D15"/>
    <w:rsid w:val="11193219"/>
    <w:rsid w:val="111A451D"/>
    <w:rsid w:val="111B3927"/>
    <w:rsid w:val="111C2F7A"/>
    <w:rsid w:val="111C7A20"/>
    <w:rsid w:val="111D76A0"/>
    <w:rsid w:val="111E2F24"/>
    <w:rsid w:val="111E5122"/>
    <w:rsid w:val="111F09A5"/>
    <w:rsid w:val="111F2BA3"/>
    <w:rsid w:val="111F6419"/>
    <w:rsid w:val="11206427"/>
    <w:rsid w:val="11213EA8"/>
    <w:rsid w:val="1122192A"/>
    <w:rsid w:val="112315AA"/>
    <w:rsid w:val="11234E2D"/>
    <w:rsid w:val="112428AE"/>
    <w:rsid w:val="1124702B"/>
    <w:rsid w:val="11254AAD"/>
    <w:rsid w:val="11265DB1"/>
    <w:rsid w:val="11273833"/>
    <w:rsid w:val="11285A31"/>
    <w:rsid w:val="11296D36"/>
    <w:rsid w:val="112A0F34"/>
    <w:rsid w:val="112D573C"/>
    <w:rsid w:val="112D6EFE"/>
    <w:rsid w:val="112E1369"/>
    <w:rsid w:val="112E152D"/>
    <w:rsid w:val="11314143"/>
    <w:rsid w:val="11321BC4"/>
    <w:rsid w:val="11355F72"/>
    <w:rsid w:val="11356CD5"/>
    <w:rsid w:val="1137604C"/>
    <w:rsid w:val="11383ACD"/>
    <w:rsid w:val="11390075"/>
    <w:rsid w:val="11391602"/>
    <w:rsid w:val="113917C7"/>
    <w:rsid w:val="113B11BA"/>
    <w:rsid w:val="113B24D4"/>
    <w:rsid w:val="113B4A52"/>
    <w:rsid w:val="113C38DE"/>
    <w:rsid w:val="113D42B9"/>
    <w:rsid w:val="113D447D"/>
    <w:rsid w:val="113D59D7"/>
    <w:rsid w:val="113E3458"/>
    <w:rsid w:val="113E4E57"/>
    <w:rsid w:val="113F0EDA"/>
    <w:rsid w:val="113F5831"/>
    <w:rsid w:val="113F59F6"/>
    <w:rsid w:val="1140695B"/>
    <w:rsid w:val="114143DD"/>
    <w:rsid w:val="11427B0D"/>
    <w:rsid w:val="114378E0"/>
    <w:rsid w:val="11445362"/>
    <w:rsid w:val="11452DE3"/>
    <w:rsid w:val="11456666"/>
    <w:rsid w:val="114640E8"/>
    <w:rsid w:val="11484717"/>
    <w:rsid w:val="114875EB"/>
    <w:rsid w:val="114917E9"/>
    <w:rsid w:val="114948FA"/>
    <w:rsid w:val="1149506D"/>
    <w:rsid w:val="114A2AEE"/>
    <w:rsid w:val="114A2F56"/>
    <w:rsid w:val="114A5C90"/>
    <w:rsid w:val="114A726B"/>
    <w:rsid w:val="114B0570"/>
    <w:rsid w:val="114B4CEC"/>
    <w:rsid w:val="114B682E"/>
    <w:rsid w:val="114B69A6"/>
    <w:rsid w:val="114C276E"/>
    <w:rsid w:val="114C5FF1"/>
    <w:rsid w:val="114D01EF"/>
    <w:rsid w:val="114D3A73"/>
    <w:rsid w:val="114E0DD1"/>
    <w:rsid w:val="114E14F4"/>
    <w:rsid w:val="114F36F3"/>
    <w:rsid w:val="11501174"/>
    <w:rsid w:val="115049F7"/>
    <w:rsid w:val="11512479"/>
    <w:rsid w:val="11513438"/>
    <w:rsid w:val="11516BF6"/>
    <w:rsid w:val="11517434"/>
    <w:rsid w:val="11524677"/>
    <w:rsid w:val="11527EFA"/>
    <w:rsid w:val="115349B0"/>
    <w:rsid w:val="115433FE"/>
    <w:rsid w:val="1154554F"/>
    <w:rsid w:val="115455FC"/>
    <w:rsid w:val="11545714"/>
    <w:rsid w:val="1155307D"/>
    <w:rsid w:val="11566901"/>
    <w:rsid w:val="11576580"/>
    <w:rsid w:val="11584002"/>
    <w:rsid w:val="11585C54"/>
    <w:rsid w:val="115864E0"/>
    <w:rsid w:val="11591A84"/>
    <w:rsid w:val="11597885"/>
    <w:rsid w:val="115B0338"/>
    <w:rsid w:val="115B080A"/>
    <w:rsid w:val="115B4F87"/>
    <w:rsid w:val="115C2CF7"/>
    <w:rsid w:val="115D0157"/>
    <w:rsid w:val="115D048A"/>
    <w:rsid w:val="115D1650"/>
    <w:rsid w:val="115D3D0D"/>
    <w:rsid w:val="115E178F"/>
    <w:rsid w:val="115E4FD3"/>
    <w:rsid w:val="11606388"/>
    <w:rsid w:val="11612713"/>
    <w:rsid w:val="11616F26"/>
    <w:rsid w:val="11624912"/>
    <w:rsid w:val="11627AC5"/>
    <w:rsid w:val="11632393"/>
    <w:rsid w:val="11643698"/>
    <w:rsid w:val="11647E15"/>
    <w:rsid w:val="11651BDC"/>
    <w:rsid w:val="11651DD5"/>
    <w:rsid w:val="11661336"/>
    <w:rsid w:val="11665CA1"/>
    <w:rsid w:val="11666B9B"/>
    <w:rsid w:val="116700C5"/>
    <w:rsid w:val="11670D99"/>
    <w:rsid w:val="1168209E"/>
    <w:rsid w:val="1168681B"/>
    <w:rsid w:val="116946CE"/>
    <w:rsid w:val="11694893"/>
    <w:rsid w:val="116B5221"/>
    <w:rsid w:val="116D0724"/>
    <w:rsid w:val="116D6526"/>
    <w:rsid w:val="116D7D5F"/>
    <w:rsid w:val="116E3FA7"/>
    <w:rsid w:val="116E61A6"/>
    <w:rsid w:val="116E6CAB"/>
    <w:rsid w:val="116F1A29"/>
    <w:rsid w:val="116F3C27"/>
    <w:rsid w:val="117074AB"/>
    <w:rsid w:val="11712A15"/>
    <w:rsid w:val="117229AE"/>
    <w:rsid w:val="1173042F"/>
    <w:rsid w:val="1173262D"/>
    <w:rsid w:val="11733F8E"/>
    <w:rsid w:val="11735EB1"/>
    <w:rsid w:val="117400AF"/>
    <w:rsid w:val="117513B4"/>
    <w:rsid w:val="11755B31"/>
    <w:rsid w:val="11761AF6"/>
    <w:rsid w:val="11761CAB"/>
    <w:rsid w:val="11762382"/>
    <w:rsid w:val="117635B2"/>
    <w:rsid w:val="11771034"/>
    <w:rsid w:val="11776A7F"/>
    <w:rsid w:val="11782338"/>
    <w:rsid w:val="11797DBA"/>
    <w:rsid w:val="117A1736"/>
    <w:rsid w:val="117A583C"/>
    <w:rsid w:val="117B32BD"/>
    <w:rsid w:val="117C0D3F"/>
    <w:rsid w:val="117C54BB"/>
    <w:rsid w:val="117D2F3D"/>
    <w:rsid w:val="117D384D"/>
    <w:rsid w:val="117D67C0"/>
    <w:rsid w:val="117E09BE"/>
    <w:rsid w:val="117E4227"/>
    <w:rsid w:val="117E4242"/>
    <w:rsid w:val="117F6440"/>
    <w:rsid w:val="11803EC2"/>
    <w:rsid w:val="11805965"/>
    <w:rsid w:val="11811943"/>
    <w:rsid w:val="118151C6"/>
    <w:rsid w:val="1181633F"/>
    <w:rsid w:val="11822C48"/>
    <w:rsid w:val="11826A24"/>
    <w:rsid w:val="118306C9"/>
    <w:rsid w:val="118328C8"/>
    <w:rsid w:val="11834E46"/>
    <w:rsid w:val="11835E2C"/>
    <w:rsid w:val="11836198"/>
    <w:rsid w:val="118378BD"/>
    <w:rsid w:val="11840349"/>
    <w:rsid w:val="11855DCB"/>
    <w:rsid w:val="1186384C"/>
    <w:rsid w:val="118770D0"/>
    <w:rsid w:val="11883AE7"/>
    <w:rsid w:val="11884B51"/>
    <w:rsid w:val="11886D50"/>
    <w:rsid w:val="11890DCD"/>
    <w:rsid w:val="118925D3"/>
    <w:rsid w:val="118947D1"/>
    <w:rsid w:val="118A0054"/>
    <w:rsid w:val="118A2253"/>
    <w:rsid w:val="118A5224"/>
    <w:rsid w:val="118B3557"/>
    <w:rsid w:val="118B5AD6"/>
    <w:rsid w:val="118B7CD4"/>
    <w:rsid w:val="118E0C59"/>
    <w:rsid w:val="118E44DC"/>
    <w:rsid w:val="1190104B"/>
    <w:rsid w:val="11901201"/>
    <w:rsid w:val="1190415C"/>
    <w:rsid w:val="119079DF"/>
    <w:rsid w:val="11910467"/>
    <w:rsid w:val="11922EE2"/>
    <w:rsid w:val="11936E1B"/>
    <w:rsid w:val="119463E5"/>
    <w:rsid w:val="11953E67"/>
    <w:rsid w:val="119618E8"/>
    <w:rsid w:val="1196605D"/>
    <w:rsid w:val="11984DEC"/>
    <w:rsid w:val="11985038"/>
    <w:rsid w:val="1198779A"/>
    <w:rsid w:val="1199286D"/>
    <w:rsid w:val="119A02EF"/>
    <w:rsid w:val="119B18B2"/>
    <w:rsid w:val="119B5D70"/>
    <w:rsid w:val="119C141C"/>
    <w:rsid w:val="119E3805"/>
    <w:rsid w:val="119E6CF5"/>
    <w:rsid w:val="119F4776"/>
    <w:rsid w:val="11A021EF"/>
    <w:rsid w:val="11A021F8"/>
    <w:rsid w:val="11A115F8"/>
    <w:rsid w:val="11A11B19"/>
    <w:rsid w:val="11A256FB"/>
    <w:rsid w:val="11A3317D"/>
    <w:rsid w:val="11A51171"/>
    <w:rsid w:val="11A72525"/>
    <w:rsid w:val="11A77604"/>
    <w:rsid w:val="11A85086"/>
    <w:rsid w:val="11AA638B"/>
    <w:rsid w:val="11AB188E"/>
    <w:rsid w:val="11AB51DC"/>
    <w:rsid w:val="11AC3A8C"/>
    <w:rsid w:val="11AD6919"/>
    <w:rsid w:val="11AE2812"/>
    <w:rsid w:val="11AE540E"/>
    <w:rsid w:val="11AE5779"/>
    <w:rsid w:val="11AE6F8F"/>
    <w:rsid w:val="11AF0294"/>
    <w:rsid w:val="11AF0A31"/>
    <w:rsid w:val="11AF3DD5"/>
    <w:rsid w:val="11AF4A11"/>
    <w:rsid w:val="11AF7CCD"/>
    <w:rsid w:val="11B13797"/>
    <w:rsid w:val="11B17F14"/>
    <w:rsid w:val="11B25995"/>
    <w:rsid w:val="11B33417"/>
    <w:rsid w:val="11B4471C"/>
    <w:rsid w:val="11B5219D"/>
    <w:rsid w:val="11B61DC5"/>
    <w:rsid w:val="11B6439C"/>
    <w:rsid w:val="11B71E1D"/>
    <w:rsid w:val="11B7310E"/>
    <w:rsid w:val="11B90BA4"/>
    <w:rsid w:val="11B95320"/>
    <w:rsid w:val="11BA02F0"/>
    <w:rsid w:val="11BA2DA2"/>
    <w:rsid w:val="11BA6625"/>
    <w:rsid w:val="11BB40A7"/>
    <w:rsid w:val="11BB7DC5"/>
    <w:rsid w:val="11BC16A5"/>
    <w:rsid w:val="11BC1B28"/>
    <w:rsid w:val="11BC62A5"/>
    <w:rsid w:val="11BC7A36"/>
    <w:rsid w:val="11BC7BEB"/>
    <w:rsid w:val="11BD75AA"/>
    <w:rsid w:val="11BE502B"/>
    <w:rsid w:val="11BF2AAD"/>
    <w:rsid w:val="11BF37BC"/>
    <w:rsid w:val="11C101AE"/>
    <w:rsid w:val="11C15FB0"/>
    <w:rsid w:val="11C23A31"/>
    <w:rsid w:val="11C25C30"/>
    <w:rsid w:val="11C41133"/>
    <w:rsid w:val="11C449B6"/>
    <w:rsid w:val="11C5058A"/>
    <w:rsid w:val="11C52438"/>
    <w:rsid w:val="11C56BB4"/>
    <w:rsid w:val="11C61128"/>
    <w:rsid w:val="11C64636"/>
    <w:rsid w:val="11C67EB9"/>
    <w:rsid w:val="11C7593B"/>
    <w:rsid w:val="11C93240"/>
    <w:rsid w:val="11CA303C"/>
    <w:rsid w:val="11CA3DDF"/>
    <w:rsid w:val="11CB0ABE"/>
    <w:rsid w:val="11CB1987"/>
    <w:rsid w:val="11CB1CF2"/>
    <w:rsid w:val="11CB4341"/>
    <w:rsid w:val="11CC1DC3"/>
    <w:rsid w:val="11CC5EF6"/>
    <w:rsid w:val="11CD3FC1"/>
    <w:rsid w:val="11CD7844"/>
    <w:rsid w:val="11CE1A42"/>
    <w:rsid w:val="11CE52C6"/>
    <w:rsid w:val="11CF2D47"/>
    <w:rsid w:val="11CF74C4"/>
    <w:rsid w:val="11D007C9"/>
    <w:rsid w:val="11D113C2"/>
    <w:rsid w:val="11D11587"/>
    <w:rsid w:val="11D129C7"/>
    <w:rsid w:val="11D1624A"/>
    <w:rsid w:val="11D21F61"/>
    <w:rsid w:val="11D23CCC"/>
    <w:rsid w:val="11D3174D"/>
    <w:rsid w:val="11D3293B"/>
    <w:rsid w:val="11D32B00"/>
    <w:rsid w:val="11D35ECA"/>
    <w:rsid w:val="11D434DA"/>
    <w:rsid w:val="11D471CF"/>
    <w:rsid w:val="11D56E4F"/>
    <w:rsid w:val="11D626D2"/>
    <w:rsid w:val="11D648D0"/>
    <w:rsid w:val="11D64C17"/>
    <w:rsid w:val="11D70154"/>
    <w:rsid w:val="11D85BD5"/>
    <w:rsid w:val="11D87DD3"/>
    <w:rsid w:val="11D94517"/>
    <w:rsid w:val="11D96B6A"/>
    <w:rsid w:val="11DA02A7"/>
    <w:rsid w:val="11DA3C43"/>
    <w:rsid w:val="11DB0E46"/>
    <w:rsid w:val="11DB2B2B"/>
    <w:rsid w:val="11DB6B5A"/>
    <w:rsid w:val="11DC45DB"/>
    <w:rsid w:val="11DC67DA"/>
    <w:rsid w:val="11DD2A7B"/>
    <w:rsid w:val="11DD7ADE"/>
    <w:rsid w:val="11DE1CDD"/>
    <w:rsid w:val="11DE5560"/>
    <w:rsid w:val="11DF2FE2"/>
    <w:rsid w:val="11DF775E"/>
    <w:rsid w:val="11E04312"/>
    <w:rsid w:val="11E051E0"/>
    <w:rsid w:val="11E12C61"/>
    <w:rsid w:val="11E164E5"/>
    <w:rsid w:val="11E206E3"/>
    <w:rsid w:val="11E23F66"/>
    <w:rsid w:val="11E319E8"/>
    <w:rsid w:val="11E3642A"/>
    <w:rsid w:val="11E365EE"/>
    <w:rsid w:val="11E43BE6"/>
    <w:rsid w:val="11E47469"/>
    <w:rsid w:val="11E51668"/>
    <w:rsid w:val="11E54EEB"/>
    <w:rsid w:val="11E60541"/>
    <w:rsid w:val="11E6296C"/>
    <w:rsid w:val="11E670E9"/>
    <w:rsid w:val="11E703EE"/>
    <w:rsid w:val="11E74B6B"/>
    <w:rsid w:val="11E825EC"/>
    <w:rsid w:val="11E82659"/>
    <w:rsid w:val="11E9006E"/>
    <w:rsid w:val="11E936F9"/>
    <w:rsid w:val="11EA5308"/>
    <w:rsid w:val="11EA5AEF"/>
    <w:rsid w:val="11EB3571"/>
    <w:rsid w:val="11EB6DF4"/>
    <w:rsid w:val="11EC0FF2"/>
    <w:rsid w:val="11EC4876"/>
    <w:rsid w:val="11EC6A74"/>
    <w:rsid w:val="11ED1B8B"/>
    <w:rsid w:val="11ED22F7"/>
    <w:rsid w:val="11ED44F6"/>
    <w:rsid w:val="11EE1F77"/>
    <w:rsid w:val="11EE6888"/>
    <w:rsid w:val="11EF57FA"/>
    <w:rsid w:val="11EF79F9"/>
    <w:rsid w:val="11F12EFC"/>
    <w:rsid w:val="11F2097D"/>
    <w:rsid w:val="11F41C82"/>
    <w:rsid w:val="11F51902"/>
    <w:rsid w:val="11F55185"/>
    <w:rsid w:val="11F62C07"/>
    <w:rsid w:val="11F70688"/>
    <w:rsid w:val="11F755A9"/>
    <w:rsid w:val="11F96B22"/>
    <w:rsid w:val="11FA7885"/>
    <w:rsid w:val="11FB708E"/>
    <w:rsid w:val="11FC0DFE"/>
    <w:rsid w:val="11FC4B10"/>
    <w:rsid w:val="11FE0013"/>
    <w:rsid w:val="12010F98"/>
    <w:rsid w:val="12024E68"/>
    <w:rsid w:val="1202502D"/>
    <w:rsid w:val="120365A6"/>
    <w:rsid w:val="12041F1C"/>
    <w:rsid w:val="1205785B"/>
    <w:rsid w:val="1205799E"/>
    <w:rsid w:val="12057B1E"/>
    <w:rsid w:val="120711AA"/>
    <w:rsid w:val="120716CB"/>
    <w:rsid w:val="12071DA1"/>
    <w:rsid w:val="12072EA1"/>
    <w:rsid w:val="120927D5"/>
    <w:rsid w:val="120B18A7"/>
    <w:rsid w:val="120B3B89"/>
    <w:rsid w:val="120C4DAA"/>
    <w:rsid w:val="120E5CA1"/>
    <w:rsid w:val="120E5E65"/>
    <w:rsid w:val="12126CB4"/>
    <w:rsid w:val="12132094"/>
    <w:rsid w:val="12132537"/>
    <w:rsid w:val="12134735"/>
    <w:rsid w:val="121421B7"/>
    <w:rsid w:val="12145A3A"/>
    <w:rsid w:val="12147FB8"/>
    <w:rsid w:val="121534BC"/>
    <w:rsid w:val="12153EA8"/>
    <w:rsid w:val="12157C38"/>
    <w:rsid w:val="121656BA"/>
    <w:rsid w:val="121769BF"/>
    <w:rsid w:val="12180BBD"/>
    <w:rsid w:val="12185560"/>
    <w:rsid w:val="1219663F"/>
    <w:rsid w:val="121A7943"/>
    <w:rsid w:val="121B1B42"/>
    <w:rsid w:val="121B53C5"/>
    <w:rsid w:val="121B783C"/>
    <w:rsid w:val="121C75C3"/>
    <w:rsid w:val="121D5045"/>
    <w:rsid w:val="121E634A"/>
    <w:rsid w:val="121F3DCB"/>
    <w:rsid w:val="1220184D"/>
    <w:rsid w:val="122038A7"/>
    <w:rsid w:val="12205FC9"/>
    <w:rsid w:val="12213A4B"/>
    <w:rsid w:val="122172CE"/>
    <w:rsid w:val="122214CC"/>
    <w:rsid w:val="12235B83"/>
    <w:rsid w:val="12236F4E"/>
    <w:rsid w:val="12240253"/>
    <w:rsid w:val="12252451"/>
    <w:rsid w:val="12255CD4"/>
    <w:rsid w:val="12256F37"/>
    <w:rsid w:val="122570FC"/>
    <w:rsid w:val="12267AD6"/>
    <w:rsid w:val="12270675"/>
    <w:rsid w:val="1228104F"/>
    <w:rsid w:val="12281213"/>
    <w:rsid w:val="122946DB"/>
    <w:rsid w:val="122968D9"/>
    <w:rsid w:val="122A435A"/>
    <w:rsid w:val="122B1DDC"/>
    <w:rsid w:val="122B3166"/>
    <w:rsid w:val="122B630F"/>
    <w:rsid w:val="122B7BDE"/>
    <w:rsid w:val="122C785E"/>
    <w:rsid w:val="122D0B62"/>
    <w:rsid w:val="122D52DF"/>
    <w:rsid w:val="122D5442"/>
    <w:rsid w:val="122E65E4"/>
    <w:rsid w:val="122F07E2"/>
    <w:rsid w:val="122F4065"/>
    <w:rsid w:val="122F69BB"/>
    <w:rsid w:val="12301AE7"/>
    <w:rsid w:val="12306264"/>
    <w:rsid w:val="12313CE5"/>
    <w:rsid w:val="12320AF7"/>
    <w:rsid w:val="12321767"/>
    <w:rsid w:val="123371E8"/>
    <w:rsid w:val="12344C6A"/>
    <w:rsid w:val="123526EB"/>
    <w:rsid w:val="12355F6F"/>
    <w:rsid w:val="123639F0"/>
    <w:rsid w:val="12371472"/>
    <w:rsid w:val="12384D02"/>
    <w:rsid w:val="12386EF3"/>
    <w:rsid w:val="123910F2"/>
    <w:rsid w:val="123A23F6"/>
    <w:rsid w:val="123A6B73"/>
    <w:rsid w:val="123B45F5"/>
    <w:rsid w:val="123D0D6C"/>
    <w:rsid w:val="123E190B"/>
    <w:rsid w:val="123E2FFB"/>
    <w:rsid w:val="123F0A7C"/>
    <w:rsid w:val="123F22E5"/>
    <w:rsid w:val="12402E84"/>
    <w:rsid w:val="12405B48"/>
    <w:rsid w:val="124064FE"/>
    <w:rsid w:val="12411D81"/>
    <w:rsid w:val="12412F69"/>
    <w:rsid w:val="12413F80"/>
    <w:rsid w:val="12427803"/>
    <w:rsid w:val="12435284"/>
    <w:rsid w:val="12437483"/>
    <w:rsid w:val="12442D06"/>
    <w:rsid w:val="12445976"/>
    <w:rsid w:val="12450788"/>
    <w:rsid w:val="12460407"/>
    <w:rsid w:val="12463C8B"/>
    <w:rsid w:val="1247170C"/>
    <w:rsid w:val="1248718E"/>
    <w:rsid w:val="12491D69"/>
    <w:rsid w:val="124B0112"/>
    <w:rsid w:val="124B311E"/>
    <w:rsid w:val="124B32E2"/>
    <w:rsid w:val="124C2311"/>
    <w:rsid w:val="124C5B94"/>
    <w:rsid w:val="124D7D92"/>
    <w:rsid w:val="124E70EA"/>
    <w:rsid w:val="124F3295"/>
    <w:rsid w:val="12500D17"/>
    <w:rsid w:val="1250459A"/>
    <w:rsid w:val="125067AE"/>
    <w:rsid w:val="1251201C"/>
    <w:rsid w:val="12516798"/>
    <w:rsid w:val="1252421A"/>
    <w:rsid w:val="1254771D"/>
    <w:rsid w:val="125538B6"/>
    <w:rsid w:val="12563740"/>
    <w:rsid w:val="125664A3"/>
    <w:rsid w:val="12573F25"/>
    <w:rsid w:val="1257411B"/>
    <w:rsid w:val="12577104"/>
    <w:rsid w:val="125819A7"/>
    <w:rsid w:val="12583BA5"/>
    <w:rsid w:val="12584CB9"/>
    <w:rsid w:val="12591626"/>
    <w:rsid w:val="125A4EAA"/>
    <w:rsid w:val="125A6232"/>
    <w:rsid w:val="125A70A8"/>
    <w:rsid w:val="125B292B"/>
    <w:rsid w:val="125B4B29"/>
    <w:rsid w:val="125B6C0C"/>
    <w:rsid w:val="125C03AD"/>
    <w:rsid w:val="125C25AB"/>
    <w:rsid w:val="125D38B0"/>
    <w:rsid w:val="125E055F"/>
    <w:rsid w:val="125E0EE8"/>
    <w:rsid w:val="125E7697"/>
    <w:rsid w:val="125F6DB3"/>
    <w:rsid w:val="125F6E0B"/>
    <w:rsid w:val="12604834"/>
    <w:rsid w:val="12627D38"/>
    <w:rsid w:val="1264323B"/>
    <w:rsid w:val="12645AF2"/>
    <w:rsid w:val="12650CBC"/>
    <w:rsid w:val="12656BC5"/>
    <w:rsid w:val="12677578"/>
    <w:rsid w:val="126976C2"/>
    <w:rsid w:val="126A5144"/>
    <w:rsid w:val="126B32F7"/>
    <w:rsid w:val="126C0647"/>
    <w:rsid w:val="126C21DF"/>
    <w:rsid w:val="126D4B79"/>
    <w:rsid w:val="126E3862"/>
    <w:rsid w:val="126E3B4A"/>
    <w:rsid w:val="126F15CC"/>
    <w:rsid w:val="12705D8B"/>
    <w:rsid w:val="1270704D"/>
    <w:rsid w:val="12714ACF"/>
    <w:rsid w:val="12737FD2"/>
    <w:rsid w:val="12750F57"/>
    <w:rsid w:val="127669D8"/>
    <w:rsid w:val="127736F8"/>
    <w:rsid w:val="1277445A"/>
    <w:rsid w:val="12781EDB"/>
    <w:rsid w:val="1279795D"/>
    <w:rsid w:val="127A31E0"/>
    <w:rsid w:val="127B0C62"/>
    <w:rsid w:val="127B2E60"/>
    <w:rsid w:val="127B4651"/>
    <w:rsid w:val="127B4EDD"/>
    <w:rsid w:val="127C08E1"/>
    <w:rsid w:val="127D1BE6"/>
    <w:rsid w:val="127D6363"/>
    <w:rsid w:val="127E013D"/>
    <w:rsid w:val="127E2E73"/>
    <w:rsid w:val="127E3DE4"/>
    <w:rsid w:val="127E7668"/>
    <w:rsid w:val="127F1866"/>
    <w:rsid w:val="12802254"/>
    <w:rsid w:val="12802B6B"/>
    <w:rsid w:val="128072E8"/>
    <w:rsid w:val="12814D69"/>
    <w:rsid w:val="128227EB"/>
    <w:rsid w:val="12823991"/>
    <w:rsid w:val="1283026C"/>
    <w:rsid w:val="12841571"/>
    <w:rsid w:val="12844F0A"/>
    <w:rsid w:val="12845CEE"/>
    <w:rsid w:val="12856FF3"/>
    <w:rsid w:val="12864A74"/>
    <w:rsid w:val="12866648"/>
    <w:rsid w:val="12876C72"/>
    <w:rsid w:val="128771E6"/>
    <w:rsid w:val="1289059B"/>
    <w:rsid w:val="128959F9"/>
    <w:rsid w:val="1289734F"/>
    <w:rsid w:val="12897A26"/>
    <w:rsid w:val="128A347A"/>
    <w:rsid w:val="128C30FA"/>
    <w:rsid w:val="128C697D"/>
    <w:rsid w:val="128D0B7C"/>
    <w:rsid w:val="128D43FF"/>
    <w:rsid w:val="128E407F"/>
    <w:rsid w:val="128E5A71"/>
    <w:rsid w:val="128F1B00"/>
    <w:rsid w:val="128F7BF1"/>
    <w:rsid w:val="12905384"/>
    <w:rsid w:val="12905F07"/>
    <w:rsid w:val="12907582"/>
    <w:rsid w:val="12912E05"/>
    <w:rsid w:val="1292638E"/>
    <w:rsid w:val="12930507"/>
    <w:rsid w:val="12937E5A"/>
    <w:rsid w:val="12943D8A"/>
    <w:rsid w:val="12953A0A"/>
    <w:rsid w:val="12962A8F"/>
    <w:rsid w:val="12962DFA"/>
    <w:rsid w:val="12964D0E"/>
    <w:rsid w:val="12972790"/>
    <w:rsid w:val="12976F0D"/>
    <w:rsid w:val="129817C1"/>
    <w:rsid w:val="1298498E"/>
    <w:rsid w:val="129A3715"/>
    <w:rsid w:val="129A7E91"/>
    <w:rsid w:val="129B4B68"/>
    <w:rsid w:val="129B5913"/>
    <w:rsid w:val="129C6C18"/>
    <w:rsid w:val="129D4699"/>
    <w:rsid w:val="129D771A"/>
    <w:rsid w:val="129E02B8"/>
    <w:rsid w:val="129E211B"/>
    <w:rsid w:val="129E2F84"/>
    <w:rsid w:val="129F4319"/>
    <w:rsid w:val="129F7B9C"/>
    <w:rsid w:val="12A019F6"/>
    <w:rsid w:val="12A0561E"/>
    <w:rsid w:val="12A123D0"/>
    <w:rsid w:val="12A130A0"/>
    <w:rsid w:val="12A1781C"/>
    <w:rsid w:val="12A20B21"/>
    <w:rsid w:val="12A32D1F"/>
    <w:rsid w:val="12A33949"/>
    <w:rsid w:val="12A407A1"/>
    <w:rsid w:val="12A44024"/>
    <w:rsid w:val="12A549E0"/>
    <w:rsid w:val="12A61726"/>
    <w:rsid w:val="12A63A7D"/>
    <w:rsid w:val="12A63CA4"/>
    <w:rsid w:val="12A67527"/>
    <w:rsid w:val="12A72E86"/>
    <w:rsid w:val="12A74FA9"/>
    <w:rsid w:val="12A765FF"/>
    <w:rsid w:val="12A7719E"/>
    <w:rsid w:val="12A771A7"/>
    <w:rsid w:val="12A82A2A"/>
    <w:rsid w:val="12A84C29"/>
    <w:rsid w:val="12A90717"/>
    <w:rsid w:val="12A926AA"/>
    <w:rsid w:val="12AA012C"/>
    <w:rsid w:val="12AA5F2D"/>
    <w:rsid w:val="12AB1C90"/>
    <w:rsid w:val="12AB5BAD"/>
    <w:rsid w:val="12AD10B0"/>
    <w:rsid w:val="12AD33CD"/>
    <w:rsid w:val="12AD6EB2"/>
    <w:rsid w:val="12AE4934"/>
    <w:rsid w:val="12AE6B32"/>
    <w:rsid w:val="12AF7E37"/>
    <w:rsid w:val="12B02035"/>
    <w:rsid w:val="12B1333A"/>
    <w:rsid w:val="12B15EBF"/>
    <w:rsid w:val="12B17AB7"/>
    <w:rsid w:val="12B25538"/>
    <w:rsid w:val="12B3683D"/>
    <w:rsid w:val="12B40A3B"/>
    <w:rsid w:val="12B47FD6"/>
    <w:rsid w:val="12B719C0"/>
    <w:rsid w:val="12B90746"/>
    <w:rsid w:val="12B91160"/>
    <w:rsid w:val="12B94EC3"/>
    <w:rsid w:val="12BA12DA"/>
    <w:rsid w:val="12BA2945"/>
    <w:rsid w:val="12BA61C8"/>
    <w:rsid w:val="12BB3C49"/>
    <w:rsid w:val="12BB6505"/>
    <w:rsid w:val="12BC16CB"/>
    <w:rsid w:val="12BD38C9"/>
    <w:rsid w:val="12BD714C"/>
    <w:rsid w:val="12BE134B"/>
    <w:rsid w:val="12BE4BCE"/>
    <w:rsid w:val="12BE6DCC"/>
    <w:rsid w:val="12BF0270"/>
    <w:rsid w:val="12BF0434"/>
    <w:rsid w:val="12BF2650"/>
    <w:rsid w:val="12BF484E"/>
    <w:rsid w:val="12C022CF"/>
    <w:rsid w:val="12C119AD"/>
    <w:rsid w:val="12C15B53"/>
    <w:rsid w:val="12C22387"/>
    <w:rsid w:val="12C25D81"/>
    <w:rsid w:val="12C30882"/>
    <w:rsid w:val="12C31056"/>
    <w:rsid w:val="12C33AC5"/>
    <w:rsid w:val="12C4449F"/>
    <w:rsid w:val="12C54559"/>
    <w:rsid w:val="12C65A18"/>
    <w:rsid w:val="12C65BDC"/>
    <w:rsid w:val="12C67A5C"/>
    <w:rsid w:val="12C754DE"/>
    <w:rsid w:val="12C87155"/>
    <w:rsid w:val="12C909E1"/>
    <w:rsid w:val="12CA6462"/>
    <w:rsid w:val="12CB3EE4"/>
    <w:rsid w:val="12CC1965"/>
    <w:rsid w:val="12CD73E7"/>
    <w:rsid w:val="12CE4E68"/>
    <w:rsid w:val="12D133CA"/>
    <w:rsid w:val="12D13FC1"/>
    <w:rsid w:val="12D15DED"/>
    <w:rsid w:val="12D2386F"/>
    <w:rsid w:val="12D312F0"/>
    <w:rsid w:val="12D31D92"/>
    <w:rsid w:val="12D43D6B"/>
    <w:rsid w:val="12D46D72"/>
    <w:rsid w:val="12D547F3"/>
    <w:rsid w:val="12D616CB"/>
    <w:rsid w:val="12D82A7F"/>
    <w:rsid w:val="12D82C44"/>
    <w:rsid w:val="12D931F9"/>
    <w:rsid w:val="12DA3FF8"/>
    <w:rsid w:val="12DB66FD"/>
    <w:rsid w:val="12DC417E"/>
    <w:rsid w:val="12DC7A01"/>
    <w:rsid w:val="12DD1C00"/>
    <w:rsid w:val="12DD62D4"/>
    <w:rsid w:val="12DE2F04"/>
    <w:rsid w:val="12DE6E73"/>
    <w:rsid w:val="12DE7681"/>
    <w:rsid w:val="12DF0986"/>
    <w:rsid w:val="12DF2B84"/>
    <w:rsid w:val="12E00606"/>
    <w:rsid w:val="12E00F8A"/>
    <w:rsid w:val="12E059F2"/>
    <w:rsid w:val="12E117A0"/>
    <w:rsid w:val="12E13E89"/>
    <w:rsid w:val="12E2190B"/>
    <w:rsid w:val="12E23B09"/>
    <w:rsid w:val="12E3158A"/>
    <w:rsid w:val="12E326D0"/>
    <w:rsid w:val="12E44E0E"/>
    <w:rsid w:val="12E4700C"/>
    <w:rsid w:val="12E5288F"/>
    <w:rsid w:val="12E54A8E"/>
    <w:rsid w:val="12E60311"/>
    <w:rsid w:val="12E65D92"/>
    <w:rsid w:val="12E73814"/>
    <w:rsid w:val="12E81295"/>
    <w:rsid w:val="12E85A12"/>
    <w:rsid w:val="12E8656E"/>
    <w:rsid w:val="12E93494"/>
    <w:rsid w:val="12E96D17"/>
    <w:rsid w:val="12EA0F15"/>
    <w:rsid w:val="12EA4799"/>
    <w:rsid w:val="12EA7CAB"/>
    <w:rsid w:val="12EB6997"/>
    <w:rsid w:val="12EC1224"/>
    <w:rsid w:val="12EC1DC3"/>
    <w:rsid w:val="12ED1E9A"/>
    <w:rsid w:val="12ED279D"/>
    <w:rsid w:val="12ED3332"/>
    <w:rsid w:val="12EE319F"/>
    <w:rsid w:val="12EE333C"/>
    <w:rsid w:val="12EF0C20"/>
    <w:rsid w:val="12EF539D"/>
    <w:rsid w:val="12EF5F14"/>
    <w:rsid w:val="12F02E1F"/>
    <w:rsid w:val="12F108A0"/>
    <w:rsid w:val="12F14123"/>
    <w:rsid w:val="12F21BA5"/>
    <w:rsid w:val="12F25FF2"/>
    <w:rsid w:val="12F26322"/>
    <w:rsid w:val="12F369CC"/>
    <w:rsid w:val="12F41825"/>
    <w:rsid w:val="12F450A8"/>
    <w:rsid w:val="12F473A6"/>
    <w:rsid w:val="12F572A6"/>
    <w:rsid w:val="12F6091F"/>
    <w:rsid w:val="12F627A9"/>
    <w:rsid w:val="12F8205D"/>
    <w:rsid w:val="12F83AAE"/>
    <w:rsid w:val="12F92A37"/>
    <w:rsid w:val="12FA11B0"/>
    <w:rsid w:val="12FB4A33"/>
    <w:rsid w:val="12FB4B4E"/>
    <w:rsid w:val="12FB6C31"/>
    <w:rsid w:val="12FC46B3"/>
    <w:rsid w:val="12FD7F36"/>
    <w:rsid w:val="12FE16DE"/>
    <w:rsid w:val="12FE3439"/>
    <w:rsid w:val="12FE59B8"/>
    <w:rsid w:val="12FE7BB6"/>
    <w:rsid w:val="12FF0EBB"/>
    <w:rsid w:val="12FF5637"/>
    <w:rsid w:val="12FF7805"/>
    <w:rsid w:val="130030B9"/>
    <w:rsid w:val="13010F42"/>
    <w:rsid w:val="130143BE"/>
    <w:rsid w:val="130265BC"/>
    <w:rsid w:val="130322F6"/>
    <w:rsid w:val="1303403E"/>
    <w:rsid w:val="13041ABF"/>
    <w:rsid w:val="13045342"/>
    <w:rsid w:val="13052DC4"/>
    <w:rsid w:val="13060846"/>
    <w:rsid w:val="13064FC2"/>
    <w:rsid w:val="130725DA"/>
    <w:rsid w:val="13072A44"/>
    <w:rsid w:val="13083D49"/>
    <w:rsid w:val="13086525"/>
    <w:rsid w:val="130A39C8"/>
    <w:rsid w:val="130B144A"/>
    <w:rsid w:val="130B4C68"/>
    <w:rsid w:val="130B4FD3"/>
    <w:rsid w:val="130C11DC"/>
    <w:rsid w:val="130C274F"/>
    <w:rsid w:val="130C6ECC"/>
    <w:rsid w:val="130D494D"/>
    <w:rsid w:val="130E23CF"/>
    <w:rsid w:val="130E2754"/>
    <w:rsid w:val="130E5C52"/>
    <w:rsid w:val="130F58D2"/>
    <w:rsid w:val="13101155"/>
    <w:rsid w:val="13110DD5"/>
    <w:rsid w:val="1311486C"/>
    <w:rsid w:val="13114A30"/>
    <w:rsid w:val="1312540B"/>
    <w:rsid w:val="13126856"/>
    <w:rsid w:val="13141D5A"/>
    <w:rsid w:val="13146984"/>
    <w:rsid w:val="13147B5B"/>
    <w:rsid w:val="131555DD"/>
    <w:rsid w:val="1316305E"/>
    <w:rsid w:val="13170AE0"/>
    <w:rsid w:val="13171988"/>
    <w:rsid w:val="13172CDE"/>
    <w:rsid w:val="13180D47"/>
    <w:rsid w:val="13183FE3"/>
    <w:rsid w:val="131961E1"/>
    <w:rsid w:val="131A358D"/>
    <w:rsid w:val="131A74E6"/>
    <w:rsid w:val="131C29E9"/>
    <w:rsid w:val="131D046B"/>
    <w:rsid w:val="131D4BE7"/>
    <w:rsid w:val="131D56A4"/>
    <w:rsid w:val="131D5869"/>
    <w:rsid w:val="131E2669"/>
    <w:rsid w:val="131F00EB"/>
    <w:rsid w:val="131F396E"/>
    <w:rsid w:val="13205B6C"/>
    <w:rsid w:val="132072B9"/>
    <w:rsid w:val="13216E71"/>
    <w:rsid w:val="13220D35"/>
    <w:rsid w:val="13220EF9"/>
    <w:rsid w:val="13236AF1"/>
    <w:rsid w:val="13243011"/>
    <w:rsid w:val="13247DF6"/>
    <w:rsid w:val="13251FF4"/>
    <w:rsid w:val="13253BB0"/>
    <w:rsid w:val="13255877"/>
    <w:rsid w:val="13270D7A"/>
    <w:rsid w:val="132754F7"/>
    <w:rsid w:val="1328154C"/>
    <w:rsid w:val="13281DD8"/>
    <w:rsid w:val="132867FC"/>
    <w:rsid w:val="13291396"/>
    <w:rsid w:val="1329427D"/>
    <w:rsid w:val="132A1D99"/>
    <w:rsid w:val="132B7780"/>
    <w:rsid w:val="132C5202"/>
    <w:rsid w:val="132D1357"/>
    <w:rsid w:val="132D2C84"/>
    <w:rsid w:val="132F3C08"/>
    <w:rsid w:val="132F6187"/>
    <w:rsid w:val="1330168A"/>
    <w:rsid w:val="1331304A"/>
    <w:rsid w:val="13313E49"/>
    <w:rsid w:val="1331710B"/>
    <w:rsid w:val="13324B8D"/>
    <w:rsid w:val="1333260E"/>
    <w:rsid w:val="13340090"/>
    <w:rsid w:val="1334693B"/>
    <w:rsid w:val="13367EB4"/>
    <w:rsid w:val="13370A53"/>
    <w:rsid w:val="13371015"/>
    <w:rsid w:val="13373808"/>
    <w:rsid w:val="13373B73"/>
    <w:rsid w:val="1338007B"/>
    <w:rsid w:val="13386A96"/>
    <w:rsid w:val="13391FCB"/>
    <w:rsid w:val="13392190"/>
    <w:rsid w:val="13392385"/>
    <w:rsid w:val="133B7A1B"/>
    <w:rsid w:val="133D2F1E"/>
    <w:rsid w:val="133E099F"/>
    <w:rsid w:val="133E63BF"/>
    <w:rsid w:val="133F6421"/>
    <w:rsid w:val="13403EA3"/>
    <w:rsid w:val="13410312"/>
    <w:rsid w:val="134104D7"/>
    <w:rsid w:val="13411924"/>
    <w:rsid w:val="134273A6"/>
    <w:rsid w:val="1344242A"/>
    <w:rsid w:val="13442EB6"/>
    <w:rsid w:val="1344612C"/>
    <w:rsid w:val="13453BAE"/>
    <w:rsid w:val="134566BC"/>
    <w:rsid w:val="1346162F"/>
    <w:rsid w:val="1346590F"/>
    <w:rsid w:val="13465FE5"/>
    <w:rsid w:val="134712AF"/>
    <w:rsid w:val="134770B1"/>
    <w:rsid w:val="134850E0"/>
    <w:rsid w:val="134925B4"/>
    <w:rsid w:val="134947B2"/>
    <w:rsid w:val="134A2234"/>
    <w:rsid w:val="134B5AB7"/>
    <w:rsid w:val="134B71F7"/>
    <w:rsid w:val="134C0770"/>
    <w:rsid w:val="134C3538"/>
    <w:rsid w:val="134C5737"/>
    <w:rsid w:val="134D0FBA"/>
    <w:rsid w:val="134D114A"/>
    <w:rsid w:val="134E0C3A"/>
    <w:rsid w:val="134F1F3F"/>
    <w:rsid w:val="134F2888"/>
    <w:rsid w:val="134F44BD"/>
    <w:rsid w:val="13503262"/>
    <w:rsid w:val="13515442"/>
    <w:rsid w:val="13522EC3"/>
    <w:rsid w:val="1352499F"/>
    <w:rsid w:val="13530945"/>
    <w:rsid w:val="1353537A"/>
    <w:rsid w:val="13540457"/>
    <w:rsid w:val="13542B43"/>
    <w:rsid w:val="13550511"/>
    <w:rsid w:val="135505C5"/>
    <w:rsid w:val="13557BCB"/>
    <w:rsid w:val="13566046"/>
    <w:rsid w:val="13566748"/>
    <w:rsid w:val="1357734B"/>
    <w:rsid w:val="13584DCD"/>
    <w:rsid w:val="13590BEF"/>
    <w:rsid w:val="1359284E"/>
    <w:rsid w:val="135A02D0"/>
    <w:rsid w:val="135A4A4C"/>
    <w:rsid w:val="135B2B22"/>
    <w:rsid w:val="135B5D51"/>
    <w:rsid w:val="135C425F"/>
    <w:rsid w:val="135D4C39"/>
    <w:rsid w:val="135D59D1"/>
    <w:rsid w:val="135E3453"/>
    <w:rsid w:val="135E6CD6"/>
    <w:rsid w:val="135F0ED4"/>
    <w:rsid w:val="135F4757"/>
    <w:rsid w:val="136043D7"/>
    <w:rsid w:val="13606F15"/>
    <w:rsid w:val="1362048E"/>
    <w:rsid w:val="136256DC"/>
    <w:rsid w:val="13630E68"/>
    <w:rsid w:val="1363535C"/>
    <w:rsid w:val="13640BDF"/>
    <w:rsid w:val="13640F25"/>
    <w:rsid w:val="13641446"/>
    <w:rsid w:val="13642DDD"/>
    <w:rsid w:val="13662F80"/>
    <w:rsid w:val="136640E2"/>
    <w:rsid w:val="136662E0"/>
    <w:rsid w:val="13671B64"/>
    <w:rsid w:val="136746BD"/>
    <w:rsid w:val="13692DB7"/>
    <w:rsid w:val="13697265"/>
    <w:rsid w:val="136A056A"/>
    <w:rsid w:val="136A67D5"/>
    <w:rsid w:val="136B5FEC"/>
    <w:rsid w:val="136C01EA"/>
    <w:rsid w:val="136C3A6D"/>
    <w:rsid w:val="136C7B89"/>
    <w:rsid w:val="136C7D4D"/>
    <w:rsid w:val="136D0728"/>
    <w:rsid w:val="136D1391"/>
    <w:rsid w:val="136D14EF"/>
    <w:rsid w:val="136D5C6B"/>
    <w:rsid w:val="136E1102"/>
    <w:rsid w:val="136E6F70"/>
    <w:rsid w:val="136F116E"/>
    <w:rsid w:val="13702473"/>
    <w:rsid w:val="1370283F"/>
    <w:rsid w:val="13706BF0"/>
    <w:rsid w:val="13713219"/>
    <w:rsid w:val="13714672"/>
    <w:rsid w:val="13714B85"/>
    <w:rsid w:val="13714EF1"/>
    <w:rsid w:val="13717EF5"/>
    <w:rsid w:val="137220F3"/>
    <w:rsid w:val="13723C23"/>
    <w:rsid w:val="13723DB8"/>
    <w:rsid w:val="13725976"/>
    <w:rsid w:val="13737B75"/>
    <w:rsid w:val="13740E79"/>
    <w:rsid w:val="13745331"/>
    <w:rsid w:val="137454F5"/>
    <w:rsid w:val="137455F6"/>
    <w:rsid w:val="13753078"/>
    <w:rsid w:val="137568FB"/>
    <w:rsid w:val="13760AF9"/>
    <w:rsid w:val="137668AA"/>
    <w:rsid w:val="13771DFE"/>
    <w:rsid w:val="13773FFC"/>
    <w:rsid w:val="1377657B"/>
    <w:rsid w:val="137A20FF"/>
    <w:rsid w:val="137A2D83"/>
    <w:rsid w:val="137A4F81"/>
    <w:rsid w:val="137B0804"/>
    <w:rsid w:val="137C0484"/>
    <w:rsid w:val="137C6286"/>
    <w:rsid w:val="137D3D07"/>
    <w:rsid w:val="13806E8A"/>
    <w:rsid w:val="1381018F"/>
    <w:rsid w:val="1381490C"/>
    <w:rsid w:val="13815EDF"/>
    <w:rsid w:val="13816ECC"/>
    <w:rsid w:val="1382238D"/>
    <w:rsid w:val="13825C11"/>
    <w:rsid w:val="13830FE4"/>
    <w:rsid w:val="13841114"/>
    <w:rsid w:val="1385255D"/>
    <w:rsid w:val="13862F37"/>
    <w:rsid w:val="138630FC"/>
    <w:rsid w:val="13872098"/>
    <w:rsid w:val="13873911"/>
    <w:rsid w:val="13876815"/>
    <w:rsid w:val="13877509"/>
    <w:rsid w:val="13887B1A"/>
    <w:rsid w:val="1389559C"/>
    <w:rsid w:val="138A301D"/>
    <w:rsid w:val="138A779A"/>
    <w:rsid w:val="138B0A9F"/>
    <w:rsid w:val="138C2C9D"/>
    <w:rsid w:val="138C6520"/>
    <w:rsid w:val="138D071E"/>
    <w:rsid w:val="138D2581"/>
    <w:rsid w:val="138D3FA2"/>
    <w:rsid w:val="138E06DF"/>
    <w:rsid w:val="138E08A4"/>
    <w:rsid w:val="138E61A0"/>
    <w:rsid w:val="138F3C22"/>
    <w:rsid w:val="138F74A5"/>
    <w:rsid w:val="139029BB"/>
    <w:rsid w:val="139129A8"/>
    <w:rsid w:val="13920429"/>
    <w:rsid w:val="139231D1"/>
    <w:rsid w:val="13935EAB"/>
    <w:rsid w:val="139452E8"/>
    <w:rsid w:val="139454AD"/>
    <w:rsid w:val="13951726"/>
    <w:rsid w:val="13966E30"/>
    <w:rsid w:val="139748B1"/>
    <w:rsid w:val="13977400"/>
    <w:rsid w:val="139775C4"/>
    <w:rsid w:val="13987DB4"/>
    <w:rsid w:val="13987F9F"/>
    <w:rsid w:val="13990B3D"/>
    <w:rsid w:val="13993BCD"/>
    <w:rsid w:val="13995836"/>
    <w:rsid w:val="139A32B7"/>
    <w:rsid w:val="139B0D39"/>
    <w:rsid w:val="139C67BB"/>
    <w:rsid w:val="139D3570"/>
    <w:rsid w:val="139D362F"/>
    <w:rsid w:val="139E304F"/>
    <w:rsid w:val="139F5747"/>
    <w:rsid w:val="13A062E5"/>
    <w:rsid w:val="13A12C42"/>
    <w:rsid w:val="13A13C78"/>
    <w:rsid w:val="13A206C4"/>
    <w:rsid w:val="13A36145"/>
    <w:rsid w:val="13A40DD7"/>
    <w:rsid w:val="13A62350"/>
    <w:rsid w:val="13A74B4C"/>
    <w:rsid w:val="13A9004F"/>
    <w:rsid w:val="13A938D2"/>
    <w:rsid w:val="13AA1353"/>
    <w:rsid w:val="13AA5AD0"/>
    <w:rsid w:val="13AB5BA5"/>
    <w:rsid w:val="13AB6DD5"/>
    <w:rsid w:val="13AC0FD3"/>
    <w:rsid w:val="13AC657F"/>
    <w:rsid w:val="13AD455F"/>
    <w:rsid w:val="13AE7D5A"/>
    <w:rsid w:val="13AF13FA"/>
    <w:rsid w:val="13AF1F58"/>
    <w:rsid w:val="13AF57DB"/>
    <w:rsid w:val="13B07048"/>
    <w:rsid w:val="13B2189A"/>
    <w:rsid w:val="13B26760"/>
    <w:rsid w:val="13B33D27"/>
    <w:rsid w:val="13B33EEB"/>
    <w:rsid w:val="13B341E1"/>
    <w:rsid w:val="13B363E0"/>
    <w:rsid w:val="13B41C63"/>
    <w:rsid w:val="13B43E61"/>
    <w:rsid w:val="13B448C6"/>
    <w:rsid w:val="13B44A8A"/>
    <w:rsid w:val="13B518E3"/>
    <w:rsid w:val="13B576E5"/>
    <w:rsid w:val="13B65166"/>
    <w:rsid w:val="13B67364"/>
    <w:rsid w:val="13B718D3"/>
    <w:rsid w:val="13B72BE8"/>
    <w:rsid w:val="13B82867"/>
    <w:rsid w:val="13B860EB"/>
    <w:rsid w:val="13B8757C"/>
    <w:rsid w:val="13B902E9"/>
    <w:rsid w:val="13BA5D6B"/>
    <w:rsid w:val="13BB37EC"/>
    <w:rsid w:val="13BC126E"/>
    <w:rsid w:val="13BC4AF1"/>
    <w:rsid w:val="13BD6CEF"/>
    <w:rsid w:val="13BE4771"/>
    <w:rsid w:val="13BF21F2"/>
    <w:rsid w:val="13BF5A76"/>
    <w:rsid w:val="13C034F7"/>
    <w:rsid w:val="13C07C74"/>
    <w:rsid w:val="13C10F79"/>
    <w:rsid w:val="13C156F5"/>
    <w:rsid w:val="13C23177"/>
    <w:rsid w:val="13C269FA"/>
    <w:rsid w:val="13C26E3B"/>
    <w:rsid w:val="13C3447C"/>
    <w:rsid w:val="13C379DA"/>
    <w:rsid w:val="13C41EFD"/>
    <w:rsid w:val="13C4667A"/>
    <w:rsid w:val="13C50F53"/>
    <w:rsid w:val="13C540FC"/>
    <w:rsid w:val="13C5797F"/>
    <w:rsid w:val="13C61B7D"/>
    <w:rsid w:val="13C72E82"/>
    <w:rsid w:val="13C82B02"/>
    <w:rsid w:val="13C82EBD"/>
    <w:rsid w:val="13C83C09"/>
    <w:rsid w:val="13C90583"/>
    <w:rsid w:val="13C96385"/>
    <w:rsid w:val="13CA1BEF"/>
    <w:rsid w:val="13CA3E07"/>
    <w:rsid w:val="13CA5182"/>
    <w:rsid w:val="13CB1888"/>
    <w:rsid w:val="13CD6F8A"/>
    <w:rsid w:val="13CE4A0B"/>
    <w:rsid w:val="13CE4C93"/>
    <w:rsid w:val="13CF028E"/>
    <w:rsid w:val="13CF0812"/>
    <w:rsid w:val="13D013B1"/>
    <w:rsid w:val="13D03791"/>
    <w:rsid w:val="13D05D10"/>
    <w:rsid w:val="13D11213"/>
    <w:rsid w:val="13D15990"/>
    <w:rsid w:val="13D2292A"/>
    <w:rsid w:val="13D23411"/>
    <w:rsid w:val="13D26C95"/>
    <w:rsid w:val="13D30E93"/>
    <w:rsid w:val="13D322E7"/>
    <w:rsid w:val="13D33304"/>
    <w:rsid w:val="13D34716"/>
    <w:rsid w:val="13D46914"/>
    <w:rsid w:val="13D54396"/>
    <w:rsid w:val="13D5487D"/>
    <w:rsid w:val="13D57C19"/>
    <w:rsid w:val="13D7311C"/>
    <w:rsid w:val="13D7532F"/>
    <w:rsid w:val="13D76B59"/>
    <w:rsid w:val="13D77899"/>
    <w:rsid w:val="13D92A72"/>
    <w:rsid w:val="13D92D9C"/>
    <w:rsid w:val="13D9346A"/>
    <w:rsid w:val="13D93620"/>
    <w:rsid w:val="13D9661F"/>
    <w:rsid w:val="13DA081E"/>
    <w:rsid w:val="13DA40A1"/>
    <w:rsid w:val="13DC3D21"/>
    <w:rsid w:val="13DD17A2"/>
    <w:rsid w:val="13DE2AA7"/>
    <w:rsid w:val="13DE7224"/>
    <w:rsid w:val="13DF0529"/>
    <w:rsid w:val="13DF413D"/>
    <w:rsid w:val="13DF4CA5"/>
    <w:rsid w:val="13E001A9"/>
    <w:rsid w:val="13E04CDB"/>
    <w:rsid w:val="13E05FAA"/>
    <w:rsid w:val="13E10C14"/>
    <w:rsid w:val="13E15C2A"/>
    <w:rsid w:val="13E3112D"/>
    <w:rsid w:val="13E36DF3"/>
    <w:rsid w:val="13E4036C"/>
    <w:rsid w:val="13E449B0"/>
    <w:rsid w:val="13E52432"/>
    <w:rsid w:val="13E54630"/>
    <w:rsid w:val="13E620B2"/>
    <w:rsid w:val="13E67EB4"/>
    <w:rsid w:val="13E75935"/>
    <w:rsid w:val="13E7683E"/>
    <w:rsid w:val="13E77B33"/>
    <w:rsid w:val="13E833B7"/>
    <w:rsid w:val="13E855B5"/>
    <w:rsid w:val="13E968BA"/>
    <w:rsid w:val="13EA433B"/>
    <w:rsid w:val="13EB1DBD"/>
    <w:rsid w:val="13EB5139"/>
    <w:rsid w:val="13EB653A"/>
    <w:rsid w:val="13EC783E"/>
    <w:rsid w:val="13ED1A3D"/>
    <w:rsid w:val="13ED3B88"/>
    <w:rsid w:val="13EE2D42"/>
    <w:rsid w:val="13EE74BE"/>
    <w:rsid w:val="13EF07C3"/>
    <w:rsid w:val="13EF4F40"/>
    <w:rsid w:val="13F029C1"/>
    <w:rsid w:val="13F10443"/>
    <w:rsid w:val="13F13CC6"/>
    <w:rsid w:val="13F332BC"/>
    <w:rsid w:val="13F33946"/>
    <w:rsid w:val="13F371C9"/>
    <w:rsid w:val="13F413C8"/>
    <w:rsid w:val="13F41A5D"/>
    <w:rsid w:val="13F44C4B"/>
    <w:rsid w:val="13F910D3"/>
    <w:rsid w:val="13F976AF"/>
    <w:rsid w:val="13FA0089"/>
    <w:rsid w:val="13FA6B54"/>
    <w:rsid w:val="13FB45D6"/>
    <w:rsid w:val="13FC17C7"/>
    <w:rsid w:val="13FC2057"/>
    <w:rsid w:val="13FD0D31"/>
    <w:rsid w:val="13FD21A1"/>
    <w:rsid w:val="13FD7AD9"/>
    <w:rsid w:val="13FE38DE"/>
    <w:rsid w:val="13FF2FDC"/>
    <w:rsid w:val="14000A5D"/>
    <w:rsid w:val="1402620C"/>
    <w:rsid w:val="14036DAA"/>
    <w:rsid w:val="140426E0"/>
    <w:rsid w:val="1404348D"/>
    <w:rsid w:val="14044EE5"/>
    <w:rsid w:val="14052967"/>
    <w:rsid w:val="14071A60"/>
    <w:rsid w:val="14075E6A"/>
    <w:rsid w:val="140838EB"/>
    <w:rsid w:val="140B4552"/>
    <w:rsid w:val="140B4717"/>
    <w:rsid w:val="140D7D73"/>
    <w:rsid w:val="140E1078"/>
    <w:rsid w:val="140E7208"/>
    <w:rsid w:val="140F3276"/>
    <w:rsid w:val="140F6AF9"/>
    <w:rsid w:val="140F7DA7"/>
    <w:rsid w:val="1410457B"/>
    <w:rsid w:val="14111FFD"/>
    <w:rsid w:val="14123C2A"/>
    <w:rsid w:val="14131C7C"/>
    <w:rsid w:val="14143273"/>
    <w:rsid w:val="14150A03"/>
    <w:rsid w:val="14155180"/>
    <w:rsid w:val="14162C01"/>
    <w:rsid w:val="14170683"/>
    <w:rsid w:val="141860EE"/>
    <w:rsid w:val="14186104"/>
    <w:rsid w:val="14191607"/>
    <w:rsid w:val="14193B86"/>
    <w:rsid w:val="14197409"/>
    <w:rsid w:val="141A4E8B"/>
    <w:rsid w:val="141B290C"/>
    <w:rsid w:val="141C038E"/>
    <w:rsid w:val="141C258C"/>
    <w:rsid w:val="141D000D"/>
    <w:rsid w:val="141D5E0F"/>
    <w:rsid w:val="141E03DE"/>
    <w:rsid w:val="141E2CF7"/>
    <w:rsid w:val="141E3891"/>
    <w:rsid w:val="141F1312"/>
    <w:rsid w:val="141F3511"/>
    <w:rsid w:val="14206D94"/>
    <w:rsid w:val="14212297"/>
    <w:rsid w:val="14214815"/>
    <w:rsid w:val="14216A14"/>
    <w:rsid w:val="14217850"/>
    <w:rsid w:val="14227D18"/>
    <w:rsid w:val="14231F17"/>
    <w:rsid w:val="1423579A"/>
    <w:rsid w:val="1424321C"/>
    <w:rsid w:val="14255085"/>
    <w:rsid w:val="1425541A"/>
    <w:rsid w:val="1426049F"/>
    <w:rsid w:val="14262E9B"/>
    <w:rsid w:val="1426671F"/>
    <w:rsid w:val="14281C22"/>
    <w:rsid w:val="1428639F"/>
    <w:rsid w:val="142923F2"/>
    <w:rsid w:val="14292F91"/>
    <w:rsid w:val="14293155"/>
    <w:rsid w:val="142A3B2F"/>
    <w:rsid w:val="142A5125"/>
    <w:rsid w:val="142B2BA6"/>
    <w:rsid w:val="142C4DA5"/>
    <w:rsid w:val="142C50A8"/>
    <w:rsid w:val="142E39D1"/>
    <w:rsid w:val="142E3B2B"/>
    <w:rsid w:val="142F15AD"/>
    <w:rsid w:val="142F71C0"/>
    <w:rsid w:val="142F7384"/>
    <w:rsid w:val="14301CC2"/>
    <w:rsid w:val="143037AB"/>
    <w:rsid w:val="1430702E"/>
    <w:rsid w:val="14314AB0"/>
    <w:rsid w:val="14322531"/>
    <w:rsid w:val="143321B1"/>
    <w:rsid w:val="14345A34"/>
    <w:rsid w:val="143534B6"/>
    <w:rsid w:val="14364B2C"/>
    <w:rsid w:val="14370BB7"/>
    <w:rsid w:val="143769B9"/>
    <w:rsid w:val="14391EBC"/>
    <w:rsid w:val="14396509"/>
    <w:rsid w:val="143A1B3C"/>
    <w:rsid w:val="143A53BF"/>
    <w:rsid w:val="143B75BD"/>
    <w:rsid w:val="143C16C5"/>
    <w:rsid w:val="143C503F"/>
    <w:rsid w:val="143D2AC1"/>
    <w:rsid w:val="143D5402"/>
    <w:rsid w:val="143D6344"/>
    <w:rsid w:val="143E0542"/>
    <w:rsid w:val="143E3DC5"/>
    <w:rsid w:val="143E4B76"/>
    <w:rsid w:val="143F1847"/>
    <w:rsid w:val="143F3C13"/>
    <w:rsid w:val="143F5FC4"/>
    <w:rsid w:val="14403689"/>
    <w:rsid w:val="1440384D"/>
    <w:rsid w:val="144072C9"/>
    <w:rsid w:val="144114C7"/>
    <w:rsid w:val="144143EC"/>
    <w:rsid w:val="14414D4A"/>
    <w:rsid w:val="144227CC"/>
    <w:rsid w:val="14426F48"/>
    <w:rsid w:val="1443024D"/>
    <w:rsid w:val="144349CA"/>
    <w:rsid w:val="1444244B"/>
    <w:rsid w:val="14445CCF"/>
    <w:rsid w:val="1444633F"/>
    <w:rsid w:val="14446EDD"/>
    <w:rsid w:val="144611D2"/>
    <w:rsid w:val="1446594F"/>
    <w:rsid w:val="14470E31"/>
    <w:rsid w:val="144733D0"/>
    <w:rsid w:val="14476C53"/>
    <w:rsid w:val="14480E52"/>
    <w:rsid w:val="14492156"/>
    <w:rsid w:val="144A1DD6"/>
    <w:rsid w:val="144A2F48"/>
    <w:rsid w:val="144A310D"/>
    <w:rsid w:val="144A7BD8"/>
    <w:rsid w:val="144C30DB"/>
    <w:rsid w:val="144C4685"/>
    <w:rsid w:val="144D0B5D"/>
    <w:rsid w:val="144E07DC"/>
    <w:rsid w:val="144E65DE"/>
    <w:rsid w:val="144F4060"/>
    <w:rsid w:val="144F625E"/>
    <w:rsid w:val="144F65D9"/>
    <w:rsid w:val="14501AE1"/>
    <w:rsid w:val="14503CE0"/>
    <w:rsid w:val="14511761"/>
    <w:rsid w:val="14514FE4"/>
    <w:rsid w:val="14517563"/>
    <w:rsid w:val="145206F0"/>
    <w:rsid w:val="1452128F"/>
    <w:rsid w:val="14521453"/>
    <w:rsid w:val="145533A6"/>
    <w:rsid w:val="145539EB"/>
    <w:rsid w:val="1456146C"/>
    <w:rsid w:val="14563D81"/>
    <w:rsid w:val="14566C51"/>
    <w:rsid w:val="14576EEE"/>
    <w:rsid w:val="145810EC"/>
    <w:rsid w:val="1458496F"/>
    <w:rsid w:val="145854BE"/>
    <w:rsid w:val="145923F1"/>
    <w:rsid w:val="14596B6E"/>
    <w:rsid w:val="145B2071"/>
    <w:rsid w:val="145B58F4"/>
    <w:rsid w:val="145C0174"/>
    <w:rsid w:val="145C3375"/>
    <w:rsid w:val="145D0B4E"/>
    <w:rsid w:val="145F20C7"/>
    <w:rsid w:val="14601D7C"/>
    <w:rsid w:val="14603804"/>
    <w:rsid w:val="146141DF"/>
    <w:rsid w:val="146177FD"/>
    <w:rsid w:val="14640782"/>
    <w:rsid w:val="14656E95"/>
    <w:rsid w:val="14671706"/>
    <w:rsid w:val="14681A9C"/>
    <w:rsid w:val="146849E3"/>
    <w:rsid w:val="14684B99"/>
    <w:rsid w:val="14687188"/>
    <w:rsid w:val="14694C0A"/>
    <w:rsid w:val="146A303F"/>
    <w:rsid w:val="146C1316"/>
    <w:rsid w:val="146E5BB6"/>
    <w:rsid w:val="146E6B13"/>
    <w:rsid w:val="1470712F"/>
    <w:rsid w:val="1472086C"/>
    <w:rsid w:val="14732F9B"/>
    <w:rsid w:val="1475649E"/>
    <w:rsid w:val="147677A3"/>
    <w:rsid w:val="14775224"/>
    <w:rsid w:val="14782CA6"/>
    <w:rsid w:val="14784A9B"/>
    <w:rsid w:val="147860A8"/>
    <w:rsid w:val="14790727"/>
    <w:rsid w:val="14794EA4"/>
    <w:rsid w:val="147952FC"/>
    <w:rsid w:val="14795475"/>
    <w:rsid w:val="147A6014"/>
    <w:rsid w:val="147A61A9"/>
    <w:rsid w:val="147A6BB3"/>
    <w:rsid w:val="147C16AC"/>
    <w:rsid w:val="147C5E29"/>
    <w:rsid w:val="147D2AA4"/>
    <w:rsid w:val="147E4BAF"/>
    <w:rsid w:val="147F6DAD"/>
    <w:rsid w:val="148000B2"/>
    <w:rsid w:val="14802DE2"/>
    <w:rsid w:val="1480482F"/>
    <w:rsid w:val="148235B5"/>
    <w:rsid w:val="148257B3"/>
    <w:rsid w:val="14827D32"/>
    <w:rsid w:val="14840CB7"/>
    <w:rsid w:val="14846AB8"/>
    <w:rsid w:val="1485199D"/>
    <w:rsid w:val="148562AE"/>
    <w:rsid w:val="148641BA"/>
    <w:rsid w:val="14866E4C"/>
    <w:rsid w:val="14867011"/>
    <w:rsid w:val="14877402"/>
    <w:rsid w:val="1487776D"/>
    <w:rsid w:val="14877A3D"/>
    <w:rsid w:val="14877FF9"/>
    <w:rsid w:val="1488058A"/>
    <w:rsid w:val="14881128"/>
    <w:rsid w:val="14892F40"/>
    <w:rsid w:val="148A2BC0"/>
    <w:rsid w:val="148C3C1A"/>
    <w:rsid w:val="148D0A8A"/>
    <w:rsid w:val="148E4E49"/>
    <w:rsid w:val="148F7048"/>
    <w:rsid w:val="1490034C"/>
    <w:rsid w:val="14927FCC"/>
    <w:rsid w:val="149312D1"/>
    <w:rsid w:val="1493417A"/>
    <w:rsid w:val="1494234E"/>
    <w:rsid w:val="149434CF"/>
    <w:rsid w:val="149438EE"/>
    <w:rsid w:val="14943E0F"/>
    <w:rsid w:val="149547D4"/>
    <w:rsid w:val="14961BDF"/>
    <w:rsid w:val="14962256"/>
    <w:rsid w:val="1496293B"/>
    <w:rsid w:val="149669D2"/>
    <w:rsid w:val="14974454"/>
    <w:rsid w:val="14977CD7"/>
    <w:rsid w:val="14985759"/>
    <w:rsid w:val="14997957"/>
    <w:rsid w:val="149A2E5A"/>
    <w:rsid w:val="149A5FCB"/>
    <w:rsid w:val="149A6190"/>
    <w:rsid w:val="149B08DC"/>
    <w:rsid w:val="149D1BE1"/>
    <w:rsid w:val="149D3DDF"/>
    <w:rsid w:val="149E0C82"/>
    <w:rsid w:val="149F50E4"/>
    <w:rsid w:val="149F72E2"/>
    <w:rsid w:val="14A127E5"/>
    <w:rsid w:val="14A25F16"/>
    <w:rsid w:val="14A3156B"/>
    <w:rsid w:val="14A3568A"/>
    <w:rsid w:val="14A4376A"/>
    <w:rsid w:val="14A44DFE"/>
    <w:rsid w:val="14A44EB1"/>
    <w:rsid w:val="14A4588B"/>
    <w:rsid w:val="14A511EB"/>
    <w:rsid w:val="14A54A6E"/>
    <w:rsid w:val="14A56265"/>
    <w:rsid w:val="14A5684C"/>
    <w:rsid w:val="14A624F0"/>
    <w:rsid w:val="14A66C6D"/>
    <w:rsid w:val="14A66FC8"/>
    <w:rsid w:val="14A746EE"/>
    <w:rsid w:val="14A77F72"/>
    <w:rsid w:val="14A82170"/>
    <w:rsid w:val="14A859F3"/>
    <w:rsid w:val="14A910E0"/>
    <w:rsid w:val="14A93475"/>
    <w:rsid w:val="14A97BF1"/>
    <w:rsid w:val="14AA0EF6"/>
    <w:rsid w:val="14AA5673"/>
    <w:rsid w:val="14AB2659"/>
    <w:rsid w:val="14AB6978"/>
    <w:rsid w:val="14AF1AFB"/>
    <w:rsid w:val="14AF537E"/>
    <w:rsid w:val="14B02E00"/>
    <w:rsid w:val="14B0757C"/>
    <w:rsid w:val="14B10388"/>
    <w:rsid w:val="14B14FFE"/>
    <w:rsid w:val="14B22A7F"/>
    <w:rsid w:val="14B26303"/>
    <w:rsid w:val="14B27AFC"/>
    <w:rsid w:val="14B36B99"/>
    <w:rsid w:val="14B41806"/>
    <w:rsid w:val="14B51486"/>
    <w:rsid w:val="14B51D54"/>
    <w:rsid w:val="14B57287"/>
    <w:rsid w:val="14B62AB7"/>
    <w:rsid w:val="14B8240A"/>
    <w:rsid w:val="14B83929"/>
    <w:rsid w:val="14B84030"/>
    <w:rsid w:val="14B95C8D"/>
    <w:rsid w:val="14B97E8C"/>
    <w:rsid w:val="14BA1191"/>
    <w:rsid w:val="14BA55A9"/>
    <w:rsid w:val="14BA590D"/>
    <w:rsid w:val="14BB338F"/>
    <w:rsid w:val="14BB6147"/>
    <w:rsid w:val="14BD2115"/>
    <w:rsid w:val="14BD6892"/>
    <w:rsid w:val="14BD76C0"/>
    <w:rsid w:val="14BE025F"/>
    <w:rsid w:val="14BE4314"/>
    <w:rsid w:val="14BE7B97"/>
    <w:rsid w:val="14BF5618"/>
    <w:rsid w:val="14C02376"/>
    <w:rsid w:val="14C027FA"/>
    <w:rsid w:val="14C10CA0"/>
    <w:rsid w:val="14C12D51"/>
    <w:rsid w:val="14C2077F"/>
    <w:rsid w:val="14C2659D"/>
    <w:rsid w:val="14C41AA0"/>
    <w:rsid w:val="14C44E68"/>
    <w:rsid w:val="14C57522"/>
    <w:rsid w:val="14C663E1"/>
    <w:rsid w:val="14C804A6"/>
    <w:rsid w:val="14C8795A"/>
    <w:rsid w:val="14C87B1E"/>
    <w:rsid w:val="14CA0061"/>
    <w:rsid w:val="14CB1A71"/>
    <w:rsid w:val="14CC6EAC"/>
    <w:rsid w:val="14CE23B0"/>
    <w:rsid w:val="14CE4563"/>
    <w:rsid w:val="14CE4728"/>
    <w:rsid w:val="14CF7E31"/>
    <w:rsid w:val="14D031F3"/>
    <w:rsid w:val="14D058B3"/>
    <w:rsid w:val="14D6523E"/>
    <w:rsid w:val="14D80741"/>
    <w:rsid w:val="14DA3C44"/>
    <w:rsid w:val="14DA49C1"/>
    <w:rsid w:val="14DB4F49"/>
    <w:rsid w:val="14DB60FF"/>
    <w:rsid w:val="14DC5F3A"/>
    <w:rsid w:val="14DC6C9D"/>
    <w:rsid w:val="14DC77B4"/>
    <w:rsid w:val="14DC7969"/>
    <w:rsid w:val="14DD044C"/>
    <w:rsid w:val="14DD2C3C"/>
    <w:rsid w:val="14DD4BC8"/>
    <w:rsid w:val="14DD7678"/>
    <w:rsid w:val="14DE0052"/>
    <w:rsid w:val="14DE264A"/>
    <w:rsid w:val="14DE5ECD"/>
    <w:rsid w:val="14DE64E6"/>
    <w:rsid w:val="14DF00CB"/>
    <w:rsid w:val="14DF0BF0"/>
    <w:rsid w:val="14DF394F"/>
    <w:rsid w:val="14E013D0"/>
    <w:rsid w:val="14E05B4D"/>
    <w:rsid w:val="14E21050"/>
    <w:rsid w:val="14E22D08"/>
    <w:rsid w:val="14E248D3"/>
    <w:rsid w:val="14E36AD2"/>
    <w:rsid w:val="14E44281"/>
    <w:rsid w:val="14E44553"/>
    <w:rsid w:val="14E47DD6"/>
    <w:rsid w:val="14E51FD5"/>
    <w:rsid w:val="14E55858"/>
    <w:rsid w:val="14E632DA"/>
    <w:rsid w:val="14E754D8"/>
    <w:rsid w:val="14E82F59"/>
    <w:rsid w:val="14E909DB"/>
    <w:rsid w:val="14EA104F"/>
    <w:rsid w:val="14EA1CE0"/>
    <w:rsid w:val="14EA3EDE"/>
    <w:rsid w:val="14EA645D"/>
    <w:rsid w:val="14EB1960"/>
    <w:rsid w:val="14EB1BED"/>
    <w:rsid w:val="14EC0437"/>
    <w:rsid w:val="14EC0CC3"/>
    <w:rsid w:val="14ED2C64"/>
    <w:rsid w:val="14ED3166"/>
    <w:rsid w:val="14ED4E63"/>
    <w:rsid w:val="14EE06E6"/>
    <w:rsid w:val="14EE28E4"/>
    <w:rsid w:val="14EF0366"/>
    <w:rsid w:val="14EF6168"/>
    <w:rsid w:val="14F014A0"/>
    <w:rsid w:val="14F05DE7"/>
    <w:rsid w:val="14F1166B"/>
    <w:rsid w:val="14F13869"/>
    <w:rsid w:val="14F212EA"/>
    <w:rsid w:val="14F24B6E"/>
    <w:rsid w:val="14F36D6C"/>
    <w:rsid w:val="14F47F34"/>
    <w:rsid w:val="14F5226F"/>
    <w:rsid w:val="14F67CF1"/>
    <w:rsid w:val="14F70FF5"/>
    <w:rsid w:val="14F835C4"/>
    <w:rsid w:val="14F86A77"/>
    <w:rsid w:val="14F944F9"/>
    <w:rsid w:val="14FA1F7A"/>
    <w:rsid w:val="14FA3EE2"/>
    <w:rsid w:val="14FA66F7"/>
    <w:rsid w:val="14FC547D"/>
    <w:rsid w:val="14FD2EFF"/>
    <w:rsid w:val="14FE0980"/>
    <w:rsid w:val="14FE762F"/>
    <w:rsid w:val="14FF2B7F"/>
    <w:rsid w:val="15000600"/>
    <w:rsid w:val="15000D6C"/>
    <w:rsid w:val="15011905"/>
    <w:rsid w:val="15016082"/>
    <w:rsid w:val="150222E5"/>
    <w:rsid w:val="15023B03"/>
    <w:rsid w:val="15027387"/>
    <w:rsid w:val="15034E08"/>
    <w:rsid w:val="15037006"/>
    <w:rsid w:val="15052509"/>
    <w:rsid w:val="15081290"/>
    <w:rsid w:val="150870B3"/>
    <w:rsid w:val="15090F10"/>
    <w:rsid w:val="1509523C"/>
    <w:rsid w:val="150A0467"/>
    <w:rsid w:val="150A062C"/>
    <w:rsid w:val="150A448F"/>
    <w:rsid w:val="150A4793"/>
    <w:rsid w:val="150B2214"/>
    <w:rsid w:val="150B4413"/>
    <w:rsid w:val="150B7C96"/>
    <w:rsid w:val="150C1BA5"/>
    <w:rsid w:val="150C1E94"/>
    <w:rsid w:val="150D257F"/>
    <w:rsid w:val="150D3199"/>
    <w:rsid w:val="150F669C"/>
    <w:rsid w:val="1510411E"/>
    <w:rsid w:val="1511631C"/>
    <w:rsid w:val="15125C0F"/>
    <w:rsid w:val="15142B24"/>
    <w:rsid w:val="151472A1"/>
    <w:rsid w:val="15147EEB"/>
    <w:rsid w:val="151505A6"/>
    <w:rsid w:val="151508C6"/>
    <w:rsid w:val="15160E9C"/>
    <w:rsid w:val="15166027"/>
    <w:rsid w:val="15170225"/>
    <w:rsid w:val="15170610"/>
    <w:rsid w:val="1517097B"/>
    <w:rsid w:val="15177F3A"/>
    <w:rsid w:val="1518152A"/>
    <w:rsid w:val="15187343"/>
    <w:rsid w:val="151874F8"/>
    <w:rsid w:val="15187A19"/>
    <w:rsid w:val="15196FAC"/>
    <w:rsid w:val="151A11AA"/>
    <w:rsid w:val="151A4A2D"/>
    <w:rsid w:val="151B24AF"/>
    <w:rsid w:val="151C54CF"/>
    <w:rsid w:val="151C7F30"/>
    <w:rsid w:val="151D59B2"/>
    <w:rsid w:val="151D6CFF"/>
    <w:rsid w:val="151D7BB0"/>
    <w:rsid w:val="151E3433"/>
    <w:rsid w:val="151E5632"/>
    <w:rsid w:val="151F0EB5"/>
    <w:rsid w:val="151F30B3"/>
    <w:rsid w:val="151F3917"/>
    <w:rsid w:val="151F75E6"/>
    <w:rsid w:val="15200B35"/>
    <w:rsid w:val="15210B5F"/>
    <w:rsid w:val="152118C2"/>
    <w:rsid w:val="152143B8"/>
    <w:rsid w:val="152165B6"/>
    <w:rsid w:val="15224038"/>
    <w:rsid w:val="15243815"/>
    <w:rsid w:val="1524753B"/>
    <w:rsid w:val="152543B4"/>
    <w:rsid w:val="15254FBD"/>
    <w:rsid w:val="15262A3E"/>
    <w:rsid w:val="152662C1"/>
    <w:rsid w:val="15273D43"/>
    <w:rsid w:val="15297246"/>
    <w:rsid w:val="152A4CC8"/>
    <w:rsid w:val="152A7A45"/>
    <w:rsid w:val="152C01CB"/>
    <w:rsid w:val="152D253E"/>
    <w:rsid w:val="152D5C4C"/>
    <w:rsid w:val="152E36CE"/>
    <w:rsid w:val="1530464E"/>
    <w:rsid w:val="153220D4"/>
    <w:rsid w:val="15336765"/>
    <w:rsid w:val="15337B56"/>
    <w:rsid w:val="153455D7"/>
    <w:rsid w:val="153542FD"/>
    <w:rsid w:val="153544B2"/>
    <w:rsid w:val="15357CDE"/>
    <w:rsid w:val="15363550"/>
    <w:rsid w:val="1537655C"/>
    <w:rsid w:val="15383FDD"/>
    <w:rsid w:val="15391A5F"/>
    <w:rsid w:val="15392994"/>
    <w:rsid w:val="153B29E4"/>
    <w:rsid w:val="153B40D2"/>
    <w:rsid w:val="153B4AAC"/>
    <w:rsid w:val="153B4F62"/>
    <w:rsid w:val="153C0465"/>
    <w:rsid w:val="153D61E9"/>
    <w:rsid w:val="153E27FD"/>
    <w:rsid w:val="153E3968"/>
    <w:rsid w:val="153F6FC2"/>
    <w:rsid w:val="15406E6B"/>
    <w:rsid w:val="154148ED"/>
    <w:rsid w:val="15420170"/>
    <w:rsid w:val="15433673"/>
    <w:rsid w:val="15435BF2"/>
    <w:rsid w:val="154371B0"/>
    <w:rsid w:val="15437DF0"/>
    <w:rsid w:val="154420C7"/>
    <w:rsid w:val="15442DF3"/>
    <w:rsid w:val="15445871"/>
    <w:rsid w:val="15456B76"/>
    <w:rsid w:val="15460D75"/>
    <w:rsid w:val="154645F8"/>
    <w:rsid w:val="15473448"/>
    <w:rsid w:val="15474F0A"/>
    <w:rsid w:val="154767F6"/>
    <w:rsid w:val="15484278"/>
    <w:rsid w:val="15491CF9"/>
    <w:rsid w:val="1549557C"/>
    <w:rsid w:val="154978F5"/>
    <w:rsid w:val="154A2FFE"/>
    <w:rsid w:val="154A777B"/>
    <w:rsid w:val="154B059B"/>
    <w:rsid w:val="154B0A80"/>
    <w:rsid w:val="154B51FC"/>
    <w:rsid w:val="154D06FF"/>
    <w:rsid w:val="154D3F83"/>
    <w:rsid w:val="154E1A04"/>
    <w:rsid w:val="154E6181"/>
    <w:rsid w:val="154F7486"/>
    <w:rsid w:val="15501684"/>
    <w:rsid w:val="15512989"/>
    <w:rsid w:val="15514605"/>
    <w:rsid w:val="1552040A"/>
    <w:rsid w:val="15524B87"/>
    <w:rsid w:val="155251A4"/>
    <w:rsid w:val="15535D43"/>
    <w:rsid w:val="1554390E"/>
    <w:rsid w:val="1555138F"/>
    <w:rsid w:val="155609F9"/>
    <w:rsid w:val="15567E5A"/>
    <w:rsid w:val="15574892"/>
    <w:rsid w:val="15575392"/>
    <w:rsid w:val="15576A90"/>
    <w:rsid w:val="15584512"/>
    <w:rsid w:val="15592B10"/>
    <w:rsid w:val="15597D95"/>
    <w:rsid w:val="155B4089"/>
    <w:rsid w:val="155C4A63"/>
    <w:rsid w:val="155D099A"/>
    <w:rsid w:val="155E2E9F"/>
    <w:rsid w:val="155E5FDC"/>
    <w:rsid w:val="155F3E9D"/>
    <w:rsid w:val="155F4320"/>
    <w:rsid w:val="155F468B"/>
    <w:rsid w:val="155F49F6"/>
    <w:rsid w:val="155F6B7B"/>
    <w:rsid w:val="155F7720"/>
    <w:rsid w:val="156051A2"/>
    <w:rsid w:val="1560771A"/>
    <w:rsid w:val="156100F4"/>
    <w:rsid w:val="156173A0"/>
    <w:rsid w:val="15624E21"/>
    <w:rsid w:val="15631831"/>
    <w:rsid w:val="15640325"/>
    <w:rsid w:val="15643BA8"/>
    <w:rsid w:val="15651629"/>
    <w:rsid w:val="156518B5"/>
    <w:rsid w:val="15655DA6"/>
    <w:rsid w:val="156712A9"/>
    <w:rsid w:val="15674B2D"/>
    <w:rsid w:val="15686D2B"/>
    <w:rsid w:val="15690030"/>
    <w:rsid w:val="156947AC"/>
    <w:rsid w:val="156B3533"/>
    <w:rsid w:val="156B7CAF"/>
    <w:rsid w:val="156C31B3"/>
    <w:rsid w:val="156D0C34"/>
    <w:rsid w:val="156D6A36"/>
    <w:rsid w:val="156E1ACB"/>
    <w:rsid w:val="156E44B7"/>
    <w:rsid w:val="156E66B6"/>
    <w:rsid w:val="156E6CB3"/>
    <w:rsid w:val="15701BB9"/>
    <w:rsid w:val="15703208"/>
    <w:rsid w:val="157079BA"/>
    <w:rsid w:val="1571543C"/>
    <w:rsid w:val="1571763A"/>
    <w:rsid w:val="157405BF"/>
    <w:rsid w:val="15743E42"/>
    <w:rsid w:val="157463C1"/>
    <w:rsid w:val="157466D4"/>
    <w:rsid w:val="15757273"/>
    <w:rsid w:val="15757437"/>
    <w:rsid w:val="15763AC2"/>
    <w:rsid w:val="15767E12"/>
    <w:rsid w:val="15771544"/>
    <w:rsid w:val="15774DC7"/>
    <w:rsid w:val="157902CA"/>
    <w:rsid w:val="15791EA6"/>
    <w:rsid w:val="15794A47"/>
    <w:rsid w:val="157A2903"/>
    <w:rsid w:val="157B7F4A"/>
    <w:rsid w:val="157C124F"/>
    <w:rsid w:val="157C59CB"/>
    <w:rsid w:val="157D01C2"/>
    <w:rsid w:val="157D4A1B"/>
    <w:rsid w:val="157D6CD0"/>
    <w:rsid w:val="157E0ECE"/>
    <w:rsid w:val="157E4752"/>
    <w:rsid w:val="157E7260"/>
    <w:rsid w:val="157E75CB"/>
    <w:rsid w:val="157F21D3"/>
    <w:rsid w:val="157F6158"/>
    <w:rsid w:val="158076D1"/>
    <w:rsid w:val="15807C55"/>
    <w:rsid w:val="15823158"/>
    <w:rsid w:val="158278D5"/>
    <w:rsid w:val="15830BD9"/>
    <w:rsid w:val="158317E9"/>
    <w:rsid w:val="15835356"/>
    <w:rsid w:val="158421C3"/>
    <w:rsid w:val="1584665B"/>
    <w:rsid w:val="15861B5E"/>
    <w:rsid w:val="15863900"/>
    <w:rsid w:val="15863D5C"/>
    <w:rsid w:val="158775E0"/>
    <w:rsid w:val="15885061"/>
    <w:rsid w:val="15894CE1"/>
    <w:rsid w:val="158A0564"/>
    <w:rsid w:val="158B5FE6"/>
    <w:rsid w:val="158C2634"/>
    <w:rsid w:val="158C5C66"/>
    <w:rsid w:val="158C796B"/>
    <w:rsid w:val="158D0509"/>
    <w:rsid w:val="158D06CE"/>
    <w:rsid w:val="158D6F6A"/>
    <w:rsid w:val="158E10A8"/>
    <w:rsid w:val="158E49EC"/>
    <w:rsid w:val="158F246E"/>
    <w:rsid w:val="158F27E5"/>
    <w:rsid w:val="15907EEF"/>
    <w:rsid w:val="15915971"/>
    <w:rsid w:val="15930E74"/>
    <w:rsid w:val="15956850"/>
    <w:rsid w:val="15961DF8"/>
    <w:rsid w:val="1596722A"/>
    <w:rsid w:val="15995F29"/>
    <w:rsid w:val="159A01A8"/>
    <w:rsid w:val="159A07FF"/>
    <w:rsid w:val="159A1EE1"/>
    <w:rsid w:val="159A569D"/>
    <w:rsid w:val="159A5853"/>
    <w:rsid w:val="159B361E"/>
    <w:rsid w:val="159B6280"/>
    <w:rsid w:val="159C3459"/>
    <w:rsid w:val="159D49D2"/>
    <w:rsid w:val="159F6110"/>
    <w:rsid w:val="15A06AEA"/>
    <w:rsid w:val="15A10189"/>
    <w:rsid w:val="15A25C0B"/>
    <w:rsid w:val="15A30C01"/>
    <w:rsid w:val="15A417A0"/>
    <w:rsid w:val="15A41965"/>
    <w:rsid w:val="15A46B90"/>
    <w:rsid w:val="15A5233F"/>
    <w:rsid w:val="15A54611"/>
    <w:rsid w:val="15A75916"/>
    <w:rsid w:val="15A77B14"/>
    <w:rsid w:val="15A83398"/>
    <w:rsid w:val="15A84FF5"/>
    <w:rsid w:val="15A87CC5"/>
    <w:rsid w:val="15A87E7A"/>
    <w:rsid w:val="15A94E30"/>
    <w:rsid w:val="15AA0A99"/>
    <w:rsid w:val="15AA63A9"/>
    <w:rsid w:val="15AA64D6"/>
    <w:rsid w:val="15AA656E"/>
    <w:rsid w:val="15AB431C"/>
    <w:rsid w:val="15AB464D"/>
    <w:rsid w:val="15AB6F48"/>
    <w:rsid w:val="15AB710C"/>
    <w:rsid w:val="15AC1D9E"/>
    <w:rsid w:val="15AC3F9C"/>
    <w:rsid w:val="15AC781F"/>
    <w:rsid w:val="15AD52A1"/>
    <w:rsid w:val="15AE2D22"/>
    <w:rsid w:val="15AE749F"/>
    <w:rsid w:val="15AF07A4"/>
    <w:rsid w:val="15AF4F21"/>
    <w:rsid w:val="15B029A2"/>
    <w:rsid w:val="15B10424"/>
    <w:rsid w:val="15B13177"/>
    <w:rsid w:val="15B13EC8"/>
    <w:rsid w:val="15B21729"/>
    <w:rsid w:val="15B23D16"/>
    <w:rsid w:val="15B25EA5"/>
    <w:rsid w:val="15B33927"/>
    <w:rsid w:val="15B36D47"/>
    <w:rsid w:val="15B413A8"/>
    <w:rsid w:val="15B56E2A"/>
    <w:rsid w:val="15B6012F"/>
    <w:rsid w:val="15B648AC"/>
    <w:rsid w:val="15B66808"/>
    <w:rsid w:val="15B71F81"/>
    <w:rsid w:val="15B76F91"/>
    <w:rsid w:val="15B773A6"/>
    <w:rsid w:val="15B80793"/>
    <w:rsid w:val="15B87DAF"/>
    <w:rsid w:val="15B90272"/>
    <w:rsid w:val="15B9206A"/>
    <w:rsid w:val="15B95830"/>
    <w:rsid w:val="15B97F07"/>
    <w:rsid w:val="15BA6B35"/>
    <w:rsid w:val="15BB0D33"/>
    <w:rsid w:val="15BB2A37"/>
    <w:rsid w:val="15BC2038"/>
    <w:rsid w:val="15BC3411"/>
    <w:rsid w:val="15BC67B5"/>
    <w:rsid w:val="15BD3FB0"/>
    <w:rsid w:val="15BD7ABA"/>
    <w:rsid w:val="15BE553B"/>
    <w:rsid w:val="15BF56ED"/>
    <w:rsid w:val="15C00A3E"/>
    <w:rsid w:val="15C02C3D"/>
    <w:rsid w:val="15C319C3"/>
    <w:rsid w:val="15C33BC1"/>
    <w:rsid w:val="15C44EC6"/>
    <w:rsid w:val="15C47445"/>
    <w:rsid w:val="15C51757"/>
    <w:rsid w:val="15C522F6"/>
    <w:rsid w:val="15C54FEA"/>
    <w:rsid w:val="15C570C4"/>
    <w:rsid w:val="15C64B46"/>
    <w:rsid w:val="15C725C7"/>
    <w:rsid w:val="15C75E4B"/>
    <w:rsid w:val="15C7716A"/>
    <w:rsid w:val="15C80049"/>
    <w:rsid w:val="15C838CC"/>
    <w:rsid w:val="15C8440E"/>
    <w:rsid w:val="15C9134E"/>
    <w:rsid w:val="15C94FAC"/>
    <w:rsid w:val="15C978A6"/>
    <w:rsid w:val="15CA354C"/>
    <w:rsid w:val="15CA6DCF"/>
    <w:rsid w:val="15CB0FCE"/>
    <w:rsid w:val="15CC22D2"/>
    <w:rsid w:val="15CC6A4F"/>
    <w:rsid w:val="15CD44D1"/>
    <w:rsid w:val="15CF1017"/>
    <w:rsid w:val="15CF3257"/>
    <w:rsid w:val="15CF79D4"/>
    <w:rsid w:val="15D00CD9"/>
    <w:rsid w:val="15D01BB6"/>
    <w:rsid w:val="15D05455"/>
    <w:rsid w:val="15D12ED7"/>
    <w:rsid w:val="15D23CCD"/>
    <w:rsid w:val="15D372A6"/>
    <w:rsid w:val="15D55160"/>
    <w:rsid w:val="15D64DE0"/>
    <w:rsid w:val="15D70664"/>
    <w:rsid w:val="15D72862"/>
    <w:rsid w:val="15D802E3"/>
    <w:rsid w:val="15D860E5"/>
    <w:rsid w:val="15D93B67"/>
    <w:rsid w:val="15DB1268"/>
    <w:rsid w:val="15DB706A"/>
    <w:rsid w:val="15DC6CEA"/>
    <w:rsid w:val="15DE21ED"/>
    <w:rsid w:val="15DE5A70"/>
    <w:rsid w:val="15DF4B06"/>
    <w:rsid w:val="15DF4CCA"/>
    <w:rsid w:val="15DF7C6E"/>
    <w:rsid w:val="15E00F73"/>
    <w:rsid w:val="15E056A4"/>
    <w:rsid w:val="15E13171"/>
    <w:rsid w:val="15E16C1D"/>
    <w:rsid w:val="15E20BF3"/>
    <w:rsid w:val="15E24476"/>
    <w:rsid w:val="15E275F7"/>
    <w:rsid w:val="15E3096C"/>
    <w:rsid w:val="15E31EF8"/>
    <w:rsid w:val="15E36674"/>
    <w:rsid w:val="15E40D35"/>
    <w:rsid w:val="15E440F6"/>
    <w:rsid w:val="15E47979"/>
    <w:rsid w:val="15E5170F"/>
    <w:rsid w:val="15E62E7C"/>
    <w:rsid w:val="15E708FE"/>
    <w:rsid w:val="15E7507B"/>
    <w:rsid w:val="15E82AFC"/>
    <w:rsid w:val="15E8637F"/>
    <w:rsid w:val="15E943C5"/>
    <w:rsid w:val="15E9458A"/>
    <w:rsid w:val="15EA1883"/>
    <w:rsid w:val="15EB3A81"/>
    <w:rsid w:val="15EB5B02"/>
    <w:rsid w:val="15EB7304"/>
    <w:rsid w:val="15EC1502"/>
    <w:rsid w:val="15EC64DD"/>
    <w:rsid w:val="15ED2807"/>
    <w:rsid w:val="15ED6F84"/>
    <w:rsid w:val="15ED707B"/>
    <w:rsid w:val="15EE0289"/>
    <w:rsid w:val="15EE7A56"/>
    <w:rsid w:val="15EF530D"/>
    <w:rsid w:val="15EF7F09"/>
    <w:rsid w:val="15F0598A"/>
    <w:rsid w:val="15F1120D"/>
    <w:rsid w:val="15F34710"/>
    <w:rsid w:val="15F42192"/>
    <w:rsid w:val="15F551FE"/>
    <w:rsid w:val="15F553C2"/>
    <w:rsid w:val="15F57C14"/>
    <w:rsid w:val="15F70B98"/>
    <w:rsid w:val="15F8661A"/>
    <w:rsid w:val="15F874DA"/>
    <w:rsid w:val="15F924EF"/>
    <w:rsid w:val="15F9409B"/>
    <w:rsid w:val="15FA1B1D"/>
    <w:rsid w:val="15FB759E"/>
    <w:rsid w:val="15FC5020"/>
    <w:rsid w:val="15FD2AA2"/>
    <w:rsid w:val="15FD3544"/>
    <w:rsid w:val="15FE3F1E"/>
    <w:rsid w:val="15FE3FF6"/>
    <w:rsid w:val="15FE40E3"/>
    <w:rsid w:val="15FF5C91"/>
    <w:rsid w:val="15FF5FA5"/>
    <w:rsid w:val="15FF5FFC"/>
    <w:rsid w:val="1600565C"/>
    <w:rsid w:val="160114A8"/>
    <w:rsid w:val="16013F82"/>
    <w:rsid w:val="16016036"/>
    <w:rsid w:val="16026BD5"/>
    <w:rsid w:val="16026F29"/>
    <w:rsid w:val="16040312"/>
    <w:rsid w:val="1604242C"/>
    <w:rsid w:val="16057EAE"/>
    <w:rsid w:val="16072265"/>
    <w:rsid w:val="16080E33"/>
    <w:rsid w:val="16087E1D"/>
    <w:rsid w:val="16094541"/>
    <w:rsid w:val="160968B4"/>
    <w:rsid w:val="160A4336"/>
    <w:rsid w:val="160D2D3C"/>
    <w:rsid w:val="160E0624"/>
    <w:rsid w:val="160F6C80"/>
    <w:rsid w:val="16103CC1"/>
    <w:rsid w:val="1610623E"/>
    <w:rsid w:val="16132A47"/>
    <w:rsid w:val="161426C7"/>
    <w:rsid w:val="16150148"/>
    <w:rsid w:val="161539CC"/>
    <w:rsid w:val="16155F4A"/>
    <w:rsid w:val="1616144D"/>
    <w:rsid w:val="1617364B"/>
    <w:rsid w:val="16176ECF"/>
    <w:rsid w:val="161810CD"/>
    <w:rsid w:val="161923D2"/>
    <w:rsid w:val="16197E6B"/>
    <w:rsid w:val="161A45D0"/>
    <w:rsid w:val="161A7E53"/>
    <w:rsid w:val="161B13E4"/>
    <w:rsid w:val="161B15A8"/>
    <w:rsid w:val="161B58D5"/>
    <w:rsid w:val="161C2147"/>
    <w:rsid w:val="161C3356"/>
    <w:rsid w:val="161C7AD3"/>
    <w:rsid w:val="161E0A1B"/>
    <w:rsid w:val="161E2FD6"/>
    <w:rsid w:val="161E34FC"/>
    <w:rsid w:val="161E6859"/>
    <w:rsid w:val="161F0A58"/>
    <w:rsid w:val="161F42DB"/>
    <w:rsid w:val="16201D5D"/>
    <w:rsid w:val="162064D9"/>
    <w:rsid w:val="162177DE"/>
    <w:rsid w:val="16225260"/>
    <w:rsid w:val="16236D50"/>
    <w:rsid w:val="16240763"/>
    <w:rsid w:val="16244EE0"/>
    <w:rsid w:val="1624772B"/>
    <w:rsid w:val="162502C9"/>
    <w:rsid w:val="162503E3"/>
    <w:rsid w:val="16250BF4"/>
    <w:rsid w:val="16250E68"/>
    <w:rsid w:val="16252961"/>
    <w:rsid w:val="16263C66"/>
    <w:rsid w:val="162716E7"/>
    <w:rsid w:val="1627221C"/>
    <w:rsid w:val="162723E1"/>
    <w:rsid w:val="162738E6"/>
    <w:rsid w:val="16281367"/>
    <w:rsid w:val="1629395A"/>
    <w:rsid w:val="162A266C"/>
    <w:rsid w:val="162A4334"/>
    <w:rsid w:val="162A44F8"/>
    <w:rsid w:val="162B00EE"/>
    <w:rsid w:val="162C38CF"/>
    <w:rsid w:val="162C5B6F"/>
    <w:rsid w:val="162D57EF"/>
    <w:rsid w:val="162D644C"/>
    <w:rsid w:val="162F0CF2"/>
    <w:rsid w:val="16300563"/>
    <w:rsid w:val="16301FF7"/>
    <w:rsid w:val="16306774"/>
    <w:rsid w:val="163112C6"/>
    <w:rsid w:val="163141F5"/>
    <w:rsid w:val="16321C77"/>
    <w:rsid w:val="16332F7C"/>
    <w:rsid w:val="163409FD"/>
    <w:rsid w:val="16352BFB"/>
    <w:rsid w:val="1635647F"/>
    <w:rsid w:val="16365331"/>
    <w:rsid w:val="16371982"/>
    <w:rsid w:val="16391602"/>
    <w:rsid w:val="163976E4"/>
    <w:rsid w:val="163A2906"/>
    <w:rsid w:val="163A6417"/>
    <w:rsid w:val="163A7083"/>
    <w:rsid w:val="163A7E23"/>
    <w:rsid w:val="163B09C1"/>
    <w:rsid w:val="163B4B05"/>
    <w:rsid w:val="163B52FF"/>
    <w:rsid w:val="163B5820"/>
    <w:rsid w:val="163C2586"/>
    <w:rsid w:val="163D1F3A"/>
    <w:rsid w:val="163D388B"/>
    <w:rsid w:val="163D5A89"/>
    <w:rsid w:val="163E350B"/>
    <w:rsid w:val="16404810"/>
    <w:rsid w:val="16404BF0"/>
    <w:rsid w:val="16406A0E"/>
    <w:rsid w:val="16414490"/>
    <w:rsid w:val="16421F11"/>
    <w:rsid w:val="1642632E"/>
    <w:rsid w:val="16427D13"/>
    <w:rsid w:val="16435794"/>
    <w:rsid w:val="16443216"/>
    <w:rsid w:val="16445414"/>
    <w:rsid w:val="16450281"/>
    <w:rsid w:val="16450C97"/>
    <w:rsid w:val="16456719"/>
    <w:rsid w:val="16460E1F"/>
    <w:rsid w:val="1646419B"/>
    <w:rsid w:val="16471C1C"/>
    <w:rsid w:val="16476399"/>
    <w:rsid w:val="16481115"/>
    <w:rsid w:val="16483E1A"/>
    <w:rsid w:val="16490368"/>
    <w:rsid w:val="16490F5F"/>
    <w:rsid w:val="164A3AD6"/>
    <w:rsid w:val="164A7926"/>
    <w:rsid w:val="164A7ADC"/>
    <w:rsid w:val="164D5BED"/>
    <w:rsid w:val="164E15A7"/>
    <w:rsid w:val="164E5D24"/>
    <w:rsid w:val="164F37A5"/>
    <w:rsid w:val="164F7B40"/>
    <w:rsid w:val="16501227"/>
    <w:rsid w:val="1651127E"/>
    <w:rsid w:val="1652472A"/>
    <w:rsid w:val="16527FAD"/>
    <w:rsid w:val="16547C2D"/>
    <w:rsid w:val="16550F32"/>
    <w:rsid w:val="16552C58"/>
    <w:rsid w:val="16563130"/>
    <w:rsid w:val="1656474A"/>
    <w:rsid w:val="165669B3"/>
    <w:rsid w:val="16572EB0"/>
    <w:rsid w:val="165754AD"/>
    <w:rsid w:val="16576633"/>
    <w:rsid w:val="16581EB6"/>
    <w:rsid w:val="16591B36"/>
    <w:rsid w:val="16597938"/>
    <w:rsid w:val="165A53BA"/>
    <w:rsid w:val="165B7DDA"/>
    <w:rsid w:val="165C0979"/>
    <w:rsid w:val="165D633E"/>
    <w:rsid w:val="165E1841"/>
    <w:rsid w:val="165E2C55"/>
    <w:rsid w:val="165E3DC0"/>
    <w:rsid w:val="165F72C3"/>
    <w:rsid w:val="16604D44"/>
    <w:rsid w:val="166127C6"/>
    <w:rsid w:val="16620247"/>
    <w:rsid w:val="16635CC9"/>
    <w:rsid w:val="166362E5"/>
    <w:rsid w:val="166560CF"/>
    <w:rsid w:val="1665769A"/>
    <w:rsid w:val="16666C4E"/>
    <w:rsid w:val="16674575"/>
    <w:rsid w:val="166746CF"/>
    <w:rsid w:val="16682151"/>
    <w:rsid w:val="16692350"/>
    <w:rsid w:val="16697BD2"/>
    <w:rsid w:val="166A2EEE"/>
    <w:rsid w:val="166A3A8D"/>
    <w:rsid w:val="166A5654"/>
    <w:rsid w:val="166B30D5"/>
    <w:rsid w:val="166E49E0"/>
    <w:rsid w:val="166F6F59"/>
    <w:rsid w:val="166F711D"/>
    <w:rsid w:val="166F74AF"/>
    <w:rsid w:val="1670755D"/>
    <w:rsid w:val="16721071"/>
    <w:rsid w:val="167304E2"/>
    <w:rsid w:val="167427AE"/>
    <w:rsid w:val="16745F63"/>
    <w:rsid w:val="167539E5"/>
    <w:rsid w:val="16754338"/>
    <w:rsid w:val="16756D52"/>
    <w:rsid w:val="16761466"/>
    <w:rsid w:val="1677276B"/>
    <w:rsid w:val="1677496A"/>
    <w:rsid w:val="167801ED"/>
    <w:rsid w:val="167823EB"/>
    <w:rsid w:val="167852A0"/>
    <w:rsid w:val="16795C6E"/>
    <w:rsid w:val="167969DD"/>
    <w:rsid w:val="167A3D95"/>
    <w:rsid w:val="167A58EE"/>
    <w:rsid w:val="167A707D"/>
    <w:rsid w:val="167A73B7"/>
    <w:rsid w:val="167B3370"/>
    <w:rsid w:val="167C0AF5"/>
    <w:rsid w:val="167D1103"/>
    <w:rsid w:val="167D4675"/>
    <w:rsid w:val="167E7B78"/>
    <w:rsid w:val="167F1D76"/>
    <w:rsid w:val="167F55F9"/>
    <w:rsid w:val="168035E6"/>
    <w:rsid w:val="168077F8"/>
    <w:rsid w:val="16810AFC"/>
    <w:rsid w:val="16815279"/>
    <w:rsid w:val="16822CFB"/>
    <w:rsid w:val="16824D24"/>
    <w:rsid w:val="1682657E"/>
    <w:rsid w:val="1683077C"/>
    <w:rsid w:val="16833FFF"/>
    <w:rsid w:val="16841A81"/>
    <w:rsid w:val="168461FE"/>
    <w:rsid w:val="16857503"/>
    <w:rsid w:val="16864F84"/>
    <w:rsid w:val="16872A06"/>
    <w:rsid w:val="16880487"/>
    <w:rsid w:val="16884C04"/>
    <w:rsid w:val="16892307"/>
    <w:rsid w:val="16892685"/>
    <w:rsid w:val="168A398A"/>
    <w:rsid w:val="168B5B89"/>
    <w:rsid w:val="168D108C"/>
    <w:rsid w:val="168E458F"/>
    <w:rsid w:val="168E5B5C"/>
    <w:rsid w:val="168E6B0D"/>
    <w:rsid w:val="16905894"/>
    <w:rsid w:val="16907A92"/>
    <w:rsid w:val="16913315"/>
    <w:rsid w:val="16914C6F"/>
    <w:rsid w:val="16932F60"/>
    <w:rsid w:val="16936818"/>
    <w:rsid w:val="1696779D"/>
    <w:rsid w:val="169804E7"/>
    <w:rsid w:val="16980722"/>
    <w:rsid w:val="16984E9E"/>
    <w:rsid w:val="169961A3"/>
    <w:rsid w:val="169A03A1"/>
    <w:rsid w:val="169A3C25"/>
    <w:rsid w:val="169C00D2"/>
    <w:rsid w:val="169C38A4"/>
    <w:rsid w:val="169D08E8"/>
    <w:rsid w:val="169E262B"/>
    <w:rsid w:val="169E6DA8"/>
    <w:rsid w:val="16A135AF"/>
    <w:rsid w:val="16A21031"/>
    <w:rsid w:val="16A2126B"/>
    <w:rsid w:val="16A257AE"/>
    <w:rsid w:val="16A356B5"/>
    <w:rsid w:val="16A40CB1"/>
    <w:rsid w:val="16A51FB6"/>
    <w:rsid w:val="16A53511"/>
    <w:rsid w:val="16A56732"/>
    <w:rsid w:val="16A61C36"/>
    <w:rsid w:val="16A641B4"/>
    <w:rsid w:val="16A67A37"/>
    <w:rsid w:val="16A701A7"/>
    <w:rsid w:val="16A776B7"/>
    <w:rsid w:val="16A80F0A"/>
    <w:rsid w:val="16A82F3A"/>
    <w:rsid w:val="16A909BC"/>
    <w:rsid w:val="16A91857"/>
    <w:rsid w:val="16A918E4"/>
    <w:rsid w:val="16A92BBA"/>
    <w:rsid w:val="16AA643D"/>
    <w:rsid w:val="16AC3B3F"/>
    <w:rsid w:val="16AD73C2"/>
    <w:rsid w:val="16AE28C5"/>
    <w:rsid w:val="16AE4E44"/>
    <w:rsid w:val="16AE5B13"/>
    <w:rsid w:val="16AE7042"/>
    <w:rsid w:val="16AF0285"/>
    <w:rsid w:val="16AF095C"/>
    <w:rsid w:val="16AF64EE"/>
    <w:rsid w:val="16AF66B2"/>
    <w:rsid w:val="16B000D0"/>
    <w:rsid w:val="16B1384A"/>
    <w:rsid w:val="16B17FC7"/>
    <w:rsid w:val="16B212CB"/>
    <w:rsid w:val="16B25A48"/>
    <w:rsid w:val="16B334CA"/>
    <w:rsid w:val="16B41B7E"/>
    <w:rsid w:val="16B41D43"/>
    <w:rsid w:val="16B52E8E"/>
    <w:rsid w:val="16B569CD"/>
    <w:rsid w:val="16B6444E"/>
    <w:rsid w:val="16B67CD2"/>
    <w:rsid w:val="16B70AB9"/>
    <w:rsid w:val="16B84834"/>
    <w:rsid w:val="16B90C56"/>
    <w:rsid w:val="16BA1030"/>
    <w:rsid w:val="16BA66D8"/>
    <w:rsid w:val="16BB4159"/>
    <w:rsid w:val="16BD3B7A"/>
    <w:rsid w:val="16BF1FDC"/>
    <w:rsid w:val="16BF2B60"/>
    <w:rsid w:val="16BF4D5E"/>
    <w:rsid w:val="16C02B7B"/>
    <w:rsid w:val="16C13555"/>
    <w:rsid w:val="16C23AE4"/>
    <w:rsid w:val="16C46FE7"/>
    <w:rsid w:val="16C54A69"/>
    <w:rsid w:val="16C5620B"/>
    <w:rsid w:val="16C66DAA"/>
    <w:rsid w:val="16C80E0B"/>
    <w:rsid w:val="16C8346F"/>
    <w:rsid w:val="16C90EC2"/>
    <w:rsid w:val="16C90EF1"/>
    <w:rsid w:val="16CA243A"/>
    <w:rsid w:val="16CA6972"/>
    <w:rsid w:val="16CA6BE3"/>
    <w:rsid w:val="16CB2FD9"/>
    <w:rsid w:val="16CB43F4"/>
    <w:rsid w:val="16CC1E75"/>
    <w:rsid w:val="16CC39B3"/>
    <w:rsid w:val="16CF0435"/>
    <w:rsid w:val="16CF2DFA"/>
    <w:rsid w:val="16D0087B"/>
    <w:rsid w:val="16D23D7F"/>
    <w:rsid w:val="16D31800"/>
    <w:rsid w:val="16D41320"/>
    <w:rsid w:val="16D70206"/>
    <w:rsid w:val="16DA118B"/>
    <w:rsid w:val="16DA4A0E"/>
    <w:rsid w:val="16DB2490"/>
    <w:rsid w:val="16DC468E"/>
    <w:rsid w:val="16DC674F"/>
    <w:rsid w:val="16DC74A2"/>
    <w:rsid w:val="16DC7F11"/>
    <w:rsid w:val="16DD0041"/>
    <w:rsid w:val="16DD2110"/>
    <w:rsid w:val="16DD7E7C"/>
    <w:rsid w:val="16DE3414"/>
    <w:rsid w:val="16E00B16"/>
    <w:rsid w:val="16E06917"/>
    <w:rsid w:val="16E14399"/>
    <w:rsid w:val="16E16597"/>
    <w:rsid w:val="16E24019"/>
    <w:rsid w:val="16E31A9A"/>
    <w:rsid w:val="16E3789C"/>
    <w:rsid w:val="16E52D9F"/>
    <w:rsid w:val="16E54F9E"/>
    <w:rsid w:val="16E60821"/>
    <w:rsid w:val="16E62A1F"/>
    <w:rsid w:val="16E77900"/>
    <w:rsid w:val="16E802DA"/>
    <w:rsid w:val="16E817A5"/>
    <w:rsid w:val="16E834C7"/>
    <w:rsid w:val="16E85F22"/>
    <w:rsid w:val="16E97227"/>
    <w:rsid w:val="16EA1425"/>
    <w:rsid w:val="16EB6EA7"/>
    <w:rsid w:val="16EC01AC"/>
    <w:rsid w:val="16EC4928"/>
    <w:rsid w:val="16ED5C2D"/>
    <w:rsid w:val="16EE36AF"/>
    <w:rsid w:val="16EE7E2B"/>
    <w:rsid w:val="16EF1130"/>
    <w:rsid w:val="16EF4EE4"/>
    <w:rsid w:val="16EF58AD"/>
    <w:rsid w:val="16F0332F"/>
    <w:rsid w:val="16F06BB2"/>
    <w:rsid w:val="16F10DB0"/>
    <w:rsid w:val="16F14633"/>
    <w:rsid w:val="16F16621"/>
    <w:rsid w:val="16F220B5"/>
    <w:rsid w:val="16F26832"/>
    <w:rsid w:val="16F26FFB"/>
    <w:rsid w:val="16F27D5E"/>
    <w:rsid w:val="16F342B3"/>
    <w:rsid w:val="16F37B36"/>
    <w:rsid w:val="16F37B9A"/>
    <w:rsid w:val="16F41D35"/>
    <w:rsid w:val="16F5303A"/>
    <w:rsid w:val="16F577B6"/>
    <w:rsid w:val="16F60ABB"/>
    <w:rsid w:val="16F72CB9"/>
    <w:rsid w:val="16F75263"/>
    <w:rsid w:val="16F83FBE"/>
    <w:rsid w:val="16F93C3E"/>
    <w:rsid w:val="16F94968"/>
    <w:rsid w:val="16FA5506"/>
    <w:rsid w:val="16FB4F43"/>
    <w:rsid w:val="16FB7141"/>
    <w:rsid w:val="16FC29C4"/>
    <w:rsid w:val="16FC68BB"/>
    <w:rsid w:val="16FD2644"/>
    <w:rsid w:val="16FD77F0"/>
    <w:rsid w:val="16FE5EC8"/>
    <w:rsid w:val="16FF13CB"/>
    <w:rsid w:val="16FF3949"/>
    <w:rsid w:val="16FF5B47"/>
    <w:rsid w:val="170035C9"/>
    <w:rsid w:val="17006E4C"/>
    <w:rsid w:val="1701104A"/>
    <w:rsid w:val="17011F4B"/>
    <w:rsid w:val="170148CE"/>
    <w:rsid w:val="1702234F"/>
    <w:rsid w:val="17026ACC"/>
    <w:rsid w:val="17037DD1"/>
    <w:rsid w:val="17044DC6"/>
    <w:rsid w:val="17045852"/>
    <w:rsid w:val="17057A40"/>
    <w:rsid w:val="17057DAB"/>
    <w:rsid w:val="17060D55"/>
    <w:rsid w:val="1706617A"/>
    <w:rsid w:val="1706633F"/>
    <w:rsid w:val="170767D7"/>
    <w:rsid w:val="17076EDD"/>
    <w:rsid w:val="170809D5"/>
    <w:rsid w:val="170840D6"/>
    <w:rsid w:val="17084259"/>
    <w:rsid w:val="17090456"/>
    <w:rsid w:val="17091CDA"/>
    <w:rsid w:val="17096457"/>
    <w:rsid w:val="170A775C"/>
    <w:rsid w:val="170B180B"/>
    <w:rsid w:val="170B195A"/>
    <w:rsid w:val="170B51DD"/>
    <w:rsid w:val="170C256E"/>
    <w:rsid w:val="170C2C5F"/>
    <w:rsid w:val="170C73DC"/>
    <w:rsid w:val="170D06E0"/>
    <w:rsid w:val="170E3951"/>
    <w:rsid w:val="170E6162"/>
    <w:rsid w:val="170F0360"/>
    <w:rsid w:val="170F3BE3"/>
    <w:rsid w:val="170F5DE2"/>
    <w:rsid w:val="170F61FF"/>
    <w:rsid w:val="17101665"/>
    <w:rsid w:val="17103863"/>
    <w:rsid w:val="171165D8"/>
    <w:rsid w:val="17124B68"/>
    <w:rsid w:val="17127177"/>
    <w:rsid w:val="171325EA"/>
    <w:rsid w:val="1714006B"/>
    <w:rsid w:val="17142269"/>
    <w:rsid w:val="17161E2D"/>
    <w:rsid w:val="1716576D"/>
    <w:rsid w:val="17170FF0"/>
    <w:rsid w:val="171731EE"/>
    <w:rsid w:val="17180C70"/>
    <w:rsid w:val="171A491F"/>
    <w:rsid w:val="171A79F6"/>
    <w:rsid w:val="171B1BF4"/>
    <w:rsid w:val="171B5478"/>
    <w:rsid w:val="171B605C"/>
    <w:rsid w:val="171B6978"/>
    <w:rsid w:val="171C2EF9"/>
    <w:rsid w:val="171C4DC0"/>
    <w:rsid w:val="171D097B"/>
    <w:rsid w:val="171D50F7"/>
    <w:rsid w:val="171D6872"/>
    <w:rsid w:val="171E2B79"/>
    <w:rsid w:val="171F05FA"/>
    <w:rsid w:val="171F098A"/>
    <w:rsid w:val="17201528"/>
    <w:rsid w:val="17213AFE"/>
    <w:rsid w:val="17217381"/>
    <w:rsid w:val="1722468F"/>
    <w:rsid w:val="17224E02"/>
    <w:rsid w:val="17232884"/>
    <w:rsid w:val="172338E2"/>
    <w:rsid w:val="17237001"/>
    <w:rsid w:val="17240306"/>
    <w:rsid w:val="17242B35"/>
    <w:rsid w:val="17252504"/>
    <w:rsid w:val="17263809"/>
    <w:rsid w:val="17265757"/>
    <w:rsid w:val="17276132"/>
    <w:rsid w:val="172762F6"/>
    <w:rsid w:val="172829E4"/>
    <w:rsid w:val="172A0249"/>
    <w:rsid w:val="172B6D8B"/>
    <w:rsid w:val="172C2525"/>
    <w:rsid w:val="172D30C4"/>
    <w:rsid w:val="172E586A"/>
    <w:rsid w:val="172F4478"/>
    <w:rsid w:val="173051DB"/>
    <w:rsid w:val="173159F1"/>
    <w:rsid w:val="17315F09"/>
    <w:rsid w:val="1731761B"/>
    <w:rsid w:val="17324FA7"/>
    <w:rsid w:val="17332B1E"/>
    <w:rsid w:val="173348D1"/>
    <w:rsid w:val="17361246"/>
    <w:rsid w:val="17363AA3"/>
    <w:rsid w:val="17370680"/>
    <w:rsid w:val="17371DE5"/>
    <w:rsid w:val="1738335E"/>
    <w:rsid w:val="17394A28"/>
    <w:rsid w:val="17397720"/>
    <w:rsid w:val="173A24A9"/>
    <w:rsid w:val="173C6014"/>
    <w:rsid w:val="173D342E"/>
    <w:rsid w:val="173E758D"/>
    <w:rsid w:val="173F6931"/>
    <w:rsid w:val="17407C36"/>
    <w:rsid w:val="174114E0"/>
    <w:rsid w:val="17423139"/>
    <w:rsid w:val="1744435A"/>
    <w:rsid w:val="1744663C"/>
    <w:rsid w:val="1745083A"/>
    <w:rsid w:val="17461B3F"/>
    <w:rsid w:val="17464B70"/>
    <w:rsid w:val="17473D3D"/>
    <w:rsid w:val="174762AE"/>
    <w:rsid w:val="17486E4C"/>
    <w:rsid w:val="17492AC4"/>
    <w:rsid w:val="174A2743"/>
    <w:rsid w:val="174A32FC"/>
    <w:rsid w:val="174B5FC7"/>
    <w:rsid w:val="174C3A48"/>
    <w:rsid w:val="174D36C8"/>
    <w:rsid w:val="174E6F4B"/>
    <w:rsid w:val="174F2482"/>
    <w:rsid w:val="174F49CD"/>
    <w:rsid w:val="1750136A"/>
    <w:rsid w:val="17504430"/>
    <w:rsid w:val="175045F4"/>
    <w:rsid w:val="1750464D"/>
    <w:rsid w:val="175120CE"/>
    <w:rsid w:val="175355D1"/>
    <w:rsid w:val="175372AA"/>
    <w:rsid w:val="175468D6"/>
    <w:rsid w:val="17550AD5"/>
    <w:rsid w:val="17554358"/>
    <w:rsid w:val="17557159"/>
    <w:rsid w:val="17561DD9"/>
    <w:rsid w:val="17571D9C"/>
    <w:rsid w:val="17573FD8"/>
    <w:rsid w:val="17581A59"/>
    <w:rsid w:val="17582776"/>
    <w:rsid w:val="175974DB"/>
    <w:rsid w:val="175B29DE"/>
    <w:rsid w:val="175C3CE3"/>
    <w:rsid w:val="175C5BC1"/>
    <w:rsid w:val="175D1764"/>
    <w:rsid w:val="175D5E07"/>
    <w:rsid w:val="175D5EE1"/>
    <w:rsid w:val="175E3962"/>
    <w:rsid w:val="175E69A5"/>
    <w:rsid w:val="175E71E6"/>
    <w:rsid w:val="175F3471"/>
    <w:rsid w:val="175F4C67"/>
    <w:rsid w:val="176026E9"/>
    <w:rsid w:val="176048E7"/>
    <w:rsid w:val="1761016A"/>
    <w:rsid w:val="17612369"/>
    <w:rsid w:val="17625BEC"/>
    <w:rsid w:val="1763366E"/>
    <w:rsid w:val="176410EF"/>
    <w:rsid w:val="176432ED"/>
    <w:rsid w:val="17650D6F"/>
    <w:rsid w:val="17656B71"/>
    <w:rsid w:val="176667F0"/>
    <w:rsid w:val="17672074"/>
    <w:rsid w:val="17685577"/>
    <w:rsid w:val="17692FF8"/>
    <w:rsid w:val="17697775"/>
    <w:rsid w:val="176A0A7A"/>
    <w:rsid w:val="176A77DE"/>
    <w:rsid w:val="176B037C"/>
    <w:rsid w:val="176C06FA"/>
    <w:rsid w:val="176C69FB"/>
    <w:rsid w:val="176D19FF"/>
    <w:rsid w:val="176D617B"/>
    <w:rsid w:val="176D6324"/>
    <w:rsid w:val="176E3BFD"/>
    <w:rsid w:val="176F167E"/>
    <w:rsid w:val="176F4F02"/>
    <w:rsid w:val="17701D14"/>
    <w:rsid w:val="17702983"/>
    <w:rsid w:val="17707100"/>
    <w:rsid w:val="17714B81"/>
    <w:rsid w:val="17722603"/>
    <w:rsid w:val="17733908"/>
    <w:rsid w:val="17735226"/>
    <w:rsid w:val="17741389"/>
    <w:rsid w:val="17745B06"/>
    <w:rsid w:val="1774709D"/>
    <w:rsid w:val="17747262"/>
    <w:rsid w:val="17757C3C"/>
    <w:rsid w:val="17760616"/>
    <w:rsid w:val="177607DB"/>
    <w:rsid w:val="1776488C"/>
    <w:rsid w:val="17773DA4"/>
    <w:rsid w:val="17781F8E"/>
    <w:rsid w:val="177928F2"/>
    <w:rsid w:val="17795811"/>
    <w:rsid w:val="17797A0F"/>
    <w:rsid w:val="177A32CC"/>
    <w:rsid w:val="177A5491"/>
    <w:rsid w:val="177B0D14"/>
    <w:rsid w:val="177C0994"/>
    <w:rsid w:val="177D4217"/>
    <w:rsid w:val="177D5F83"/>
    <w:rsid w:val="177F1919"/>
    <w:rsid w:val="177F771A"/>
    <w:rsid w:val="1780739A"/>
    <w:rsid w:val="1781069F"/>
    <w:rsid w:val="1783031F"/>
    <w:rsid w:val="178321B2"/>
    <w:rsid w:val="17833BA2"/>
    <w:rsid w:val="17840496"/>
    <w:rsid w:val="17841624"/>
    <w:rsid w:val="17845DA0"/>
    <w:rsid w:val="178570A5"/>
    <w:rsid w:val="17864105"/>
    <w:rsid w:val="17876D25"/>
    <w:rsid w:val="17884ACD"/>
    <w:rsid w:val="1789621C"/>
    <w:rsid w:val="178A237C"/>
    <w:rsid w:val="178A289D"/>
    <w:rsid w:val="178A2F73"/>
    <w:rsid w:val="178A352D"/>
    <w:rsid w:val="178A795A"/>
    <w:rsid w:val="178B04F8"/>
    <w:rsid w:val="178B572B"/>
    <w:rsid w:val="178C6A30"/>
    <w:rsid w:val="178D18AD"/>
    <w:rsid w:val="178E244B"/>
    <w:rsid w:val="178F79B5"/>
    <w:rsid w:val="17900DE9"/>
    <w:rsid w:val="179039C4"/>
    <w:rsid w:val="17905436"/>
    <w:rsid w:val="17912EB8"/>
    <w:rsid w:val="17914727"/>
    <w:rsid w:val="17925102"/>
    <w:rsid w:val="17925EB3"/>
    <w:rsid w:val="179363BB"/>
    <w:rsid w:val="17943E3D"/>
    <w:rsid w:val="179518BE"/>
    <w:rsid w:val="17967340"/>
    <w:rsid w:val="1796745F"/>
    <w:rsid w:val="17974DC1"/>
    <w:rsid w:val="179766B3"/>
    <w:rsid w:val="17976D89"/>
    <w:rsid w:val="179802C4"/>
    <w:rsid w:val="17981D0B"/>
    <w:rsid w:val="17981ECF"/>
    <w:rsid w:val="1798522F"/>
    <w:rsid w:val="179949A3"/>
    <w:rsid w:val="17995D46"/>
    <w:rsid w:val="179A37C7"/>
    <w:rsid w:val="179D474C"/>
    <w:rsid w:val="179E21CE"/>
    <w:rsid w:val="179F6AD9"/>
    <w:rsid w:val="179F7C4F"/>
    <w:rsid w:val="17A056D1"/>
    <w:rsid w:val="17A13152"/>
    <w:rsid w:val="17A20BD4"/>
    <w:rsid w:val="17A34A07"/>
    <w:rsid w:val="17A50CDA"/>
    <w:rsid w:val="17A51B58"/>
    <w:rsid w:val="17A538A6"/>
    <w:rsid w:val="17A553DC"/>
    <w:rsid w:val="17A60B24"/>
    <w:rsid w:val="17A62E5D"/>
    <w:rsid w:val="17A636E2"/>
    <w:rsid w:val="17A675DA"/>
    <w:rsid w:val="17A708DF"/>
    <w:rsid w:val="17A7505C"/>
    <w:rsid w:val="17A76FCB"/>
    <w:rsid w:val="17A82ADD"/>
    <w:rsid w:val="17A857FA"/>
    <w:rsid w:val="17A86360"/>
    <w:rsid w:val="17A9055F"/>
    <w:rsid w:val="17A93DE2"/>
    <w:rsid w:val="17A96398"/>
    <w:rsid w:val="17AA5FE0"/>
    <w:rsid w:val="17AB3A62"/>
    <w:rsid w:val="17AC02EB"/>
    <w:rsid w:val="17AC4D67"/>
    <w:rsid w:val="17AD104E"/>
    <w:rsid w:val="17AD6F65"/>
    <w:rsid w:val="17AE026A"/>
    <w:rsid w:val="17AE1A29"/>
    <w:rsid w:val="17AF2468"/>
    <w:rsid w:val="17AF25C7"/>
    <w:rsid w:val="17B0376D"/>
    <w:rsid w:val="17B0596B"/>
    <w:rsid w:val="17B07EE9"/>
    <w:rsid w:val="17B111EE"/>
    <w:rsid w:val="17B20E6E"/>
    <w:rsid w:val="17B24926"/>
    <w:rsid w:val="17B26C70"/>
    <w:rsid w:val="17B346F1"/>
    <w:rsid w:val="17B350B9"/>
    <w:rsid w:val="17B35C58"/>
    <w:rsid w:val="17B44371"/>
    <w:rsid w:val="17B45A93"/>
    <w:rsid w:val="17B46632"/>
    <w:rsid w:val="17B6195E"/>
    <w:rsid w:val="17B65676"/>
    <w:rsid w:val="17B67874"/>
    <w:rsid w:val="17B7074A"/>
    <w:rsid w:val="17B730F8"/>
    <w:rsid w:val="17B752F6"/>
    <w:rsid w:val="17B772AD"/>
    <w:rsid w:val="17B80B79"/>
    <w:rsid w:val="17B82D77"/>
    <w:rsid w:val="17B865FB"/>
    <w:rsid w:val="17B907F9"/>
    <w:rsid w:val="17BA1AFE"/>
    <w:rsid w:val="17BA5576"/>
    <w:rsid w:val="17BA627B"/>
    <w:rsid w:val="17BB3400"/>
    <w:rsid w:val="17BB3CFC"/>
    <w:rsid w:val="17BB757F"/>
    <w:rsid w:val="17BC177E"/>
    <w:rsid w:val="17BC5001"/>
    <w:rsid w:val="17BD2A82"/>
    <w:rsid w:val="17BD71FF"/>
    <w:rsid w:val="17BE5353"/>
    <w:rsid w:val="17BE5517"/>
    <w:rsid w:val="17BF2702"/>
    <w:rsid w:val="17BF5F86"/>
    <w:rsid w:val="17C00184"/>
    <w:rsid w:val="17C15C05"/>
    <w:rsid w:val="17C23687"/>
    <w:rsid w:val="17C26F0A"/>
    <w:rsid w:val="17C31108"/>
    <w:rsid w:val="17C31582"/>
    <w:rsid w:val="17C3498C"/>
    <w:rsid w:val="17C4240D"/>
    <w:rsid w:val="17C46B8A"/>
    <w:rsid w:val="17C52CBF"/>
    <w:rsid w:val="17C5460C"/>
    <w:rsid w:val="17C65910"/>
    <w:rsid w:val="17C80E13"/>
    <w:rsid w:val="17C93012"/>
    <w:rsid w:val="17C96895"/>
    <w:rsid w:val="17CB3F96"/>
    <w:rsid w:val="17CC781A"/>
    <w:rsid w:val="17CD529B"/>
    <w:rsid w:val="17CE1006"/>
    <w:rsid w:val="17CE2D1D"/>
    <w:rsid w:val="17CF079E"/>
    <w:rsid w:val="17CF19E0"/>
    <w:rsid w:val="17CF299D"/>
    <w:rsid w:val="17D0041E"/>
    <w:rsid w:val="17D0311D"/>
    <w:rsid w:val="17D13AF8"/>
    <w:rsid w:val="17D15EA0"/>
    <w:rsid w:val="17D24696"/>
    <w:rsid w:val="17D26ACD"/>
    <w:rsid w:val="17D271A5"/>
    <w:rsid w:val="17D313A3"/>
    <w:rsid w:val="17D426A8"/>
    <w:rsid w:val="17D45C0F"/>
    <w:rsid w:val="17D46E24"/>
    <w:rsid w:val="17D50129"/>
    <w:rsid w:val="17D548A6"/>
    <w:rsid w:val="17D565E9"/>
    <w:rsid w:val="17D567AE"/>
    <w:rsid w:val="17D62327"/>
    <w:rsid w:val="17D63EF8"/>
    <w:rsid w:val="17D65BAB"/>
    <w:rsid w:val="17D810AE"/>
    <w:rsid w:val="17D8582B"/>
    <w:rsid w:val="17D932AC"/>
    <w:rsid w:val="17D96B2F"/>
    <w:rsid w:val="17DA0D2E"/>
    <w:rsid w:val="17DA1C7A"/>
    <w:rsid w:val="17DA1E3E"/>
    <w:rsid w:val="17DA45B1"/>
    <w:rsid w:val="17DB2818"/>
    <w:rsid w:val="17DB67AF"/>
    <w:rsid w:val="17DC4231"/>
    <w:rsid w:val="17DD1CB2"/>
    <w:rsid w:val="17DD3D91"/>
    <w:rsid w:val="17DF2C4E"/>
    <w:rsid w:val="17DF51B5"/>
    <w:rsid w:val="17E02C37"/>
    <w:rsid w:val="17E064BA"/>
    <w:rsid w:val="17E106B9"/>
    <w:rsid w:val="17E20185"/>
    <w:rsid w:val="17E219BD"/>
    <w:rsid w:val="17E23BBC"/>
    <w:rsid w:val="17E30B5F"/>
    <w:rsid w:val="17E3163D"/>
    <w:rsid w:val="17E31DDD"/>
    <w:rsid w:val="17E41539"/>
    <w:rsid w:val="17E416FE"/>
    <w:rsid w:val="17E470BF"/>
    <w:rsid w:val="17E52942"/>
    <w:rsid w:val="17E603C4"/>
    <w:rsid w:val="17E625C2"/>
    <w:rsid w:val="17E70043"/>
    <w:rsid w:val="17E75E45"/>
    <w:rsid w:val="17E841F0"/>
    <w:rsid w:val="17E843B4"/>
    <w:rsid w:val="17E91348"/>
    <w:rsid w:val="17E93546"/>
    <w:rsid w:val="17E96DCA"/>
    <w:rsid w:val="17EA484B"/>
    <w:rsid w:val="17EC44CB"/>
    <w:rsid w:val="17EC7D4E"/>
    <w:rsid w:val="17ED1F4D"/>
    <w:rsid w:val="17EE0FBD"/>
    <w:rsid w:val="17EE44C9"/>
    <w:rsid w:val="17EE467F"/>
    <w:rsid w:val="17EE79CE"/>
    <w:rsid w:val="17EF38D2"/>
    <w:rsid w:val="17EF5450"/>
    <w:rsid w:val="17F00513"/>
    <w:rsid w:val="17F027BA"/>
    <w:rsid w:val="17F06755"/>
    <w:rsid w:val="17F130D5"/>
    <w:rsid w:val="17F141D6"/>
    <w:rsid w:val="17F23C73"/>
    <w:rsid w:val="17F451EC"/>
    <w:rsid w:val="17F55D8B"/>
    <w:rsid w:val="17F6065E"/>
    <w:rsid w:val="17F66765"/>
    <w:rsid w:val="17F906B8"/>
    <w:rsid w:val="17FA7064"/>
    <w:rsid w:val="17FB27D0"/>
    <w:rsid w:val="17FD641A"/>
    <w:rsid w:val="17FE0E1E"/>
    <w:rsid w:val="17FE5302"/>
    <w:rsid w:val="17FF34EC"/>
    <w:rsid w:val="17FF5486"/>
    <w:rsid w:val="17FF564B"/>
    <w:rsid w:val="18000F6D"/>
    <w:rsid w:val="18016BC3"/>
    <w:rsid w:val="18037974"/>
    <w:rsid w:val="18040CDB"/>
    <w:rsid w:val="180453F5"/>
    <w:rsid w:val="180516B5"/>
    <w:rsid w:val="1806208F"/>
    <w:rsid w:val="18062254"/>
    <w:rsid w:val="18062C2E"/>
    <w:rsid w:val="18062DF3"/>
    <w:rsid w:val="180737CD"/>
    <w:rsid w:val="1807637A"/>
    <w:rsid w:val="180841A7"/>
    <w:rsid w:val="1809187D"/>
    <w:rsid w:val="180A2635"/>
    <w:rsid w:val="180A5720"/>
    <w:rsid w:val="180A7E69"/>
    <w:rsid w:val="180B0603"/>
    <w:rsid w:val="180B0B11"/>
    <w:rsid w:val="180B1639"/>
    <w:rsid w:val="180C0BF7"/>
    <w:rsid w:val="180C2802"/>
    <w:rsid w:val="180C6085"/>
    <w:rsid w:val="180C6E5D"/>
    <w:rsid w:val="180D0283"/>
    <w:rsid w:val="180E1588"/>
    <w:rsid w:val="1810358B"/>
    <w:rsid w:val="18104A8B"/>
    <w:rsid w:val="181124EE"/>
    <w:rsid w:val="1813218C"/>
    <w:rsid w:val="18147C0E"/>
    <w:rsid w:val="18150F13"/>
    <w:rsid w:val="1815568F"/>
    <w:rsid w:val="18166994"/>
    <w:rsid w:val="18174416"/>
    <w:rsid w:val="181770F7"/>
    <w:rsid w:val="18181E97"/>
    <w:rsid w:val="18186614"/>
    <w:rsid w:val="18187C96"/>
    <w:rsid w:val="18187E5A"/>
    <w:rsid w:val="18194096"/>
    <w:rsid w:val="18197919"/>
    <w:rsid w:val="181A38F5"/>
    <w:rsid w:val="181A539A"/>
    <w:rsid w:val="181A7599"/>
    <w:rsid w:val="181B501A"/>
    <w:rsid w:val="181C089E"/>
    <w:rsid w:val="181C1BE6"/>
    <w:rsid w:val="181C2A9C"/>
    <w:rsid w:val="181D631F"/>
    <w:rsid w:val="181E5F9F"/>
    <w:rsid w:val="181F1822"/>
    <w:rsid w:val="181F3A21"/>
    <w:rsid w:val="181F489F"/>
    <w:rsid w:val="181F4A63"/>
    <w:rsid w:val="182014A2"/>
    <w:rsid w:val="182127A7"/>
    <w:rsid w:val="18214D25"/>
    <w:rsid w:val="18216F24"/>
    <w:rsid w:val="18220228"/>
    <w:rsid w:val="182249A5"/>
    <w:rsid w:val="182269B6"/>
    <w:rsid w:val="1822750B"/>
    <w:rsid w:val="18235CAA"/>
    <w:rsid w:val="18240ACE"/>
    <w:rsid w:val="18240C92"/>
    <w:rsid w:val="1825592A"/>
    <w:rsid w:val="182746B0"/>
    <w:rsid w:val="18282132"/>
    <w:rsid w:val="18285BB1"/>
    <w:rsid w:val="1828643D"/>
    <w:rsid w:val="182868AE"/>
    <w:rsid w:val="18294330"/>
    <w:rsid w:val="18295691"/>
    <w:rsid w:val="182A1DB2"/>
    <w:rsid w:val="182A4EC1"/>
    <w:rsid w:val="182B30B6"/>
    <w:rsid w:val="182B7833"/>
    <w:rsid w:val="182C0B38"/>
    <w:rsid w:val="182C52B5"/>
    <w:rsid w:val="182D2D36"/>
    <w:rsid w:val="182D65B9"/>
    <w:rsid w:val="182E07B8"/>
    <w:rsid w:val="182E403B"/>
    <w:rsid w:val="182E79B3"/>
    <w:rsid w:val="18316649"/>
    <w:rsid w:val="18322A41"/>
    <w:rsid w:val="183326C1"/>
    <w:rsid w:val="18333A1E"/>
    <w:rsid w:val="18340143"/>
    <w:rsid w:val="183539C6"/>
    <w:rsid w:val="18355929"/>
    <w:rsid w:val="18355BC4"/>
    <w:rsid w:val="18363646"/>
    <w:rsid w:val="183710C7"/>
    <w:rsid w:val="18386B49"/>
    <w:rsid w:val="183945CA"/>
    <w:rsid w:val="18396314"/>
    <w:rsid w:val="18397C4D"/>
    <w:rsid w:val="18397E4E"/>
    <w:rsid w:val="183A07EC"/>
    <w:rsid w:val="183A204C"/>
    <w:rsid w:val="183A58CF"/>
    <w:rsid w:val="183B3351"/>
    <w:rsid w:val="183C1D65"/>
    <w:rsid w:val="183C554F"/>
    <w:rsid w:val="183E0A52"/>
    <w:rsid w:val="183E4041"/>
    <w:rsid w:val="183E42D5"/>
    <w:rsid w:val="183F4A1B"/>
    <w:rsid w:val="183F64D4"/>
    <w:rsid w:val="18403C5D"/>
    <w:rsid w:val="18403F55"/>
    <w:rsid w:val="184077D8"/>
    <w:rsid w:val="18416158"/>
    <w:rsid w:val="18422CDC"/>
    <w:rsid w:val="18427458"/>
    <w:rsid w:val="18434EDA"/>
    <w:rsid w:val="184376D1"/>
    <w:rsid w:val="1844295B"/>
    <w:rsid w:val="184461DF"/>
    <w:rsid w:val="184503DD"/>
    <w:rsid w:val="18453C60"/>
    <w:rsid w:val="18461624"/>
    <w:rsid w:val="184617E8"/>
    <w:rsid w:val="18465E5E"/>
    <w:rsid w:val="184721C3"/>
    <w:rsid w:val="184738E0"/>
    <w:rsid w:val="18477163"/>
    <w:rsid w:val="18481362"/>
    <w:rsid w:val="18482B9D"/>
    <w:rsid w:val="18492666"/>
    <w:rsid w:val="18496DE3"/>
    <w:rsid w:val="184A4865"/>
    <w:rsid w:val="184B5B6A"/>
    <w:rsid w:val="184C35EB"/>
    <w:rsid w:val="184C57E9"/>
    <w:rsid w:val="184E7B2F"/>
    <w:rsid w:val="184F0345"/>
    <w:rsid w:val="184F4570"/>
    <w:rsid w:val="184F676E"/>
    <w:rsid w:val="185041F0"/>
    <w:rsid w:val="18517A73"/>
    <w:rsid w:val="185254F4"/>
    <w:rsid w:val="18527910"/>
    <w:rsid w:val="185309F7"/>
    <w:rsid w:val="185331C0"/>
    <w:rsid w:val="18535174"/>
    <w:rsid w:val="18545193"/>
    <w:rsid w:val="18550677"/>
    <w:rsid w:val="18553EFB"/>
    <w:rsid w:val="1855407B"/>
    <w:rsid w:val="18554738"/>
    <w:rsid w:val="1856197C"/>
    <w:rsid w:val="185660F9"/>
    <w:rsid w:val="18573B7A"/>
    <w:rsid w:val="185815FC"/>
    <w:rsid w:val="1858745B"/>
    <w:rsid w:val="18597DC9"/>
    <w:rsid w:val="185A0382"/>
    <w:rsid w:val="185B5E04"/>
    <w:rsid w:val="185C36C6"/>
    <w:rsid w:val="185D1307"/>
    <w:rsid w:val="185E5CB3"/>
    <w:rsid w:val="185F480A"/>
    <w:rsid w:val="1860228C"/>
    <w:rsid w:val="18617D0D"/>
    <w:rsid w:val="1862578F"/>
    <w:rsid w:val="186270E4"/>
    <w:rsid w:val="18636858"/>
    <w:rsid w:val="18640C92"/>
    <w:rsid w:val="18645C61"/>
    <w:rsid w:val="18656713"/>
    <w:rsid w:val="18664195"/>
    <w:rsid w:val="1867217A"/>
    <w:rsid w:val="1867233F"/>
    <w:rsid w:val="18681BBE"/>
    <w:rsid w:val="18687698"/>
    <w:rsid w:val="186936F3"/>
    <w:rsid w:val="1869511A"/>
    <w:rsid w:val="186A20C2"/>
    <w:rsid w:val="186D15A1"/>
    <w:rsid w:val="186E6D83"/>
    <w:rsid w:val="186E6F48"/>
    <w:rsid w:val="186E7023"/>
    <w:rsid w:val="18702526"/>
    <w:rsid w:val="18711035"/>
    <w:rsid w:val="187212AC"/>
    <w:rsid w:val="18721BFE"/>
    <w:rsid w:val="187325D8"/>
    <w:rsid w:val="18733177"/>
    <w:rsid w:val="18737F1D"/>
    <w:rsid w:val="18740F2C"/>
    <w:rsid w:val="187447AF"/>
    <w:rsid w:val="18752231"/>
    <w:rsid w:val="187569AE"/>
    <w:rsid w:val="1876442F"/>
    <w:rsid w:val="1876528F"/>
    <w:rsid w:val="18767CB3"/>
    <w:rsid w:val="18775734"/>
    <w:rsid w:val="187831B6"/>
    <w:rsid w:val="18786807"/>
    <w:rsid w:val="187A66B9"/>
    <w:rsid w:val="187B075B"/>
    <w:rsid w:val="187B08B7"/>
    <w:rsid w:val="187B413A"/>
    <w:rsid w:val="187C1BBC"/>
    <w:rsid w:val="187D763D"/>
    <w:rsid w:val="187E2A36"/>
    <w:rsid w:val="187E42AC"/>
    <w:rsid w:val="187E50BF"/>
    <w:rsid w:val="187F2B40"/>
    <w:rsid w:val="187F72BD"/>
    <w:rsid w:val="18803FAF"/>
    <w:rsid w:val="18804D3F"/>
    <w:rsid w:val="188127C0"/>
    <w:rsid w:val="188128B0"/>
    <w:rsid w:val="18820242"/>
    <w:rsid w:val="18831547"/>
    <w:rsid w:val="18836AA1"/>
    <w:rsid w:val="18836C66"/>
    <w:rsid w:val="188411C6"/>
    <w:rsid w:val="18846FC8"/>
    <w:rsid w:val="188501DE"/>
    <w:rsid w:val="18856C48"/>
    <w:rsid w:val="18860D7D"/>
    <w:rsid w:val="188624CB"/>
    <w:rsid w:val="188646CA"/>
    <w:rsid w:val="18871757"/>
    <w:rsid w:val="18876269"/>
    <w:rsid w:val="18877F4D"/>
    <w:rsid w:val="188859CE"/>
    <w:rsid w:val="18892CD0"/>
    <w:rsid w:val="18893450"/>
    <w:rsid w:val="1889564E"/>
    <w:rsid w:val="188D4054"/>
    <w:rsid w:val="188D57C2"/>
    <w:rsid w:val="188D6A31"/>
    <w:rsid w:val="188D78D8"/>
    <w:rsid w:val="188E5359"/>
    <w:rsid w:val="188E5ACF"/>
    <w:rsid w:val="188E6361"/>
    <w:rsid w:val="188F7558"/>
    <w:rsid w:val="1890085C"/>
    <w:rsid w:val="18903F75"/>
    <w:rsid w:val="18912A5B"/>
    <w:rsid w:val="189204DC"/>
    <w:rsid w:val="18923D5F"/>
    <w:rsid w:val="18947263"/>
    <w:rsid w:val="18951461"/>
    <w:rsid w:val="18966EE2"/>
    <w:rsid w:val="18974964"/>
    <w:rsid w:val="18985DE5"/>
    <w:rsid w:val="189936EA"/>
    <w:rsid w:val="18997E67"/>
    <w:rsid w:val="189A116C"/>
    <w:rsid w:val="189A58E9"/>
    <w:rsid w:val="189C686D"/>
    <w:rsid w:val="189D20F0"/>
    <w:rsid w:val="189D42EF"/>
    <w:rsid w:val="189E1D70"/>
    <w:rsid w:val="189E7B72"/>
    <w:rsid w:val="189F33C8"/>
    <w:rsid w:val="189F55F4"/>
    <w:rsid w:val="189F624C"/>
    <w:rsid w:val="18A03075"/>
    <w:rsid w:val="18A20777"/>
    <w:rsid w:val="18A254E0"/>
    <w:rsid w:val="18A31A7B"/>
    <w:rsid w:val="18A361F8"/>
    <w:rsid w:val="18A43C7A"/>
    <w:rsid w:val="18A46A59"/>
    <w:rsid w:val="18A474FD"/>
    <w:rsid w:val="18A516FB"/>
    <w:rsid w:val="18A62A00"/>
    <w:rsid w:val="18A6717D"/>
    <w:rsid w:val="18A70482"/>
    <w:rsid w:val="18A8170F"/>
    <w:rsid w:val="18A82680"/>
    <w:rsid w:val="18A85F03"/>
    <w:rsid w:val="18A90101"/>
    <w:rsid w:val="18AA1406"/>
    <w:rsid w:val="18AA2C88"/>
    <w:rsid w:val="18AB3604"/>
    <w:rsid w:val="18AC4201"/>
    <w:rsid w:val="18AC4909"/>
    <w:rsid w:val="18AD0671"/>
    <w:rsid w:val="18AD0D7A"/>
    <w:rsid w:val="18AD238B"/>
    <w:rsid w:val="18AE7E0C"/>
    <w:rsid w:val="18AF200B"/>
    <w:rsid w:val="18AF588E"/>
    <w:rsid w:val="18AF707B"/>
    <w:rsid w:val="18B0330F"/>
    <w:rsid w:val="18B10430"/>
    <w:rsid w:val="18B105F4"/>
    <w:rsid w:val="18B10D91"/>
    <w:rsid w:val="18B1550E"/>
    <w:rsid w:val="18B22F8F"/>
    <w:rsid w:val="18B26813"/>
    <w:rsid w:val="18B26F91"/>
    <w:rsid w:val="18B34294"/>
    <w:rsid w:val="18B36492"/>
    <w:rsid w:val="18B41D16"/>
    <w:rsid w:val="18B43F14"/>
    <w:rsid w:val="18B51996"/>
    <w:rsid w:val="18B57797"/>
    <w:rsid w:val="18B7465F"/>
    <w:rsid w:val="18B74E99"/>
    <w:rsid w:val="18B9619D"/>
    <w:rsid w:val="18BA49DA"/>
    <w:rsid w:val="18BA5E1D"/>
    <w:rsid w:val="18BB16A1"/>
    <w:rsid w:val="18BB389F"/>
    <w:rsid w:val="18BB3A78"/>
    <w:rsid w:val="18BB4304"/>
    <w:rsid w:val="18BB7EB4"/>
    <w:rsid w:val="18BD2625"/>
    <w:rsid w:val="18BD6DA2"/>
    <w:rsid w:val="18BE35FB"/>
    <w:rsid w:val="18BE4823"/>
    <w:rsid w:val="18BF29A5"/>
    <w:rsid w:val="18C035AA"/>
    <w:rsid w:val="18C1102B"/>
    <w:rsid w:val="18C3452E"/>
    <w:rsid w:val="18C57A32"/>
    <w:rsid w:val="18C654B3"/>
    <w:rsid w:val="18C809B6"/>
    <w:rsid w:val="18C96438"/>
    <w:rsid w:val="18C9692B"/>
    <w:rsid w:val="18CA3EB9"/>
    <w:rsid w:val="18CA5B7E"/>
    <w:rsid w:val="18CB193B"/>
    <w:rsid w:val="18CD4F1B"/>
    <w:rsid w:val="18CE5ABA"/>
    <w:rsid w:val="18CF6494"/>
    <w:rsid w:val="18D05DC3"/>
    <w:rsid w:val="18D06E6E"/>
    <w:rsid w:val="18D205AB"/>
    <w:rsid w:val="18D3114A"/>
    <w:rsid w:val="18D347C9"/>
    <w:rsid w:val="18D36D47"/>
    <w:rsid w:val="18D418FC"/>
    <w:rsid w:val="18D4224A"/>
    <w:rsid w:val="18D712BE"/>
    <w:rsid w:val="18D71629"/>
    <w:rsid w:val="18D747DB"/>
    <w:rsid w:val="18D80D9D"/>
    <w:rsid w:val="18D86A52"/>
    <w:rsid w:val="18D966D2"/>
    <w:rsid w:val="18DA17E7"/>
    <w:rsid w:val="18DA4154"/>
    <w:rsid w:val="18DA6632"/>
    <w:rsid w:val="18DB1BD5"/>
    <w:rsid w:val="18DB79D7"/>
    <w:rsid w:val="18DC2EDA"/>
    <w:rsid w:val="18DC7657"/>
    <w:rsid w:val="18DE2B5A"/>
    <w:rsid w:val="18DE36FC"/>
    <w:rsid w:val="18DE63DD"/>
    <w:rsid w:val="18E018E0"/>
    <w:rsid w:val="18E134FB"/>
    <w:rsid w:val="18E13ADF"/>
    <w:rsid w:val="18E17362"/>
    <w:rsid w:val="18E23ED6"/>
    <w:rsid w:val="18E24DE3"/>
    <w:rsid w:val="18E32865"/>
    <w:rsid w:val="18E35613"/>
    <w:rsid w:val="18E36FE2"/>
    <w:rsid w:val="18E44A63"/>
    <w:rsid w:val="18E461B2"/>
    <w:rsid w:val="18E6320F"/>
    <w:rsid w:val="18E7126B"/>
    <w:rsid w:val="18E759E8"/>
    <w:rsid w:val="18E86CED"/>
    <w:rsid w:val="18E90EEB"/>
    <w:rsid w:val="18EA1B85"/>
    <w:rsid w:val="18EB1E70"/>
    <w:rsid w:val="18EB2DBB"/>
    <w:rsid w:val="18EB43EE"/>
    <w:rsid w:val="18EC3795"/>
    <w:rsid w:val="18EC395A"/>
    <w:rsid w:val="18EC78F1"/>
    <w:rsid w:val="18ED5373"/>
    <w:rsid w:val="18EF0876"/>
    <w:rsid w:val="18EF6677"/>
    <w:rsid w:val="18F040F9"/>
    <w:rsid w:val="18F0644B"/>
    <w:rsid w:val="18F11B7B"/>
    <w:rsid w:val="18F13D79"/>
    <w:rsid w:val="18F16E26"/>
    <w:rsid w:val="18F3446D"/>
    <w:rsid w:val="18F3507E"/>
    <w:rsid w:val="18F44CFE"/>
    <w:rsid w:val="18F46278"/>
    <w:rsid w:val="18F5277F"/>
    <w:rsid w:val="18F56002"/>
    <w:rsid w:val="18F60201"/>
    <w:rsid w:val="18F71505"/>
    <w:rsid w:val="18F75C82"/>
    <w:rsid w:val="18F86F87"/>
    <w:rsid w:val="18F91185"/>
    <w:rsid w:val="18F93317"/>
    <w:rsid w:val="18F94A09"/>
    <w:rsid w:val="18FA248A"/>
    <w:rsid w:val="18FA6C07"/>
    <w:rsid w:val="18FB4688"/>
    <w:rsid w:val="18FB7F0C"/>
    <w:rsid w:val="18FC210A"/>
    <w:rsid w:val="18FC7448"/>
    <w:rsid w:val="18FD7B8B"/>
    <w:rsid w:val="18FE560D"/>
    <w:rsid w:val="18FF308F"/>
    <w:rsid w:val="18FF6912"/>
    <w:rsid w:val="19000B10"/>
    <w:rsid w:val="1901283B"/>
    <w:rsid w:val="190134B3"/>
    <w:rsid w:val="19016592"/>
    <w:rsid w:val="19020A55"/>
    <w:rsid w:val="1902112B"/>
    <w:rsid w:val="19024013"/>
    <w:rsid w:val="19037516"/>
    <w:rsid w:val="19037CA8"/>
    <w:rsid w:val="19037E5E"/>
    <w:rsid w:val="19042D9A"/>
    <w:rsid w:val="19047267"/>
    <w:rsid w:val="1904741C"/>
    <w:rsid w:val="19056169"/>
    <w:rsid w:val="1906629D"/>
    <w:rsid w:val="19073D1E"/>
    <w:rsid w:val="19075F1D"/>
    <w:rsid w:val="190817A0"/>
    <w:rsid w:val="19097221"/>
    <w:rsid w:val="190A033C"/>
    <w:rsid w:val="190A6EA1"/>
    <w:rsid w:val="190B2724"/>
    <w:rsid w:val="190B47F5"/>
    <w:rsid w:val="190B4923"/>
    <w:rsid w:val="190C23A4"/>
    <w:rsid w:val="190C374D"/>
    <w:rsid w:val="190C5C28"/>
    <w:rsid w:val="190E112B"/>
    <w:rsid w:val="190F3329"/>
    <w:rsid w:val="190F5864"/>
    <w:rsid w:val="190F6BAC"/>
    <w:rsid w:val="1910462E"/>
    <w:rsid w:val="1911081A"/>
    <w:rsid w:val="191120AF"/>
    <w:rsid w:val="191129A6"/>
    <w:rsid w:val="1912797C"/>
    <w:rsid w:val="19127B31"/>
    <w:rsid w:val="19131D2F"/>
    <w:rsid w:val="191355B2"/>
    <w:rsid w:val="19140EF5"/>
    <w:rsid w:val="191410B9"/>
    <w:rsid w:val="19143034"/>
    <w:rsid w:val="19150AB5"/>
    <w:rsid w:val="19151C58"/>
    <w:rsid w:val="19155232"/>
    <w:rsid w:val="19162CB4"/>
    <w:rsid w:val="19166537"/>
    <w:rsid w:val="19173FB9"/>
    <w:rsid w:val="19181A3A"/>
    <w:rsid w:val="19183BAB"/>
    <w:rsid w:val="191861B7"/>
    <w:rsid w:val="19194749"/>
    <w:rsid w:val="191A5E87"/>
    <w:rsid w:val="191B6861"/>
    <w:rsid w:val="191C723B"/>
    <w:rsid w:val="191F13C5"/>
    <w:rsid w:val="191F35C3"/>
    <w:rsid w:val="19201EF1"/>
    <w:rsid w:val="19204688"/>
    <w:rsid w:val="19204742"/>
    <w:rsid w:val="192048F7"/>
    <w:rsid w:val="19205339"/>
    <w:rsid w:val="19212A90"/>
    <w:rsid w:val="192143D6"/>
    <w:rsid w:val="192148C8"/>
    <w:rsid w:val="19216AC6"/>
    <w:rsid w:val="1922234A"/>
    <w:rsid w:val="19237DCB"/>
    <w:rsid w:val="192432CE"/>
    <w:rsid w:val="19250D50"/>
    <w:rsid w:val="19266120"/>
    <w:rsid w:val="192667D1"/>
    <w:rsid w:val="1927785E"/>
    <w:rsid w:val="19280074"/>
    <w:rsid w:val="19290C12"/>
    <w:rsid w:val="19297756"/>
    <w:rsid w:val="192B4E46"/>
    <w:rsid w:val="192C06DB"/>
    <w:rsid w:val="192C2D2A"/>
    <w:rsid w:val="192F165F"/>
    <w:rsid w:val="19314B62"/>
    <w:rsid w:val="19330066"/>
    <w:rsid w:val="19341070"/>
    <w:rsid w:val="193447A0"/>
    <w:rsid w:val="19345AE7"/>
    <w:rsid w:val="19353569"/>
    <w:rsid w:val="19360FEA"/>
    <w:rsid w:val="19373188"/>
    <w:rsid w:val="19375EE1"/>
    <w:rsid w:val="19394701"/>
    <w:rsid w:val="193A79F0"/>
    <w:rsid w:val="193B5472"/>
    <w:rsid w:val="193C2EF3"/>
    <w:rsid w:val="193D41F8"/>
    <w:rsid w:val="193D4430"/>
    <w:rsid w:val="193E0E70"/>
    <w:rsid w:val="193E3E78"/>
    <w:rsid w:val="193F1086"/>
    <w:rsid w:val="193F18FA"/>
    <w:rsid w:val="193F76FB"/>
    <w:rsid w:val="1940130A"/>
    <w:rsid w:val="194014CF"/>
    <w:rsid w:val="1940517D"/>
    <w:rsid w:val="1940737B"/>
    <w:rsid w:val="19414DFD"/>
    <w:rsid w:val="19420680"/>
    <w:rsid w:val="19436102"/>
    <w:rsid w:val="19441605"/>
    <w:rsid w:val="19443B83"/>
    <w:rsid w:val="19444B5F"/>
    <w:rsid w:val="19445D81"/>
    <w:rsid w:val="19455539"/>
    <w:rsid w:val="19461284"/>
    <w:rsid w:val="19472589"/>
    <w:rsid w:val="19476D06"/>
    <w:rsid w:val="1948000B"/>
    <w:rsid w:val="19495A8C"/>
    <w:rsid w:val="194A350E"/>
    <w:rsid w:val="194B0F90"/>
    <w:rsid w:val="194B3ED9"/>
    <w:rsid w:val="194C318E"/>
    <w:rsid w:val="194C6A11"/>
    <w:rsid w:val="194E6691"/>
    <w:rsid w:val="194F4112"/>
    <w:rsid w:val="19501B94"/>
    <w:rsid w:val="195051E7"/>
    <w:rsid w:val="19505417"/>
    <w:rsid w:val="19512E99"/>
    <w:rsid w:val="19516372"/>
    <w:rsid w:val="19517616"/>
    <w:rsid w:val="19532B19"/>
    <w:rsid w:val="1953639C"/>
    <w:rsid w:val="19537AAF"/>
    <w:rsid w:val="1954059A"/>
    <w:rsid w:val="19543E1D"/>
    <w:rsid w:val="1954601C"/>
    <w:rsid w:val="19551028"/>
    <w:rsid w:val="1955189F"/>
    <w:rsid w:val="19553A9D"/>
    <w:rsid w:val="1956151F"/>
    <w:rsid w:val="19561BC7"/>
    <w:rsid w:val="19567321"/>
    <w:rsid w:val="19574DA2"/>
    <w:rsid w:val="19576FA0"/>
    <w:rsid w:val="19582824"/>
    <w:rsid w:val="19584882"/>
    <w:rsid w:val="19584A22"/>
    <w:rsid w:val="195902A5"/>
    <w:rsid w:val="19596F42"/>
    <w:rsid w:val="195A5C74"/>
    <w:rsid w:val="195A5D27"/>
    <w:rsid w:val="195B37A8"/>
    <w:rsid w:val="195B59A7"/>
    <w:rsid w:val="195C122A"/>
    <w:rsid w:val="195C3428"/>
    <w:rsid w:val="195C4B5C"/>
    <w:rsid w:val="195C5C31"/>
    <w:rsid w:val="195C6CAB"/>
    <w:rsid w:val="195D472D"/>
    <w:rsid w:val="195E692B"/>
    <w:rsid w:val="195E736E"/>
    <w:rsid w:val="195E7D49"/>
    <w:rsid w:val="195F08E7"/>
    <w:rsid w:val="195F43AD"/>
    <w:rsid w:val="19613133"/>
    <w:rsid w:val="19625331"/>
    <w:rsid w:val="19632DB3"/>
    <w:rsid w:val="1963359E"/>
    <w:rsid w:val="19636636"/>
    <w:rsid w:val="196440B8"/>
    <w:rsid w:val="19651B39"/>
    <w:rsid w:val="196562B6"/>
    <w:rsid w:val="19663D38"/>
    <w:rsid w:val="196654F1"/>
    <w:rsid w:val="1967608F"/>
    <w:rsid w:val="196818D5"/>
    <w:rsid w:val="19686C2E"/>
    <w:rsid w:val="1968723B"/>
    <w:rsid w:val="19694CBC"/>
    <w:rsid w:val="19697608"/>
    <w:rsid w:val="196A5FC1"/>
    <w:rsid w:val="196B01BF"/>
    <w:rsid w:val="196C14C4"/>
    <w:rsid w:val="196C22BE"/>
    <w:rsid w:val="196C36C2"/>
    <w:rsid w:val="196C5C41"/>
    <w:rsid w:val="196D1144"/>
    <w:rsid w:val="196D2E5D"/>
    <w:rsid w:val="196D6F46"/>
    <w:rsid w:val="196E49C7"/>
    <w:rsid w:val="196E6BC6"/>
    <w:rsid w:val="19707ECA"/>
    <w:rsid w:val="1971007E"/>
    <w:rsid w:val="19720173"/>
    <w:rsid w:val="197233CD"/>
    <w:rsid w:val="197255CC"/>
    <w:rsid w:val="19730E4F"/>
    <w:rsid w:val="1973708C"/>
    <w:rsid w:val="19751DD4"/>
    <w:rsid w:val="19756550"/>
    <w:rsid w:val="19760FDF"/>
    <w:rsid w:val="19763FD2"/>
    <w:rsid w:val="19771A54"/>
    <w:rsid w:val="19771B7E"/>
    <w:rsid w:val="197752D7"/>
    <w:rsid w:val="19782037"/>
    <w:rsid w:val="1978271D"/>
    <w:rsid w:val="19782D58"/>
    <w:rsid w:val="19791440"/>
    <w:rsid w:val="197A29D8"/>
    <w:rsid w:val="197B045A"/>
    <w:rsid w:val="197B3CDD"/>
    <w:rsid w:val="197B53D3"/>
    <w:rsid w:val="197C175F"/>
    <w:rsid w:val="197C5EDB"/>
    <w:rsid w:val="197D3137"/>
    <w:rsid w:val="197D395D"/>
    <w:rsid w:val="197D71E0"/>
    <w:rsid w:val="197E13DE"/>
    <w:rsid w:val="197E4C62"/>
    <w:rsid w:val="197F26E3"/>
    <w:rsid w:val="197F7EC5"/>
    <w:rsid w:val="198048E1"/>
    <w:rsid w:val="1981143D"/>
    <w:rsid w:val="19812363"/>
    <w:rsid w:val="19815BE6"/>
    <w:rsid w:val="19823668"/>
    <w:rsid w:val="19827DE5"/>
    <w:rsid w:val="198310E9"/>
    <w:rsid w:val="198329B6"/>
    <w:rsid w:val="19846B6B"/>
    <w:rsid w:val="198540F4"/>
    <w:rsid w:val="198545EC"/>
    <w:rsid w:val="198567EB"/>
    <w:rsid w:val="1986206E"/>
    <w:rsid w:val="19864814"/>
    <w:rsid w:val="19871CEE"/>
    <w:rsid w:val="19877AF0"/>
    <w:rsid w:val="19885571"/>
    <w:rsid w:val="19886DAA"/>
    <w:rsid w:val="1988776F"/>
    <w:rsid w:val="19892FF3"/>
    <w:rsid w:val="19897784"/>
    <w:rsid w:val="198A0323"/>
    <w:rsid w:val="198B64F6"/>
    <w:rsid w:val="198C19F9"/>
    <w:rsid w:val="198C3F77"/>
    <w:rsid w:val="198D747A"/>
    <w:rsid w:val="198E2E15"/>
    <w:rsid w:val="198F297E"/>
    <w:rsid w:val="198F39B3"/>
    <w:rsid w:val="19914F2C"/>
    <w:rsid w:val="19915E81"/>
    <w:rsid w:val="19923902"/>
    <w:rsid w:val="19925906"/>
    <w:rsid w:val="19936669"/>
    <w:rsid w:val="199402BF"/>
    <w:rsid w:val="19954887"/>
    <w:rsid w:val="19962308"/>
    <w:rsid w:val="19963FC1"/>
    <w:rsid w:val="19965EDA"/>
    <w:rsid w:val="199663FA"/>
    <w:rsid w:val="19977D8A"/>
    <w:rsid w:val="1998580B"/>
    <w:rsid w:val="19993273"/>
    <w:rsid w:val="1999328D"/>
    <w:rsid w:val="199A0D0F"/>
    <w:rsid w:val="199A3E11"/>
    <w:rsid w:val="199B47EC"/>
    <w:rsid w:val="199B6790"/>
    <w:rsid w:val="199C4212"/>
    <w:rsid w:val="199D1C93"/>
    <w:rsid w:val="19A02C18"/>
    <w:rsid w:val="19A10699"/>
    <w:rsid w:val="19A213F5"/>
    <w:rsid w:val="19A22E07"/>
    <w:rsid w:val="19A2611B"/>
    <w:rsid w:val="19A3056F"/>
    <w:rsid w:val="19A317CF"/>
    <w:rsid w:val="19A37420"/>
    <w:rsid w:val="19A44EA1"/>
    <w:rsid w:val="19A54B21"/>
    <w:rsid w:val="19A603A4"/>
    <w:rsid w:val="19A625A3"/>
    <w:rsid w:val="19A64C4A"/>
    <w:rsid w:val="19A70024"/>
    <w:rsid w:val="19A838A8"/>
    <w:rsid w:val="19A861C3"/>
    <w:rsid w:val="19A93527"/>
    <w:rsid w:val="19AA6DAB"/>
    <w:rsid w:val="19AB482C"/>
    <w:rsid w:val="19AB6A2A"/>
    <w:rsid w:val="19AC7D2F"/>
    <w:rsid w:val="19AD1853"/>
    <w:rsid w:val="19AD1F2E"/>
    <w:rsid w:val="19AD57B1"/>
    <w:rsid w:val="19AE23F2"/>
    <w:rsid w:val="19AE79AF"/>
    <w:rsid w:val="19AF0CB4"/>
    <w:rsid w:val="19AF5431"/>
    <w:rsid w:val="19B06735"/>
    <w:rsid w:val="19B10934"/>
    <w:rsid w:val="19B150A8"/>
    <w:rsid w:val="19B21C39"/>
    <w:rsid w:val="19B238D5"/>
    <w:rsid w:val="19B36621"/>
    <w:rsid w:val="19B418B8"/>
    <w:rsid w:val="19B52BBD"/>
    <w:rsid w:val="19B5733A"/>
    <w:rsid w:val="19B579D5"/>
    <w:rsid w:val="19B57B9A"/>
    <w:rsid w:val="19B64DBC"/>
    <w:rsid w:val="19B760C0"/>
    <w:rsid w:val="19B802BF"/>
    <w:rsid w:val="19B915C3"/>
    <w:rsid w:val="19B9268B"/>
    <w:rsid w:val="19B95D40"/>
    <w:rsid w:val="19BB1243"/>
    <w:rsid w:val="19BB3DC9"/>
    <w:rsid w:val="19BB4AC7"/>
    <w:rsid w:val="19BC2548"/>
    <w:rsid w:val="19BC4967"/>
    <w:rsid w:val="19BC5265"/>
    <w:rsid w:val="19BC6CC5"/>
    <w:rsid w:val="19BD21C8"/>
    <w:rsid w:val="19BE5A4B"/>
    <w:rsid w:val="19BF34CD"/>
    <w:rsid w:val="19BF39A9"/>
    <w:rsid w:val="19BF76EB"/>
    <w:rsid w:val="19C00F4E"/>
    <w:rsid w:val="19C0314D"/>
    <w:rsid w:val="19C06268"/>
    <w:rsid w:val="19C07E33"/>
    <w:rsid w:val="19C109D2"/>
    <w:rsid w:val="19C122CF"/>
    <w:rsid w:val="19C169D0"/>
    <w:rsid w:val="19C21571"/>
    <w:rsid w:val="19C24451"/>
    <w:rsid w:val="19C26650"/>
    <w:rsid w:val="19C31ED3"/>
    <w:rsid w:val="19C42AEA"/>
    <w:rsid w:val="19C534C4"/>
    <w:rsid w:val="19C608D9"/>
    <w:rsid w:val="19C65056"/>
    <w:rsid w:val="19C72AD7"/>
    <w:rsid w:val="19C83DDC"/>
    <w:rsid w:val="19C857A0"/>
    <w:rsid w:val="19C9185E"/>
    <w:rsid w:val="19CA72DF"/>
    <w:rsid w:val="19CB14DE"/>
    <w:rsid w:val="19CB4D61"/>
    <w:rsid w:val="19CC6F5F"/>
    <w:rsid w:val="19CD0264"/>
    <w:rsid w:val="19CD180A"/>
    <w:rsid w:val="19CD1B5D"/>
    <w:rsid w:val="19CD49E1"/>
    <w:rsid w:val="19CE2462"/>
    <w:rsid w:val="19CE5CE6"/>
    <w:rsid w:val="19CF7EE4"/>
    <w:rsid w:val="19D011E9"/>
    <w:rsid w:val="19D142FC"/>
    <w:rsid w:val="19D144C1"/>
    <w:rsid w:val="19D16C6A"/>
    <w:rsid w:val="19D2505F"/>
    <w:rsid w:val="19D368EA"/>
    <w:rsid w:val="19D4436C"/>
    <w:rsid w:val="19D46414"/>
    <w:rsid w:val="19D47BEF"/>
    <w:rsid w:val="19D5786F"/>
    <w:rsid w:val="19D652F0"/>
    <w:rsid w:val="19D67B51"/>
    <w:rsid w:val="19D70B73"/>
    <w:rsid w:val="19D71D79"/>
    <w:rsid w:val="19D72D72"/>
    <w:rsid w:val="19D810CA"/>
    <w:rsid w:val="19D8128E"/>
    <w:rsid w:val="19D865F5"/>
    <w:rsid w:val="19D94077"/>
    <w:rsid w:val="19D96275"/>
    <w:rsid w:val="19DA3CF6"/>
    <w:rsid w:val="19DB1778"/>
    <w:rsid w:val="19DB3D80"/>
    <w:rsid w:val="19DC4FFB"/>
    <w:rsid w:val="19DD04FE"/>
    <w:rsid w:val="19DD2A7D"/>
    <w:rsid w:val="19DE26FD"/>
    <w:rsid w:val="19DE5E98"/>
    <w:rsid w:val="19DF017E"/>
    <w:rsid w:val="19DF3A01"/>
    <w:rsid w:val="19DF6872"/>
    <w:rsid w:val="19E01483"/>
    <w:rsid w:val="19E05C00"/>
    <w:rsid w:val="19E16F05"/>
    <w:rsid w:val="19E24986"/>
    <w:rsid w:val="19E32408"/>
    <w:rsid w:val="19E420C7"/>
    <w:rsid w:val="19E44606"/>
    <w:rsid w:val="19E47E89"/>
    <w:rsid w:val="19E52087"/>
    <w:rsid w:val="19E5590B"/>
    <w:rsid w:val="19E67B09"/>
    <w:rsid w:val="19E7558B"/>
    <w:rsid w:val="19E8300C"/>
    <w:rsid w:val="19E8688F"/>
    <w:rsid w:val="19E90A8E"/>
    <w:rsid w:val="19EB461F"/>
    <w:rsid w:val="19EB7245"/>
    <w:rsid w:val="19EB786F"/>
    <w:rsid w:val="19EC0249"/>
    <w:rsid w:val="19EC1A12"/>
    <w:rsid w:val="19EC48E7"/>
    <w:rsid w:val="19ED457C"/>
    <w:rsid w:val="19ED4F15"/>
    <w:rsid w:val="19EE0799"/>
    <w:rsid w:val="19EE2997"/>
    <w:rsid w:val="19EF0419"/>
    <w:rsid w:val="19F138D9"/>
    <w:rsid w:val="19F426A2"/>
    <w:rsid w:val="19F50124"/>
    <w:rsid w:val="19F55BA5"/>
    <w:rsid w:val="19F63627"/>
    <w:rsid w:val="19F67CCD"/>
    <w:rsid w:val="19F81081"/>
    <w:rsid w:val="19F81246"/>
    <w:rsid w:val="19FA75E5"/>
    <w:rsid w:val="19FC6318"/>
    <w:rsid w:val="19FF5E4F"/>
    <w:rsid w:val="1A0119B8"/>
    <w:rsid w:val="1A027439"/>
    <w:rsid w:val="1A027DA2"/>
    <w:rsid w:val="1A030941"/>
    <w:rsid w:val="1A034EBB"/>
    <w:rsid w:val="1A0503BE"/>
    <w:rsid w:val="1A0511B9"/>
    <w:rsid w:val="1A065E3F"/>
    <w:rsid w:val="1A0738C1"/>
    <w:rsid w:val="1A074196"/>
    <w:rsid w:val="1A084B70"/>
    <w:rsid w:val="1A091A57"/>
    <w:rsid w:val="1A091C0D"/>
    <w:rsid w:val="1A09212D"/>
    <w:rsid w:val="1A09570F"/>
    <w:rsid w:val="1A096DC4"/>
    <w:rsid w:val="1A0A0AF5"/>
    <w:rsid w:val="1A0A0E60"/>
    <w:rsid w:val="1A0A11CB"/>
    <w:rsid w:val="1A0A7697"/>
    <w:rsid w:val="1A0B22C7"/>
    <w:rsid w:val="1A0C7D49"/>
    <w:rsid w:val="1A0D03C5"/>
    <w:rsid w:val="1A0D104E"/>
    <w:rsid w:val="1A0E0CCD"/>
    <w:rsid w:val="1A0E0D9F"/>
    <w:rsid w:val="1A0E6ACF"/>
    <w:rsid w:val="1A0E72D4"/>
    <w:rsid w:val="1A101FD2"/>
    <w:rsid w:val="1A102EB7"/>
    <w:rsid w:val="1A1041D0"/>
    <w:rsid w:val="1A117A54"/>
    <w:rsid w:val="1A1254D5"/>
    <w:rsid w:val="1A1276D4"/>
    <w:rsid w:val="1A134FCE"/>
    <w:rsid w:val="1A135155"/>
    <w:rsid w:val="1A142BD7"/>
    <w:rsid w:val="1A150658"/>
    <w:rsid w:val="1A153EDB"/>
    <w:rsid w:val="1A15645A"/>
    <w:rsid w:val="1A165502"/>
    <w:rsid w:val="1A173B5B"/>
    <w:rsid w:val="1A1773DF"/>
    <w:rsid w:val="1A1815DD"/>
    <w:rsid w:val="1A1876EB"/>
    <w:rsid w:val="1A1928E2"/>
    <w:rsid w:val="1A1B5DE5"/>
    <w:rsid w:val="1A1C66C0"/>
    <w:rsid w:val="1A1E34E6"/>
    <w:rsid w:val="1A1E46C9"/>
    <w:rsid w:val="1A1E542C"/>
    <w:rsid w:val="1A1F47EB"/>
    <w:rsid w:val="1A2067E1"/>
    <w:rsid w:val="1A2069E9"/>
    <w:rsid w:val="1A217544"/>
    <w:rsid w:val="1A217CEE"/>
    <w:rsid w:val="1A2308F8"/>
    <w:rsid w:val="1A230ABD"/>
    <w:rsid w:val="1A2331F1"/>
    <w:rsid w:val="1A23796E"/>
    <w:rsid w:val="1A240C73"/>
    <w:rsid w:val="1A241497"/>
    <w:rsid w:val="1A2453EF"/>
    <w:rsid w:val="1A252036"/>
    <w:rsid w:val="1A252E71"/>
    <w:rsid w:val="1A2608F3"/>
    <w:rsid w:val="1A2753D8"/>
    <w:rsid w:val="1A27558E"/>
    <w:rsid w:val="1A275AAF"/>
    <w:rsid w:val="1A28414D"/>
    <w:rsid w:val="1A287679"/>
    <w:rsid w:val="1A294CEC"/>
    <w:rsid w:val="1A2972F9"/>
    <w:rsid w:val="1A2A2B7C"/>
    <w:rsid w:val="1A2A4D7A"/>
    <w:rsid w:val="1A2B05FE"/>
    <w:rsid w:val="1A2B27FC"/>
    <w:rsid w:val="1A2C027D"/>
    <w:rsid w:val="1A2D01B8"/>
    <w:rsid w:val="1A2D3B01"/>
    <w:rsid w:val="1A2D5CFF"/>
    <w:rsid w:val="1A2E0D57"/>
    <w:rsid w:val="1A2E3780"/>
    <w:rsid w:val="1A2E7004"/>
    <w:rsid w:val="1A2F1202"/>
    <w:rsid w:val="1A2F18F5"/>
    <w:rsid w:val="1A313033"/>
    <w:rsid w:val="1A317F88"/>
    <w:rsid w:val="1A322187"/>
    <w:rsid w:val="1A323A0D"/>
    <w:rsid w:val="1A325A0A"/>
    <w:rsid w:val="1A33348C"/>
    <w:rsid w:val="1A3345AB"/>
    <w:rsid w:val="1A337C08"/>
    <w:rsid w:val="1A344F86"/>
    <w:rsid w:val="1A34568A"/>
    <w:rsid w:val="1A3505F7"/>
    <w:rsid w:val="1A35310B"/>
    <w:rsid w:val="1A355960"/>
    <w:rsid w:val="1A35698F"/>
    <w:rsid w:val="1A364410"/>
    <w:rsid w:val="1A371E92"/>
    <w:rsid w:val="1A37660E"/>
    <w:rsid w:val="1A384090"/>
    <w:rsid w:val="1A387913"/>
    <w:rsid w:val="1A387A77"/>
    <w:rsid w:val="1A3911B5"/>
    <w:rsid w:val="1A3A1B8F"/>
    <w:rsid w:val="1A3A2E16"/>
    <w:rsid w:val="1A3C2A96"/>
    <w:rsid w:val="1A3C32CC"/>
    <w:rsid w:val="1A3C6319"/>
    <w:rsid w:val="1A3D3D9B"/>
    <w:rsid w:val="1A3E181D"/>
    <w:rsid w:val="1A3E4845"/>
    <w:rsid w:val="1A3E5F99"/>
    <w:rsid w:val="1A404D20"/>
    <w:rsid w:val="1A405DBE"/>
    <w:rsid w:val="1A406F1E"/>
    <w:rsid w:val="1A4127A1"/>
    <w:rsid w:val="1A41695D"/>
    <w:rsid w:val="1A420223"/>
    <w:rsid w:val="1A422421"/>
    <w:rsid w:val="1A42393B"/>
    <w:rsid w:val="1A427337"/>
    <w:rsid w:val="1A43009A"/>
    <w:rsid w:val="1A435CA4"/>
    <w:rsid w:val="1A440A74"/>
    <w:rsid w:val="1A4428B3"/>
    <w:rsid w:val="1A443726"/>
    <w:rsid w:val="1A445924"/>
    <w:rsid w:val="1A45144E"/>
    <w:rsid w:val="1A451613"/>
    <w:rsid w:val="1A4533A6"/>
    <w:rsid w:val="1A461FED"/>
    <w:rsid w:val="1A4646AB"/>
    <w:rsid w:val="1A4729C7"/>
    <w:rsid w:val="1A472B8C"/>
    <w:rsid w:val="1A483566"/>
    <w:rsid w:val="1A484105"/>
    <w:rsid w:val="1A491DAC"/>
    <w:rsid w:val="1A494CA3"/>
    <w:rsid w:val="1A4A782D"/>
    <w:rsid w:val="1A4B52AF"/>
    <w:rsid w:val="1A4C2D31"/>
    <w:rsid w:val="1A4C59BC"/>
    <w:rsid w:val="1A4D07B2"/>
    <w:rsid w:val="1A4D795A"/>
    <w:rsid w:val="1A4E1AB7"/>
    <w:rsid w:val="1A4E6234"/>
    <w:rsid w:val="1A4F0ED2"/>
    <w:rsid w:val="1A4F3CB5"/>
    <w:rsid w:val="1A4F7538"/>
    <w:rsid w:val="1A5018AD"/>
    <w:rsid w:val="1A504FBA"/>
    <w:rsid w:val="1A512287"/>
    <w:rsid w:val="1A512A3C"/>
    <w:rsid w:val="1A515AD2"/>
    <w:rsid w:val="1A515FF3"/>
    <w:rsid w:val="1A5204BD"/>
    <w:rsid w:val="1A524C3A"/>
    <w:rsid w:val="1A5326BB"/>
    <w:rsid w:val="1A535F3F"/>
    <w:rsid w:val="1A5439C0"/>
    <w:rsid w:val="1A555BBE"/>
    <w:rsid w:val="1A5664B6"/>
    <w:rsid w:val="1A56667A"/>
    <w:rsid w:val="1A566EC3"/>
    <w:rsid w:val="1A574945"/>
    <w:rsid w:val="1A5823C6"/>
    <w:rsid w:val="1A587BF3"/>
    <w:rsid w:val="1A5A58C9"/>
    <w:rsid w:val="1A5B1D0B"/>
    <w:rsid w:val="1A5C0DCD"/>
    <w:rsid w:val="1A5D684E"/>
    <w:rsid w:val="1A5E1D51"/>
    <w:rsid w:val="1A5E2A1F"/>
    <w:rsid w:val="1A5E42D0"/>
    <w:rsid w:val="1A612CD6"/>
    <w:rsid w:val="1A626914"/>
    <w:rsid w:val="1A630051"/>
    <w:rsid w:val="1A6374B3"/>
    <w:rsid w:val="1A661FA5"/>
    <w:rsid w:val="1A662169"/>
    <w:rsid w:val="1A682661"/>
    <w:rsid w:val="1A6836E2"/>
    <w:rsid w:val="1A6900E2"/>
    <w:rsid w:val="1A6B57F9"/>
    <w:rsid w:val="1A6C043C"/>
    <w:rsid w:val="1A6C1067"/>
    <w:rsid w:val="1A6D025B"/>
    <w:rsid w:val="1A6D6AE8"/>
    <w:rsid w:val="1A6D6D72"/>
    <w:rsid w:val="1A6F586F"/>
    <w:rsid w:val="1A700E8A"/>
    <w:rsid w:val="1A7032F0"/>
    <w:rsid w:val="1A710D72"/>
    <w:rsid w:val="1A7154EF"/>
    <w:rsid w:val="1A722DDD"/>
    <w:rsid w:val="1A733B40"/>
    <w:rsid w:val="1A734275"/>
    <w:rsid w:val="1A741CF7"/>
    <w:rsid w:val="1A7550B9"/>
    <w:rsid w:val="1A757778"/>
    <w:rsid w:val="1A761976"/>
    <w:rsid w:val="1A765C58"/>
    <w:rsid w:val="1A7673F8"/>
    <w:rsid w:val="1A772C7B"/>
    <w:rsid w:val="1A774E7A"/>
    <w:rsid w:val="1A7806FD"/>
    <w:rsid w:val="1A7828FB"/>
    <w:rsid w:val="1A7A0585"/>
    <w:rsid w:val="1A7A5DFE"/>
    <w:rsid w:val="1A7B12E8"/>
    <w:rsid w:val="1A7B3880"/>
    <w:rsid w:val="1A7C5940"/>
    <w:rsid w:val="1A7D269C"/>
    <w:rsid w:val="1A7D2861"/>
    <w:rsid w:val="1A7D4307"/>
    <w:rsid w:val="1A7D4B85"/>
    <w:rsid w:val="1A7D6D83"/>
    <w:rsid w:val="1A7E0088"/>
    <w:rsid w:val="1A7E2606"/>
    <w:rsid w:val="1A7E38C5"/>
    <w:rsid w:val="1A7E3C31"/>
    <w:rsid w:val="1A7F47B4"/>
    <w:rsid w:val="1A7F5B09"/>
    <w:rsid w:val="1A80358B"/>
    <w:rsid w:val="1A807D07"/>
    <w:rsid w:val="1A81100C"/>
    <w:rsid w:val="1A826A90"/>
    <w:rsid w:val="1A83450F"/>
    <w:rsid w:val="1A83746A"/>
    <w:rsid w:val="1A840009"/>
    <w:rsid w:val="1A84670E"/>
    <w:rsid w:val="1A847E44"/>
    <w:rsid w:val="1A8569E2"/>
    <w:rsid w:val="1A857A12"/>
    <w:rsid w:val="1A861C11"/>
    <w:rsid w:val="1A872F16"/>
    <w:rsid w:val="1A877692"/>
    <w:rsid w:val="1A882CBF"/>
    <w:rsid w:val="1A885114"/>
    <w:rsid w:val="1A892B95"/>
    <w:rsid w:val="1A8A3E9A"/>
    <w:rsid w:val="1A8B191C"/>
    <w:rsid w:val="1A8C6258"/>
    <w:rsid w:val="1A8C739D"/>
    <w:rsid w:val="1A8D159C"/>
    <w:rsid w:val="1A8D618B"/>
    <w:rsid w:val="1A8E28A0"/>
    <w:rsid w:val="1A8E701D"/>
    <w:rsid w:val="1A8F02A3"/>
    <w:rsid w:val="1A8F0467"/>
    <w:rsid w:val="1A9119E0"/>
    <w:rsid w:val="1A913825"/>
    <w:rsid w:val="1A915A23"/>
    <w:rsid w:val="1A9212A7"/>
    <w:rsid w:val="1A9223BA"/>
    <w:rsid w:val="1A9234A5"/>
    <w:rsid w:val="1A930F26"/>
    <w:rsid w:val="1A9447AA"/>
    <w:rsid w:val="1A95222B"/>
    <w:rsid w:val="1A964EAC"/>
    <w:rsid w:val="1A96572E"/>
    <w:rsid w:val="1A967CAD"/>
    <w:rsid w:val="1A975A4B"/>
    <w:rsid w:val="1A97792D"/>
    <w:rsid w:val="1A980C31"/>
    <w:rsid w:val="1A9966B3"/>
    <w:rsid w:val="1A997D27"/>
    <w:rsid w:val="1A9A08B1"/>
    <w:rsid w:val="1A9A1998"/>
    <w:rsid w:val="1A9A7B62"/>
    <w:rsid w:val="1A9B0514"/>
    <w:rsid w:val="1A9B0880"/>
    <w:rsid w:val="1A9B1BB6"/>
    <w:rsid w:val="1A9C0B0E"/>
    <w:rsid w:val="1A9C1E3E"/>
    <w:rsid w:val="1A9C3DB4"/>
    <w:rsid w:val="1A9C7638"/>
    <w:rsid w:val="1A9D1836"/>
    <w:rsid w:val="1A9D50B9"/>
    <w:rsid w:val="1A9E33B7"/>
    <w:rsid w:val="1A9E72B8"/>
    <w:rsid w:val="1A9F4D39"/>
    <w:rsid w:val="1AA027BB"/>
    <w:rsid w:val="1AA0603E"/>
    <w:rsid w:val="1AA13ABF"/>
    <w:rsid w:val="1AA154CF"/>
    <w:rsid w:val="1AA3373F"/>
    <w:rsid w:val="1AA36883"/>
    <w:rsid w:val="1AA36FC3"/>
    <w:rsid w:val="1AA411C1"/>
    <w:rsid w:val="1AA475E6"/>
    <w:rsid w:val="1AA56C42"/>
    <w:rsid w:val="1AA72145"/>
    <w:rsid w:val="1AA759C9"/>
    <w:rsid w:val="1AA768ED"/>
    <w:rsid w:val="1AA81F13"/>
    <w:rsid w:val="1AA8344A"/>
    <w:rsid w:val="1AA8432A"/>
    <w:rsid w:val="1AA85649"/>
    <w:rsid w:val="1AA93733"/>
    <w:rsid w:val="1AAA0B4C"/>
    <w:rsid w:val="1AAA694D"/>
    <w:rsid w:val="1AAB43CF"/>
    <w:rsid w:val="1AAB65CD"/>
    <w:rsid w:val="1AAC1E50"/>
    <w:rsid w:val="1AAC404F"/>
    <w:rsid w:val="1AAD1AD0"/>
    <w:rsid w:val="1AAD45DE"/>
    <w:rsid w:val="1AAD6307"/>
    <w:rsid w:val="1AAD78D2"/>
    <w:rsid w:val="1AAF4FD3"/>
    <w:rsid w:val="1AB062D8"/>
    <w:rsid w:val="1AB10FBD"/>
    <w:rsid w:val="1AB217DB"/>
    <w:rsid w:val="1AB25F58"/>
    <w:rsid w:val="1AB339DA"/>
    <w:rsid w:val="1AB3725D"/>
    <w:rsid w:val="1AB52760"/>
    <w:rsid w:val="1AB56EDD"/>
    <w:rsid w:val="1AB6495E"/>
    <w:rsid w:val="1AB65730"/>
    <w:rsid w:val="1AB723E0"/>
    <w:rsid w:val="1AB75BC6"/>
    <w:rsid w:val="1AB75C63"/>
    <w:rsid w:val="1AB765E6"/>
    <w:rsid w:val="1AB86765"/>
    <w:rsid w:val="1AB87E61"/>
    <w:rsid w:val="1AB958E3"/>
    <w:rsid w:val="1ABA3364"/>
    <w:rsid w:val="1ABA6BE8"/>
    <w:rsid w:val="1ABA7CDE"/>
    <w:rsid w:val="1ABB0DE6"/>
    <w:rsid w:val="1ABC1257"/>
    <w:rsid w:val="1ABC20EB"/>
    <w:rsid w:val="1ABC6868"/>
    <w:rsid w:val="1ABD7B6C"/>
    <w:rsid w:val="1ABE21AD"/>
    <w:rsid w:val="1ABE55EE"/>
    <w:rsid w:val="1ABF306F"/>
    <w:rsid w:val="1AC03F0D"/>
    <w:rsid w:val="1AC148E7"/>
    <w:rsid w:val="1AC16573"/>
    <w:rsid w:val="1AC25486"/>
    <w:rsid w:val="1AC31A76"/>
    <w:rsid w:val="1AC60952"/>
    <w:rsid w:val="1AC7047C"/>
    <w:rsid w:val="1AC716B5"/>
    <w:rsid w:val="1AC8208F"/>
    <w:rsid w:val="1AC8397F"/>
    <w:rsid w:val="1AC92C2E"/>
    <w:rsid w:val="1ACA37CD"/>
    <w:rsid w:val="1ACB4904"/>
    <w:rsid w:val="1ACC2385"/>
    <w:rsid w:val="1ACD7E07"/>
    <w:rsid w:val="1ACE5888"/>
    <w:rsid w:val="1ACF330A"/>
    <w:rsid w:val="1ACF6E5D"/>
    <w:rsid w:val="1AD003D6"/>
    <w:rsid w:val="1AD00D8B"/>
    <w:rsid w:val="1AD05845"/>
    <w:rsid w:val="1AD1680D"/>
    <w:rsid w:val="1AD2428E"/>
    <w:rsid w:val="1AD31D10"/>
    <w:rsid w:val="1AD33756"/>
    <w:rsid w:val="1AD47792"/>
    <w:rsid w:val="1AD55213"/>
    <w:rsid w:val="1AD62C95"/>
    <w:rsid w:val="1AD66518"/>
    <w:rsid w:val="1AD70716"/>
    <w:rsid w:val="1AD81A1B"/>
    <w:rsid w:val="1AD85B7E"/>
    <w:rsid w:val="1AD86198"/>
    <w:rsid w:val="1AD93C19"/>
    <w:rsid w:val="1AD9749D"/>
    <w:rsid w:val="1ADB29A0"/>
    <w:rsid w:val="1ADB7C95"/>
    <w:rsid w:val="1ADC4B9E"/>
    <w:rsid w:val="1ADC5523"/>
    <w:rsid w:val="1ADD2620"/>
    <w:rsid w:val="1ADD5EA3"/>
    <w:rsid w:val="1ADE1BE9"/>
    <w:rsid w:val="1ADE1DAD"/>
    <w:rsid w:val="1ADE3924"/>
    <w:rsid w:val="1ADF13A6"/>
    <w:rsid w:val="1ADF35A4"/>
    <w:rsid w:val="1AE148A9"/>
    <w:rsid w:val="1AE2232B"/>
    <w:rsid w:val="1AE25F33"/>
    <w:rsid w:val="1AE31FAA"/>
    <w:rsid w:val="1AE37DAC"/>
    <w:rsid w:val="1AE43998"/>
    <w:rsid w:val="1AE4582E"/>
    <w:rsid w:val="1AE47A2C"/>
    <w:rsid w:val="1AE554AD"/>
    <w:rsid w:val="1AE57390"/>
    <w:rsid w:val="1AE60D31"/>
    <w:rsid w:val="1AE62F2F"/>
    <w:rsid w:val="1AE709B1"/>
    <w:rsid w:val="1AE767B2"/>
    <w:rsid w:val="1AE81CB5"/>
    <w:rsid w:val="1AE93EB4"/>
    <w:rsid w:val="1AE9461B"/>
    <w:rsid w:val="1AE97737"/>
    <w:rsid w:val="1AEA1935"/>
    <w:rsid w:val="1AEA51B8"/>
    <w:rsid w:val="1AEB35C0"/>
    <w:rsid w:val="1AEB3784"/>
    <w:rsid w:val="1AEC415E"/>
    <w:rsid w:val="1AEC4E38"/>
    <w:rsid w:val="1AED3A41"/>
    <w:rsid w:val="1AEE033B"/>
    <w:rsid w:val="1AEE6276"/>
    <w:rsid w:val="1AEF1640"/>
    <w:rsid w:val="1AEF5DBD"/>
    <w:rsid w:val="1AEF6E14"/>
    <w:rsid w:val="1AF0383F"/>
    <w:rsid w:val="1AF070C2"/>
    <w:rsid w:val="1AF077EF"/>
    <w:rsid w:val="1AF112C0"/>
    <w:rsid w:val="1AF14B43"/>
    <w:rsid w:val="1AF170D8"/>
    <w:rsid w:val="1AF20F2C"/>
    <w:rsid w:val="1AF21D62"/>
    <w:rsid w:val="1AF31ACB"/>
    <w:rsid w:val="1AF42245"/>
    <w:rsid w:val="1AF424A5"/>
    <w:rsid w:val="1AF45AC8"/>
    <w:rsid w:val="1AF5354A"/>
    <w:rsid w:val="1AF65748"/>
    <w:rsid w:val="1AF844CE"/>
    <w:rsid w:val="1AF9414E"/>
    <w:rsid w:val="1AFA79D1"/>
    <w:rsid w:val="1AFB5453"/>
    <w:rsid w:val="1AFC07EC"/>
    <w:rsid w:val="1AFC2ED4"/>
    <w:rsid w:val="1AFC50D3"/>
    <w:rsid w:val="1AFE05D6"/>
    <w:rsid w:val="1AFE63D7"/>
    <w:rsid w:val="1AFF3984"/>
    <w:rsid w:val="1AFF3E59"/>
    <w:rsid w:val="1AFF6057"/>
    <w:rsid w:val="1B003AD9"/>
    <w:rsid w:val="1B01155A"/>
    <w:rsid w:val="1B013E7C"/>
    <w:rsid w:val="1B014DDE"/>
    <w:rsid w:val="1B015315"/>
    <w:rsid w:val="1B0302E1"/>
    <w:rsid w:val="1B034A5E"/>
    <w:rsid w:val="1B046F80"/>
    <w:rsid w:val="1B073464"/>
    <w:rsid w:val="1B076CE7"/>
    <w:rsid w:val="1B080A85"/>
    <w:rsid w:val="1B084769"/>
    <w:rsid w:val="1B096967"/>
    <w:rsid w:val="1B0A2B9D"/>
    <w:rsid w:val="1B0A7C6C"/>
    <w:rsid w:val="1B0C78EB"/>
    <w:rsid w:val="1B0D0BF0"/>
    <w:rsid w:val="1B0D4E3F"/>
    <w:rsid w:val="1B0E3EDC"/>
    <w:rsid w:val="1B0E4768"/>
    <w:rsid w:val="1B0E491E"/>
    <w:rsid w:val="1B0E568F"/>
    <w:rsid w:val="1B0E5853"/>
    <w:rsid w:val="1B0F40F3"/>
    <w:rsid w:val="1B0F622D"/>
    <w:rsid w:val="1B101B75"/>
    <w:rsid w:val="1B1062F2"/>
    <w:rsid w:val="1B1177A6"/>
    <w:rsid w:val="1B125078"/>
    <w:rsid w:val="1B127276"/>
    <w:rsid w:val="1B130EE3"/>
    <w:rsid w:val="1B132AFA"/>
    <w:rsid w:val="1B14057B"/>
    <w:rsid w:val="1B142779"/>
    <w:rsid w:val="1B152FFB"/>
    <w:rsid w:val="1B1639D5"/>
    <w:rsid w:val="1B163A7E"/>
    <w:rsid w:val="1B165C7C"/>
    <w:rsid w:val="1B171500"/>
    <w:rsid w:val="1B1736FE"/>
    <w:rsid w:val="1B181180"/>
    <w:rsid w:val="1B184A03"/>
    <w:rsid w:val="1B1A7F06"/>
    <w:rsid w:val="1B1B2104"/>
    <w:rsid w:val="1B1B5988"/>
    <w:rsid w:val="1B1C3409"/>
    <w:rsid w:val="1B1C7B86"/>
    <w:rsid w:val="1B1C7C04"/>
    <w:rsid w:val="1B1C7DC9"/>
    <w:rsid w:val="1B1D07A3"/>
    <w:rsid w:val="1B1D0E8B"/>
    <w:rsid w:val="1B1D5607"/>
    <w:rsid w:val="1B1E590D"/>
    <w:rsid w:val="1B1F1D1C"/>
    <w:rsid w:val="1B1F438E"/>
    <w:rsid w:val="1B2028BA"/>
    <w:rsid w:val="1B20658C"/>
    <w:rsid w:val="1B21400E"/>
    <w:rsid w:val="1B240815"/>
    <w:rsid w:val="1B263D19"/>
    <w:rsid w:val="1B28721C"/>
    <w:rsid w:val="1B294C9D"/>
    <w:rsid w:val="1B2D40CD"/>
    <w:rsid w:val="1B2E03D5"/>
    <w:rsid w:val="1B2F0AC6"/>
    <w:rsid w:val="1B2F6BA7"/>
    <w:rsid w:val="1B306F48"/>
    <w:rsid w:val="1B317B2B"/>
    <w:rsid w:val="1B3255AD"/>
    <w:rsid w:val="1B3267B5"/>
    <w:rsid w:val="1B32775E"/>
    <w:rsid w:val="1B341875"/>
    <w:rsid w:val="1B356531"/>
    <w:rsid w:val="1B362FB2"/>
    <w:rsid w:val="1B3874B6"/>
    <w:rsid w:val="1B394F38"/>
    <w:rsid w:val="1B3A2F9D"/>
    <w:rsid w:val="1B3B043B"/>
    <w:rsid w:val="1B3B1B1A"/>
    <w:rsid w:val="1B3C173F"/>
    <w:rsid w:val="1B3D393E"/>
    <w:rsid w:val="1B3E075A"/>
    <w:rsid w:val="1B3E13BF"/>
    <w:rsid w:val="1B3E4C43"/>
    <w:rsid w:val="1B3F1CD3"/>
    <w:rsid w:val="1B3F6E41"/>
    <w:rsid w:val="1B400146"/>
    <w:rsid w:val="1B40161D"/>
    <w:rsid w:val="1B412344"/>
    <w:rsid w:val="1B41324C"/>
    <w:rsid w:val="1B423649"/>
    <w:rsid w:val="1B423DEB"/>
    <w:rsid w:val="1B427DC5"/>
    <w:rsid w:val="1B435847"/>
    <w:rsid w:val="1B441859"/>
    <w:rsid w:val="1B445B44"/>
    <w:rsid w:val="1B446B4C"/>
    <w:rsid w:val="1B450D4A"/>
    <w:rsid w:val="1B4545CD"/>
    <w:rsid w:val="1B4560C7"/>
    <w:rsid w:val="1B46204F"/>
    <w:rsid w:val="1B4641B9"/>
    <w:rsid w:val="1B466AA1"/>
    <w:rsid w:val="1B47366A"/>
    <w:rsid w:val="1B47424D"/>
    <w:rsid w:val="1B476371"/>
    <w:rsid w:val="1B481CCF"/>
    <w:rsid w:val="1B485552"/>
    <w:rsid w:val="1B487750"/>
    <w:rsid w:val="1B4951D2"/>
    <w:rsid w:val="1B4A29CD"/>
    <w:rsid w:val="1B4A2C53"/>
    <w:rsid w:val="1B4B06D5"/>
    <w:rsid w:val="1B4B2131"/>
    <w:rsid w:val="1B4B27EC"/>
    <w:rsid w:val="1B4B64D7"/>
    <w:rsid w:val="1B4C3F58"/>
    <w:rsid w:val="1B4D19DA"/>
    <w:rsid w:val="1B4D3BD8"/>
    <w:rsid w:val="1B4E165A"/>
    <w:rsid w:val="1B4F57C2"/>
    <w:rsid w:val="1B4F5986"/>
    <w:rsid w:val="1B504B5D"/>
    <w:rsid w:val="1B50619C"/>
    <w:rsid w:val="1B51084C"/>
    <w:rsid w:val="1B515E62"/>
    <w:rsid w:val="1B5238E3"/>
    <w:rsid w:val="1B526C47"/>
    <w:rsid w:val="1B5302B4"/>
    <w:rsid w:val="1B531365"/>
    <w:rsid w:val="1B543563"/>
    <w:rsid w:val="1B546DE6"/>
    <w:rsid w:val="1B550FE4"/>
    <w:rsid w:val="1B554868"/>
    <w:rsid w:val="1B566A66"/>
    <w:rsid w:val="1B5673CA"/>
    <w:rsid w:val="1B57312E"/>
    <w:rsid w:val="1B577D6B"/>
    <w:rsid w:val="1B581F69"/>
    <w:rsid w:val="1B5857EC"/>
    <w:rsid w:val="1B59326E"/>
    <w:rsid w:val="1B5979EB"/>
    <w:rsid w:val="1B5A546C"/>
    <w:rsid w:val="1B5B65FA"/>
    <w:rsid w:val="1B5B6771"/>
    <w:rsid w:val="1B5C096F"/>
    <w:rsid w:val="1B5C41F3"/>
    <w:rsid w:val="1B5D1C74"/>
    <w:rsid w:val="1B5D63F1"/>
    <w:rsid w:val="1B5E08D6"/>
    <w:rsid w:val="1B5E3E72"/>
    <w:rsid w:val="1B5E76F6"/>
    <w:rsid w:val="1B5F12B0"/>
    <w:rsid w:val="1B5F18F4"/>
    <w:rsid w:val="1B601E4F"/>
    <w:rsid w:val="1B604DF7"/>
    <w:rsid w:val="1B6129EE"/>
    <w:rsid w:val="1B6233C8"/>
    <w:rsid w:val="1B633B7D"/>
    <w:rsid w:val="1B633DA2"/>
    <w:rsid w:val="1B6415FF"/>
    <w:rsid w:val="1B644941"/>
    <w:rsid w:val="1B65127F"/>
    <w:rsid w:val="1B65531B"/>
    <w:rsid w:val="1B6606B1"/>
    <w:rsid w:val="1B66161C"/>
    <w:rsid w:val="1B664B02"/>
    <w:rsid w:val="1B697C85"/>
    <w:rsid w:val="1B6B22AD"/>
    <w:rsid w:val="1B6B274B"/>
    <w:rsid w:val="1B6B3188"/>
    <w:rsid w:val="1B6B6A0B"/>
    <w:rsid w:val="1B6C448D"/>
    <w:rsid w:val="1B6C4B7E"/>
    <w:rsid w:val="1B6D3826"/>
    <w:rsid w:val="1B6E7990"/>
    <w:rsid w:val="1B702E93"/>
    <w:rsid w:val="1B70593E"/>
    <w:rsid w:val="1B710915"/>
    <w:rsid w:val="1B726396"/>
    <w:rsid w:val="1B733E18"/>
    <w:rsid w:val="1B741899"/>
    <w:rsid w:val="1B744685"/>
    <w:rsid w:val="1B750E0A"/>
    <w:rsid w:val="1B7533B8"/>
    <w:rsid w:val="1B753A98"/>
    <w:rsid w:val="1B75731B"/>
    <w:rsid w:val="1B761519"/>
    <w:rsid w:val="1B772383"/>
    <w:rsid w:val="1B77281E"/>
    <w:rsid w:val="1B776F9B"/>
    <w:rsid w:val="1B7802A0"/>
    <w:rsid w:val="1B78249E"/>
    <w:rsid w:val="1B783AC0"/>
    <w:rsid w:val="1B79449A"/>
    <w:rsid w:val="1B79465F"/>
    <w:rsid w:val="1B795D21"/>
    <w:rsid w:val="1B797F1F"/>
    <w:rsid w:val="1B7A37A3"/>
    <w:rsid w:val="1B7A59A1"/>
    <w:rsid w:val="1B7B3422"/>
    <w:rsid w:val="1B7C6776"/>
    <w:rsid w:val="1B7C6CA6"/>
    <w:rsid w:val="1B7D7150"/>
    <w:rsid w:val="1B7F1E29"/>
    <w:rsid w:val="1B7F7C2A"/>
    <w:rsid w:val="1B80142C"/>
    <w:rsid w:val="1B80312D"/>
    <w:rsid w:val="1B8056AC"/>
    <w:rsid w:val="1B810BAF"/>
    <w:rsid w:val="1B811C42"/>
    <w:rsid w:val="1B811E07"/>
    <w:rsid w:val="1B81532C"/>
    <w:rsid w:val="1B8229A5"/>
    <w:rsid w:val="1B826631"/>
    <w:rsid w:val="1B83082F"/>
    <w:rsid w:val="1B8340B2"/>
    <w:rsid w:val="1B841B34"/>
    <w:rsid w:val="1B844ABD"/>
    <w:rsid w:val="1B844DE8"/>
    <w:rsid w:val="1B853D32"/>
    <w:rsid w:val="1B8575B5"/>
    <w:rsid w:val="1B865037"/>
    <w:rsid w:val="1B866036"/>
    <w:rsid w:val="1B872AB8"/>
    <w:rsid w:val="1B877235"/>
    <w:rsid w:val="1B88053A"/>
    <w:rsid w:val="1B884CB7"/>
    <w:rsid w:val="1B8A0B27"/>
    <w:rsid w:val="1B8A3A3D"/>
    <w:rsid w:val="1B8B14BF"/>
    <w:rsid w:val="1B8C20A0"/>
    <w:rsid w:val="1B8C6F40"/>
    <w:rsid w:val="1B8D49C2"/>
    <w:rsid w:val="1B8E2443"/>
    <w:rsid w:val="1B8E37DE"/>
    <w:rsid w:val="1B8F437C"/>
    <w:rsid w:val="1B8F7EC5"/>
    <w:rsid w:val="1B90386C"/>
    <w:rsid w:val="1B905946"/>
    <w:rsid w:val="1B9133C8"/>
    <w:rsid w:val="1B9201BC"/>
    <w:rsid w:val="1B920E49"/>
    <w:rsid w:val="1B94434C"/>
    <w:rsid w:val="1B961960"/>
    <w:rsid w:val="1B967850"/>
    <w:rsid w:val="1B9752D1"/>
    <w:rsid w:val="1B98309D"/>
    <w:rsid w:val="1B9907D4"/>
    <w:rsid w:val="1B996256"/>
    <w:rsid w:val="1B9A7611"/>
    <w:rsid w:val="1B9B1759"/>
    <w:rsid w:val="1B9C5B8F"/>
    <w:rsid w:val="1B9C71DA"/>
    <w:rsid w:val="1B9D4C5C"/>
    <w:rsid w:val="1BA013E4"/>
    <w:rsid w:val="1BA05BE1"/>
    <w:rsid w:val="1BA210E4"/>
    <w:rsid w:val="1BA323E9"/>
    <w:rsid w:val="1BA334FB"/>
    <w:rsid w:val="1BA43ED6"/>
    <w:rsid w:val="1BA445E7"/>
    <w:rsid w:val="1BA52068"/>
    <w:rsid w:val="1BA6336D"/>
    <w:rsid w:val="1BA65613"/>
    <w:rsid w:val="1BA7556B"/>
    <w:rsid w:val="1BA82FED"/>
    <w:rsid w:val="1BA86870"/>
    <w:rsid w:val="1BA90A6F"/>
    <w:rsid w:val="1BA942F2"/>
    <w:rsid w:val="1BAA0105"/>
    <w:rsid w:val="1BAA1D73"/>
    <w:rsid w:val="1BAA64F0"/>
    <w:rsid w:val="1BAC5276"/>
    <w:rsid w:val="1BAD2058"/>
    <w:rsid w:val="1BAD2BF6"/>
    <w:rsid w:val="1BAD2CF8"/>
    <w:rsid w:val="1BAD2DBB"/>
    <w:rsid w:val="1BAE3795"/>
    <w:rsid w:val="1BAE60D9"/>
    <w:rsid w:val="1BAF416F"/>
    <w:rsid w:val="1BAF48EB"/>
    <w:rsid w:val="1BAF61FB"/>
    <w:rsid w:val="1BB003F9"/>
    <w:rsid w:val="1BB116FE"/>
    <w:rsid w:val="1BB15E7B"/>
    <w:rsid w:val="1BB2137E"/>
    <w:rsid w:val="1BB26287"/>
    <w:rsid w:val="1BB34C01"/>
    <w:rsid w:val="1BB42683"/>
    <w:rsid w:val="1BB44881"/>
    <w:rsid w:val="1BB50104"/>
    <w:rsid w:val="1BB75806"/>
    <w:rsid w:val="1BB81089"/>
    <w:rsid w:val="1BB90D09"/>
    <w:rsid w:val="1BB9458C"/>
    <w:rsid w:val="1BB96B0B"/>
    <w:rsid w:val="1BBA200E"/>
    <w:rsid w:val="1BBC0C21"/>
    <w:rsid w:val="1BBC5511"/>
    <w:rsid w:val="1BBD75E9"/>
    <w:rsid w:val="1BBE683C"/>
    <w:rsid w:val="1BBE70BF"/>
    <w:rsid w:val="1BBF6495"/>
    <w:rsid w:val="1BC00694"/>
    <w:rsid w:val="1BC03F17"/>
    <w:rsid w:val="1BC1139B"/>
    <w:rsid w:val="1BC11999"/>
    <w:rsid w:val="1BC21F3A"/>
    <w:rsid w:val="1BC54B1C"/>
    <w:rsid w:val="1BC6259D"/>
    <w:rsid w:val="1BC7001F"/>
    <w:rsid w:val="1BC738A2"/>
    <w:rsid w:val="1BC90FA3"/>
    <w:rsid w:val="1BC96DA5"/>
    <w:rsid w:val="1BC976E2"/>
    <w:rsid w:val="1BCA00BC"/>
    <w:rsid w:val="1BCA4827"/>
    <w:rsid w:val="1BCA6A25"/>
    <w:rsid w:val="1BCB0C5B"/>
    <w:rsid w:val="1BCB22A8"/>
    <w:rsid w:val="1BCC11CE"/>
    <w:rsid w:val="1BCC7D2A"/>
    <w:rsid w:val="1BCD57AB"/>
    <w:rsid w:val="1BCE322D"/>
    <w:rsid w:val="1BCE542B"/>
    <w:rsid w:val="1BCF0CAE"/>
    <w:rsid w:val="1BCF3911"/>
    <w:rsid w:val="1BD0092E"/>
    <w:rsid w:val="1BD06730"/>
    <w:rsid w:val="1BD141B1"/>
    <w:rsid w:val="1BD143DB"/>
    <w:rsid w:val="1BD163B0"/>
    <w:rsid w:val="1BD276B4"/>
    <w:rsid w:val="1BD318B3"/>
    <w:rsid w:val="1BD35136"/>
    <w:rsid w:val="1BD36403"/>
    <w:rsid w:val="1BD47334"/>
    <w:rsid w:val="1BD50639"/>
    <w:rsid w:val="1BD62837"/>
    <w:rsid w:val="1BD660BB"/>
    <w:rsid w:val="1BD702B9"/>
    <w:rsid w:val="1BD71A93"/>
    <w:rsid w:val="1BD815BE"/>
    <w:rsid w:val="1BD9300C"/>
    <w:rsid w:val="1BD937BC"/>
    <w:rsid w:val="1BD956BB"/>
    <w:rsid w:val="1BD9703F"/>
    <w:rsid w:val="1BDA123E"/>
    <w:rsid w:val="1BDA39E6"/>
    <w:rsid w:val="1BDA4C79"/>
    <w:rsid w:val="1BDB2F6A"/>
    <w:rsid w:val="1BDB32D5"/>
    <w:rsid w:val="1BDB348B"/>
    <w:rsid w:val="1BDC4741"/>
    <w:rsid w:val="1BDD5A46"/>
    <w:rsid w:val="1BDE34C7"/>
    <w:rsid w:val="1BDE7C44"/>
    <w:rsid w:val="1BE107B4"/>
    <w:rsid w:val="1BE1444C"/>
    <w:rsid w:val="1BE1664A"/>
    <w:rsid w:val="1BE21353"/>
    <w:rsid w:val="1BE21ECD"/>
    <w:rsid w:val="1BE240CC"/>
    <w:rsid w:val="1BE31B4D"/>
    <w:rsid w:val="1BE4346A"/>
    <w:rsid w:val="1BE453D0"/>
    <w:rsid w:val="1BE475CF"/>
    <w:rsid w:val="1BE52E52"/>
    <w:rsid w:val="1BE55050"/>
    <w:rsid w:val="1BE608D3"/>
    <w:rsid w:val="1BE649E3"/>
    <w:rsid w:val="1BE70553"/>
    <w:rsid w:val="1BE76355"/>
    <w:rsid w:val="1BE77CE2"/>
    <w:rsid w:val="1BE83DD7"/>
    <w:rsid w:val="1BE85F5C"/>
    <w:rsid w:val="1BE91858"/>
    <w:rsid w:val="1BE93A56"/>
    <w:rsid w:val="1BE95E1D"/>
    <w:rsid w:val="1BE96AFB"/>
    <w:rsid w:val="1BEA14D8"/>
    <w:rsid w:val="1BEA4D5B"/>
    <w:rsid w:val="1BEA5C68"/>
    <w:rsid w:val="1BEB0238"/>
    <w:rsid w:val="1BEB27DD"/>
    <w:rsid w:val="1BEB6F5A"/>
    <w:rsid w:val="1BED15EC"/>
    <w:rsid w:val="1BED17B1"/>
    <w:rsid w:val="1BED245D"/>
    <w:rsid w:val="1BEF2B65"/>
    <w:rsid w:val="1BF03704"/>
    <w:rsid w:val="1BF06C65"/>
    <w:rsid w:val="1BF142A3"/>
    <w:rsid w:val="1BF14E41"/>
    <w:rsid w:val="1BF37BE9"/>
    <w:rsid w:val="1BF530EC"/>
    <w:rsid w:val="1BF57933"/>
    <w:rsid w:val="1BF60B6E"/>
    <w:rsid w:val="1BF713A7"/>
    <w:rsid w:val="1BF765EF"/>
    <w:rsid w:val="1BF91AF2"/>
    <w:rsid w:val="1BF92425"/>
    <w:rsid w:val="1BFA2FC3"/>
    <w:rsid w:val="1BFA7574"/>
    <w:rsid w:val="1BFB4FF6"/>
    <w:rsid w:val="1BFC2A77"/>
    <w:rsid w:val="1BFD01D5"/>
    <w:rsid w:val="1BFE5C7A"/>
    <w:rsid w:val="1BFF5420"/>
    <w:rsid w:val="1BFF6654"/>
    <w:rsid w:val="1C00147D"/>
    <w:rsid w:val="1C016EFF"/>
    <w:rsid w:val="1C031EA9"/>
    <w:rsid w:val="1C037E84"/>
    <w:rsid w:val="1C053B84"/>
    <w:rsid w:val="1C07688A"/>
    <w:rsid w:val="1C08430B"/>
    <w:rsid w:val="1C091D8D"/>
    <w:rsid w:val="1C095610"/>
    <w:rsid w:val="1C097B8F"/>
    <w:rsid w:val="1C0A46F8"/>
    <w:rsid w:val="1C0B0B13"/>
    <w:rsid w:val="1C0C2D11"/>
    <w:rsid w:val="1C0C6595"/>
    <w:rsid w:val="1C0D0793"/>
    <w:rsid w:val="1C0D4016"/>
    <w:rsid w:val="1C0F2CE1"/>
    <w:rsid w:val="1C112A1C"/>
    <w:rsid w:val="1C11425A"/>
    <w:rsid w:val="1C12049E"/>
    <w:rsid w:val="1C124DF9"/>
    <w:rsid w:val="1C135F20"/>
    <w:rsid w:val="1C151423"/>
    <w:rsid w:val="1C155B9F"/>
    <w:rsid w:val="1C156F10"/>
    <w:rsid w:val="1C167AAF"/>
    <w:rsid w:val="1C170489"/>
    <w:rsid w:val="1C1823A7"/>
    <w:rsid w:val="1C186B24"/>
    <w:rsid w:val="1C191BC6"/>
    <w:rsid w:val="1C1945A6"/>
    <w:rsid w:val="1C19732E"/>
    <w:rsid w:val="1C197E29"/>
    <w:rsid w:val="1C1A2027"/>
    <w:rsid w:val="1C1A25A1"/>
    <w:rsid w:val="1C1A313F"/>
    <w:rsid w:val="1C1A58AA"/>
    <w:rsid w:val="1C1A7AA9"/>
    <w:rsid w:val="1C1B332C"/>
    <w:rsid w:val="1C1B456E"/>
    <w:rsid w:val="1C1C2FAC"/>
    <w:rsid w:val="1C1D0A2D"/>
    <w:rsid w:val="1C1D6943"/>
    <w:rsid w:val="1C1F1D32"/>
    <w:rsid w:val="1C1F67D0"/>
    <w:rsid w:val="1C1F7979"/>
    <w:rsid w:val="1C2019B2"/>
    <w:rsid w:val="1C215235"/>
    <w:rsid w:val="1C220738"/>
    <w:rsid w:val="1C224EB5"/>
    <w:rsid w:val="1C231486"/>
    <w:rsid w:val="1C232937"/>
    <w:rsid w:val="1C2361BA"/>
    <w:rsid w:val="1C237506"/>
    <w:rsid w:val="1C243C3B"/>
    <w:rsid w:val="1C246FE5"/>
    <w:rsid w:val="1C2516BD"/>
    <w:rsid w:val="1C25283A"/>
    <w:rsid w:val="1C2529FF"/>
    <w:rsid w:val="1C2638BB"/>
    <w:rsid w:val="1C26713F"/>
    <w:rsid w:val="1C274BC0"/>
    <w:rsid w:val="1C286DBE"/>
    <w:rsid w:val="1C294840"/>
    <w:rsid w:val="1C2A6C2E"/>
    <w:rsid w:val="1C2B7608"/>
    <w:rsid w:val="1C2B7D43"/>
    <w:rsid w:val="1C2D3246"/>
    <w:rsid w:val="1C2E454B"/>
    <w:rsid w:val="1C2F1FCD"/>
    <w:rsid w:val="1C307A4E"/>
    <w:rsid w:val="1C322F51"/>
    <w:rsid w:val="1C3243D6"/>
    <w:rsid w:val="1C32514F"/>
    <w:rsid w:val="1C3309D3"/>
    <w:rsid w:val="1C332BD1"/>
    <w:rsid w:val="1C353ED6"/>
    <w:rsid w:val="1C3560D4"/>
    <w:rsid w:val="1C363B56"/>
    <w:rsid w:val="1C3715D7"/>
    <w:rsid w:val="1C380FDF"/>
    <w:rsid w:val="1C384E5A"/>
    <w:rsid w:val="1C387059"/>
    <w:rsid w:val="1C3919B9"/>
    <w:rsid w:val="1C391B7E"/>
    <w:rsid w:val="1C3928DC"/>
    <w:rsid w:val="1C3A035E"/>
    <w:rsid w:val="1C3A2558"/>
    <w:rsid w:val="1C3A255C"/>
    <w:rsid w:val="1C3B3861"/>
    <w:rsid w:val="1C3E0F62"/>
    <w:rsid w:val="1C3E47E5"/>
    <w:rsid w:val="1C3F5422"/>
    <w:rsid w:val="1C3F5DAD"/>
    <w:rsid w:val="1C40430A"/>
    <w:rsid w:val="1C413DEA"/>
    <w:rsid w:val="1C414647"/>
    <w:rsid w:val="1C417161"/>
    <w:rsid w:val="1C427968"/>
    <w:rsid w:val="1C43143D"/>
    <w:rsid w:val="1C4353EA"/>
    <w:rsid w:val="1C441279"/>
    <w:rsid w:val="1C444B9D"/>
    <w:rsid w:val="1C4466EF"/>
    <w:rsid w:val="1C4508ED"/>
    <w:rsid w:val="1C461BF2"/>
    <w:rsid w:val="1C46636E"/>
    <w:rsid w:val="1C4714D0"/>
    <w:rsid w:val="1C473DF0"/>
    <w:rsid w:val="1C484ACE"/>
    <w:rsid w:val="1C4850F5"/>
    <w:rsid w:val="1C492B76"/>
    <w:rsid w:val="1C4A05F8"/>
    <w:rsid w:val="1C4A4D75"/>
    <w:rsid w:val="1C4A6047"/>
    <w:rsid w:val="1C4B2607"/>
    <w:rsid w:val="1C4B6079"/>
    <w:rsid w:val="1C4C3AFB"/>
    <w:rsid w:val="1C4C5CF9"/>
    <w:rsid w:val="1C4C75BF"/>
    <w:rsid w:val="1C4E11FC"/>
    <w:rsid w:val="1C4E6FFE"/>
    <w:rsid w:val="1C4E7894"/>
    <w:rsid w:val="1C4F6C7E"/>
    <w:rsid w:val="1C5020B1"/>
    <w:rsid w:val="1C505D3B"/>
    <w:rsid w:val="1C517F83"/>
    <w:rsid w:val="1C523486"/>
    <w:rsid w:val="1C527C03"/>
    <w:rsid w:val="1C543106"/>
    <w:rsid w:val="1C546989"/>
    <w:rsid w:val="1C566E7F"/>
    <w:rsid w:val="1C567043"/>
    <w:rsid w:val="1C577A1E"/>
    <w:rsid w:val="1C5B6314"/>
    <w:rsid w:val="1C5C2FA3"/>
    <w:rsid w:val="1C5C3CFC"/>
    <w:rsid w:val="1C5D1817"/>
    <w:rsid w:val="1C5E0518"/>
    <w:rsid w:val="1C5E4627"/>
    <w:rsid w:val="1C5E7298"/>
    <w:rsid w:val="1C5E7925"/>
    <w:rsid w:val="1C60279C"/>
    <w:rsid w:val="1C61021D"/>
    <w:rsid w:val="1C625C9F"/>
    <w:rsid w:val="1C630856"/>
    <w:rsid w:val="1C641230"/>
    <w:rsid w:val="1C6413F5"/>
    <w:rsid w:val="1C651DCF"/>
    <w:rsid w:val="1C66296E"/>
    <w:rsid w:val="1C6646A5"/>
    <w:rsid w:val="1C672126"/>
    <w:rsid w:val="1C673348"/>
    <w:rsid w:val="1C6840AB"/>
    <w:rsid w:val="1C687BA8"/>
    <w:rsid w:val="1C6948B7"/>
    <w:rsid w:val="1C695629"/>
    <w:rsid w:val="1C6A0B2D"/>
    <w:rsid w:val="1C6A4A04"/>
    <w:rsid w:val="1C6A6B78"/>
    <w:rsid w:val="1C6B5FFE"/>
    <w:rsid w:val="1C6B65AE"/>
    <w:rsid w:val="1C6C3216"/>
    <w:rsid w:val="1C6C4030"/>
    <w:rsid w:val="1C6D20FE"/>
    <w:rsid w:val="1C6D7577"/>
    <w:rsid w:val="1C6E0CB4"/>
    <w:rsid w:val="1C6E7533"/>
    <w:rsid w:val="1C6F1853"/>
    <w:rsid w:val="1C6F4FB4"/>
    <w:rsid w:val="1C700838"/>
    <w:rsid w:val="1C702A36"/>
    <w:rsid w:val="1C7217BC"/>
    <w:rsid w:val="1C723D3B"/>
    <w:rsid w:val="1C725F39"/>
    <w:rsid w:val="1C73723E"/>
    <w:rsid w:val="1C744D1F"/>
    <w:rsid w:val="1C752741"/>
    <w:rsid w:val="1C756EBE"/>
    <w:rsid w:val="1C7723C1"/>
    <w:rsid w:val="1C775C44"/>
    <w:rsid w:val="1C776FFB"/>
    <w:rsid w:val="1C787B9A"/>
    <w:rsid w:val="1C787E42"/>
    <w:rsid w:val="1C7958C4"/>
    <w:rsid w:val="1C7A1112"/>
    <w:rsid w:val="1C7A3345"/>
    <w:rsid w:val="1C7B0DC7"/>
    <w:rsid w:val="1C7B48DB"/>
    <w:rsid w:val="1C7B4FB1"/>
    <w:rsid w:val="1C7C322A"/>
    <w:rsid w:val="1C7D42CA"/>
    <w:rsid w:val="1C7D7B4D"/>
    <w:rsid w:val="1C7E5108"/>
    <w:rsid w:val="1C7F3050"/>
    <w:rsid w:val="1C7F5BD5"/>
    <w:rsid w:val="1C800AD2"/>
    <w:rsid w:val="1C80524F"/>
    <w:rsid w:val="1C812CD0"/>
    <w:rsid w:val="1C816553"/>
    <w:rsid w:val="1C8168BA"/>
    <w:rsid w:val="1C833C55"/>
    <w:rsid w:val="1C8416D6"/>
    <w:rsid w:val="1C854F5A"/>
    <w:rsid w:val="1C857158"/>
    <w:rsid w:val="1C8629DB"/>
    <w:rsid w:val="1C884062"/>
    <w:rsid w:val="1C893960"/>
    <w:rsid w:val="1C894C01"/>
    <w:rsid w:val="1C897944"/>
    <w:rsid w:val="1C897CAF"/>
    <w:rsid w:val="1C8A13E1"/>
    <w:rsid w:val="1C8A35E0"/>
    <w:rsid w:val="1C8C2366"/>
    <w:rsid w:val="1C8C6B54"/>
    <w:rsid w:val="1C8D7DE8"/>
    <w:rsid w:val="1C8E00CD"/>
    <w:rsid w:val="1C8E1FE6"/>
    <w:rsid w:val="1C900D6C"/>
    <w:rsid w:val="1C9033DD"/>
    <w:rsid w:val="1C9121E5"/>
    <w:rsid w:val="1C9167EE"/>
    <w:rsid w:val="1C92426F"/>
    <w:rsid w:val="1C943EEF"/>
    <w:rsid w:val="1C947772"/>
    <w:rsid w:val="1C951971"/>
    <w:rsid w:val="1C962C76"/>
    <w:rsid w:val="1C9673F2"/>
    <w:rsid w:val="1C974E74"/>
    <w:rsid w:val="1C98152A"/>
    <w:rsid w:val="1C9828F5"/>
    <w:rsid w:val="1C986179"/>
    <w:rsid w:val="1C98798D"/>
    <w:rsid w:val="1C99742C"/>
    <w:rsid w:val="1C9A0F05"/>
    <w:rsid w:val="1C9B08CD"/>
    <w:rsid w:val="1C9B12FC"/>
    <w:rsid w:val="1C9B1AA4"/>
    <w:rsid w:val="1C9C4B7F"/>
    <w:rsid w:val="1C9C6D7D"/>
    <w:rsid w:val="1C9D2600"/>
    <w:rsid w:val="1C9D47FF"/>
    <w:rsid w:val="1C9E0082"/>
    <w:rsid w:val="1C9F475A"/>
    <w:rsid w:val="1C9F5B04"/>
    <w:rsid w:val="1C9F7D02"/>
    <w:rsid w:val="1CA03585"/>
    <w:rsid w:val="1CA05134"/>
    <w:rsid w:val="1CA11007"/>
    <w:rsid w:val="1CA13205"/>
    <w:rsid w:val="1CA20C86"/>
    <w:rsid w:val="1CA31F8B"/>
    <w:rsid w:val="1CA3450A"/>
    <w:rsid w:val="1CA3724C"/>
    <w:rsid w:val="1CA47DEB"/>
    <w:rsid w:val="1CA51C0B"/>
    <w:rsid w:val="1CA5548E"/>
    <w:rsid w:val="1CA61F02"/>
    <w:rsid w:val="1CA62F10"/>
    <w:rsid w:val="1CA6768D"/>
    <w:rsid w:val="1CA70991"/>
    <w:rsid w:val="1CA73D07"/>
    <w:rsid w:val="1CA7510E"/>
    <w:rsid w:val="1CA8347B"/>
    <w:rsid w:val="1CA86413"/>
    <w:rsid w:val="1CA93E95"/>
    <w:rsid w:val="1CA94C67"/>
    <w:rsid w:val="1CAA1916"/>
    <w:rsid w:val="1CAB3B14"/>
    <w:rsid w:val="1CAC1596"/>
    <w:rsid w:val="1CAC48A5"/>
    <w:rsid w:val="1CAD289B"/>
    <w:rsid w:val="1CAD7018"/>
    <w:rsid w:val="1CAE76AA"/>
    <w:rsid w:val="1CAF251B"/>
    <w:rsid w:val="1CAF5D9E"/>
    <w:rsid w:val="1CB07F9C"/>
    <w:rsid w:val="1CB15A1E"/>
    <w:rsid w:val="1CB2349F"/>
    <w:rsid w:val="1CB26D23"/>
    <w:rsid w:val="1CB30F21"/>
    <w:rsid w:val="1CB369A2"/>
    <w:rsid w:val="1CB42226"/>
    <w:rsid w:val="1CB44424"/>
    <w:rsid w:val="1CB47291"/>
    <w:rsid w:val="1CB51EA5"/>
    <w:rsid w:val="1CB63AD4"/>
    <w:rsid w:val="1CB65729"/>
    <w:rsid w:val="1CB659F1"/>
    <w:rsid w:val="1CB67927"/>
    <w:rsid w:val="1CB731AA"/>
    <w:rsid w:val="1CB80C2C"/>
    <w:rsid w:val="1CB86F6A"/>
    <w:rsid w:val="1CB908AC"/>
    <w:rsid w:val="1CBA04E3"/>
    <w:rsid w:val="1CBA412F"/>
    <w:rsid w:val="1CBA632D"/>
    <w:rsid w:val="1CBB7632"/>
    <w:rsid w:val="1CBC1A5B"/>
    <w:rsid w:val="1CBC50B4"/>
    <w:rsid w:val="1CBD2B35"/>
    <w:rsid w:val="1CBF6038"/>
    <w:rsid w:val="1CC03ABA"/>
    <w:rsid w:val="1CC04712"/>
    <w:rsid w:val="1CC1153B"/>
    <w:rsid w:val="1CC26829"/>
    <w:rsid w:val="1CC26FBD"/>
    <w:rsid w:val="1CC34A3E"/>
    <w:rsid w:val="1CC57F42"/>
    <w:rsid w:val="1CC659C3"/>
    <w:rsid w:val="1CC82894"/>
    <w:rsid w:val="1CCA43C9"/>
    <w:rsid w:val="1CCD534E"/>
    <w:rsid w:val="1CCE2DCF"/>
    <w:rsid w:val="1CCE7662"/>
    <w:rsid w:val="1CCE7826"/>
    <w:rsid w:val="1CD00BDB"/>
    <w:rsid w:val="1CD4055C"/>
    <w:rsid w:val="1CD4275A"/>
    <w:rsid w:val="1CD43891"/>
    <w:rsid w:val="1CD501DC"/>
    <w:rsid w:val="1CD5442F"/>
    <w:rsid w:val="1CD55FDE"/>
    <w:rsid w:val="1CD62D09"/>
    <w:rsid w:val="1CD65C5D"/>
    <w:rsid w:val="1CD81161"/>
    <w:rsid w:val="1CD949E4"/>
    <w:rsid w:val="1CD96F21"/>
    <w:rsid w:val="1CD970E6"/>
    <w:rsid w:val="1CDA2465"/>
    <w:rsid w:val="1CDA4664"/>
    <w:rsid w:val="1CDB20E5"/>
    <w:rsid w:val="1CDD0E6C"/>
    <w:rsid w:val="1CDD2776"/>
    <w:rsid w:val="1CDD55E8"/>
    <w:rsid w:val="1CDE306A"/>
    <w:rsid w:val="1CDE3150"/>
    <w:rsid w:val="1CDF436F"/>
    <w:rsid w:val="1CE01DF0"/>
    <w:rsid w:val="1CE13FEE"/>
    <w:rsid w:val="1CE1575A"/>
    <w:rsid w:val="1CE32D75"/>
    <w:rsid w:val="1CE374F2"/>
    <w:rsid w:val="1CE407F6"/>
    <w:rsid w:val="1CE529F5"/>
    <w:rsid w:val="1CE57D5A"/>
    <w:rsid w:val="1CE63CF9"/>
    <w:rsid w:val="1CE7177B"/>
    <w:rsid w:val="1CE871FD"/>
    <w:rsid w:val="1CE94C7E"/>
    <w:rsid w:val="1CEA2700"/>
    <w:rsid w:val="1CEA33EA"/>
    <w:rsid w:val="1CEA6E7C"/>
    <w:rsid w:val="1CEB48FE"/>
    <w:rsid w:val="1CEC5502"/>
    <w:rsid w:val="1CED3684"/>
    <w:rsid w:val="1CED5883"/>
    <w:rsid w:val="1CEE3304"/>
    <w:rsid w:val="1CEF0D86"/>
    <w:rsid w:val="1CEF6B87"/>
    <w:rsid w:val="1CEF7A17"/>
    <w:rsid w:val="1CF001B8"/>
    <w:rsid w:val="1CF04609"/>
    <w:rsid w:val="1CF06807"/>
    <w:rsid w:val="1CF10D56"/>
    <w:rsid w:val="1CF218F5"/>
    <w:rsid w:val="1CF21D0A"/>
    <w:rsid w:val="1CF27B0C"/>
    <w:rsid w:val="1CF3558E"/>
    <w:rsid w:val="1CF3778C"/>
    <w:rsid w:val="1CF42CA9"/>
    <w:rsid w:val="1CF52C8F"/>
    <w:rsid w:val="1CF60711"/>
    <w:rsid w:val="1CF71A15"/>
    <w:rsid w:val="1CF76192"/>
    <w:rsid w:val="1CF83C14"/>
    <w:rsid w:val="1CFA299A"/>
    <w:rsid w:val="1CFA7117"/>
    <w:rsid w:val="1CFB4B98"/>
    <w:rsid w:val="1CFC261A"/>
    <w:rsid w:val="1CFC5E9D"/>
    <w:rsid w:val="1CFD070F"/>
    <w:rsid w:val="1CFD391F"/>
    <w:rsid w:val="1CFE13A0"/>
    <w:rsid w:val="1CFE1B1D"/>
    <w:rsid w:val="1CFF32CC"/>
    <w:rsid w:val="1CFF6E22"/>
    <w:rsid w:val="1D001020"/>
    <w:rsid w:val="1D012325"/>
    <w:rsid w:val="1D024523"/>
    <w:rsid w:val="1D02521F"/>
    <w:rsid w:val="1D027DA6"/>
    <w:rsid w:val="1D031FA5"/>
    <w:rsid w:val="1D0454A8"/>
    <w:rsid w:val="1D046798"/>
    <w:rsid w:val="1D047A26"/>
    <w:rsid w:val="1D07422E"/>
    <w:rsid w:val="1D07642C"/>
    <w:rsid w:val="1D081E29"/>
    <w:rsid w:val="1D081FED"/>
    <w:rsid w:val="1D0A51B3"/>
    <w:rsid w:val="1D0B4E33"/>
    <w:rsid w:val="1D0B577E"/>
    <w:rsid w:val="1D0C28B4"/>
    <w:rsid w:val="1D0C4666"/>
    <w:rsid w:val="1D0C6137"/>
    <w:rsid w:val="1D0D0336"/>
    <w:rsid w:val="1D0D3BB9"/>
    <w:rsid w:val="1D0D54B9"/>
    <w:rsid w:val="1D0E163B"/>
    <w:rsid w:val="1D0E5DB7"/>
    <w:rsid w:val="1D0F3839"/>
    <w:rsid w:val="1D104B3E"/>
    <w:rsid w:val="1D1125BF"/>
    <w:rsid w:val="1D120041"/>
    <w:rsid w:val="1D1316E8"/>
    <w:rsid w:val="1D13244B"/>
    <w:rsid w:val="1D135AC2"/>
    <w:rsid w:val="1D147CC1"/>
    <w:rsid w:val="1D150FC5"/>
    <w:rsid w:val="1D1631C4"/>
    <w:rsid w:val="1D170C45"/>
    <w:rsid w:val="1D1744C9"/>
    <w:rsid w:val="1D185ADC"/>
    <w:rsid w:val="1D19047B"/>
    <w:rsid w:val="1D190856"/>
    <w:rsid w:val="1D1979CC"/>
    <w:rsid w:val="1D1A1BCA"/>
    <w:rsid w:val="1D1C05CD"/>
    <w:rsid w:val="1D1C0950"/>
    <w:rsid w:val="1D1C5EE0"/>
    <w:rsid w:val="1D1D63D2"/>
    <w:rsid w:val="1D1E3E53"/>
    <w:rsid w:val="1D1E6052"/>
    <w:rsid w:val="1D1F18D5"/>
    <w:rsid w:val="1D1F3284"/>
    <w:rsid w:val="1D201555"/>
    <w:rsid w:val="1D207356"/>
    <w:rsid w:val="1D2147FC"/>
    <w:rsid w:val="1D214DD8"/>
    <w:rsid w:val="1D22285A"/>
    <w:rsid w:val="1D22539B"/>
    <w:rsid w:val="1D2302DB"/>
    <w:rsid w:val="1D2437DE"/>
    <w:rsid w:val="1D245D5D"/>
    <w:rsid w:val="1D246914"/>
    <w:rsid w:val="1D251260"/>
    <w:rsid w:val="1D270867"/>
    <w:rsid w:val="1D274763"/>
    <w:rsid w:val="1D2823CD"/>
    <w:rsid w:val="1D291FA4"/>
    <w:rsid w:val="1D297C66"/>
    <w:rsid w:val="1D2A0873"/>
    <w:rsid w:val="1D2B3169"/>
    <w:rsid w:val="1D2C0BEB"/>
    <w:rsid w:val="1D2D4C5B"/>
    <w:rsid w:val="1D2D666C"/>
    <w:rsid w:val="1D2E61D3"/>
    <w:rsid w:val="1D2F6D72"/>
    <w:rsid w:val="1D3075F1"/>
    <w:rsid w:val="1D345FF7"/>
    <w:rsid w:val="1D353A79"/>
    <w:rsid w:val="1D3614FA"/>
    <w:rsid w:val="1D374356"/>
    <w:rsid w:val="1D376F7C"/>
    <w:rsid w:val="1D383726"/>
    <w:rsid w:val="1D39247F"/>
    <w:rsid w:val="1D39424F"/>
    <w:rsid w:val="1D3A19B0"/>
    <w:rsid w:val="1D3A1D5C"/>
    <w:rsid w:val="1D3A646D"/>
    <w:rsid w:val="1D3A7F00"/>
    <w:rsid w:val="1D3B1205"/>
    <w:rsid w:val="1D3B5982"/>
    <w:rsid w:val="1D3C0E85"/>
    <w:rsid w:val="1D3C6C87"/>
    <w:rsid w:val="1D3E1AFE"/>
    <w:rsid w:val="1D3E218A"/>
    <w:rsid w:val="1D3F1E0A"/>
    <w:rsid w:val="1D422D87"/>
    <w:rsid w:val="1D422D8E"/>
    <w:rsid w:val="1D430810"/>
    <w:rsid w:val="1D436612"/>
    <w:rsid w:val="1D441B15"/>
    <w:rsid w:val="1D453D13"/>
    <w:rsid w:val="1D4568CB"/>
    <w:rsid w:val="1D457596"/>
    <w:rsid w:val="1D461794"/>
    <w:rsid w:val="1D465018"/>
    <w:rsid w:val="1D4672A6"/>
    <w:rsid w:val="1D472A99"/>
    <w:rsid w:val="1D477E44"/>
    <w:rsid w:val="1D48051B"/>
    <w:rsid w:val="1D484C98"/>
    <w:rsid w:val="1D492719"/>
    <w:rsid w:val="1D4B149F"/>
    <w:rsid w:val="1D4B34D5"/>
    <w:rsid w:val="1D4C369E"/>
    <w:rsid w:val="1D4C6F21"/>
    <w:rsid w:val="1D4D111F"/>
    <w:rsid w:val="1D4D49A3"/>
    <w:rsid w:val="1D4D4A4E"/>
    <w:rsid w:val="1D4E2424"/>
    <w:rsid w:val="1D4E6BA1"/>
    <w:rsid w:val="1D4F7EA6"/>
    <w:rsid w:val="1D5030CD"/>
    <w:rsid w:val="1D506D2A"/>
    <w:rsid w:val="1D517B25"/>
    <w:rsid w:val="1D5368AC"/>
    <w:rsid w:val="1D540AAA"/>
    <w:rsid w:val="1D54148D"/>
    <w:rsid w:val="1D54652C"/>
    <w:rsid w:val="1D5523BA"/>
    <w:rsid w:val="1D553FAD"/>
    <w:rsid w:val="1D557934"/>
    <w:rsid w:val="1D557E55"/>
    <w:rsid w:val="1D562D94"/>
    <w:rsid w:val="1D562F59"/>
    <w:rsid w:val="1D567831"/>
    <w:rsid w:val="1D5752B2"/>
    <w:rsid w:val="1D582D34"/>
    <w:rsid w:val="1D58430D"/>
    <w:rsid w:val="1D5A0435"/>
    <w:rsid w:val="1D5A6237"/>
    <w:rsid w:val="1D5B6FC3"/>
    <w:rsid w:val="1D5C173A"/>
    <w:rsid w:val="1D5C3938"/>
    <w:rsid w:val="1D5C71BB"/>
    <w:rsid w:val="1D5C7B62"/>
    <w:rsid w:val="1D5D053C"/>
    <w:rsid w:val="1D5D13BA"/>
    <w:rsid w:val="1D5E26BE"/>
    <w:rsid w:val="1D5F0140"/>
    <w:rsid w:val="1D5F48BD"/>
    <w:rsid w:val="1D5F6196"/>
    <w:rsid w:val="1D60233E"/>
    <w:rsid w:val="1D605BC2"/>
    <w:rsid w:val="1D6132A5"/>
    <w:rsid w:val="1D613643"/>
    <w:rsid w:val="1D6210C5"/>
    <w:rsid w:val="1D623C6A"/>
    <w:rsid w:val="1D6332C3"/>
    <w:rsid w:val="1D63476B"/>
    <w:rsid w:val="1D636B46"/>
    <w:rsid w:val="1D640D44"/>
    <w:rsid w:val="1D6445C8"/>
    <w:rsid w:val="1D652049"/>
    <w:rsid w:val="1D655CE4"/>
    <w:rsid w:val="1D664248"/>
    <w:rsid w:val="1D67554C"/>
    <w:rsid w:val="1D6829C2"/>
    <w:rsid w:val="1D68774B"/>
    <w:rsid w:val="1D690A4F"/>
    <w:rsid w:val="1D691539"/>
    <w:rsid w:val="1D6951CC"/>
    <w:rsid w:val="1D6A0E9B"/>
    <w:rsid w:val="1D6A1F13"/>
    <w:rsid w:val="1D6A20D8"/>
    <w:rsid w:val="1D6B3F53"/>
    <w:rsid w:val="1D6C19D4"/>
    <w:rsid w:val="1D6C6151"/>
    <w:rsid w:val="1D6D3BD2"/>
    <w:rsid w:val="1D6D402B"/>
    <w:rsid w:val="1D6D41EF"/>
    <w:rsid w:val="1D6E70D6"/>
    <w:rsid w:val="1D6F2959"/>
    <w:rsid w:val="1D6F55A4"/>
    <w:rsid w:val="1D7003DA"/>
    <w:rsid w:val="1D7025D9"/>
    <w:rsid w:val="1D715E5C"/>
    <w:rsid w:val="1D72025A"/>
    <w:rsid w:val="1D7238DD"/>
    <w:rsid w:val="1D7276BB"/>
    <w:rsid w:val="1D73135F"/>
    <w:rsid w:val="1D73355D"/>
    <w:rsid w:val="1D754862"/>
    <w:rsid w:val="1D767D65"/>
    <w:rsid w:val="1D771F63"/>
    <w:rsid w:val="1D7757E7"/>
    <w:rsid w:val="1D7842C5"/>
    <w:rsid w:val="1D784489"/>
    <w:rsid w:val="1D794E63"/>
    <w:rsid w:val="1D795028"/>
    <w:rsid w:val="1D795467"/>
    <w:rsid w:val="1D7A2EE8"/>
    <w:rsid w:val="1D7A676B"/>
    <w:rsid w:val="1D7B65A1"/>
    <w:rsid w:val="1D7C141A"/>
    <w:rsid w:val="1D7C1C6E"/>
    <w:rsid w:val="1D7D3E6D"/>
    <w:rsid w:val="1D7D7D3F"/>
    <w:rsid w:val="1D7E5172"/>
    <w:rsid w:val="1D800675"/>
    <w:rsid w:val="1D807CC2"/>
    <w:rsid w:val="1D812873"/>
    <w:rsid w:val="1D8131AA"/>
    <w:rsid w:val="1D8160F6"/>
    <w:rsid w:val="1D81631E"/>
    <w:rsid w:val="1D816BAA"/>
    <w:rsid w:val="1D823B78"/>
    <w:rsid w:val="1D823B84"/>
    <w:rsid w:val="1D8315F9"/>
    <w:rsid w:val="1D835D76"/>
    <w:rsid w:val="1D84707B"/>
    <w:rsid w:val="1D8475BB"/>
    <w:rsid w:val="1D8548D9"/>
    <w:rsid w:val="1D854AFC"/>
    <w:rsid w:val="1D856CFB"/>
    <w:rsid w:val="1D86257E"/>
    <w:rsid w:val="1D86477C"/>
    <w:rsid w:val="1D893503"/>
    <w:rsid w:val="1D8A0F84"/>
    <w:rsid w:val="1D8B1ECB"/>
    <w:rsid w:val="1D8B6A06"/>
    <w:rsid w:val="1D8C27D5"/>
    <w:rsid w:val="1D8C2A69"/>
    <w:rsid w:val="1D8C4487"/>
    <w:rsid w:val="1D8D1F09"/>
    <w:rsid w:val="1D8D798A"/>
    <w:rsid w:val="1D8E56D5"/>
    <w:rsid w:val="1D8F1387"/>
    <w:rsid w:val="1D8F2E8D"/>
    <w:rsid w:val="1D923E12"/>
    <w:rsid w:val="1D927673"/>
    <w:rsid w:val="1D936F09"/>
    <w:rsid w:val="1D940DB0"/>
    <w:rsid w:val="1D954D97"/>
    <w:rsid w:val="1D97029A"/>
    <w:rsid w:val="1D972D03"/>
    <w:rsid w:val="1D98335A"/>
    <w:rsid w:val="1D99379D"/>
    <w:rsid w:val="1D9A4FDF"/>
    <w:rsid w:val="1D9C4722"/>
    <w:rsid w:val="1D9E3644"/>
    <w:rsid w:val="1DA03128"/>
    <w:rsid w:val="1DA069AB"/>
    <w:rsid w:val="1DA10BA9"/>
    <w:rsid w:val="1DA1442D"/>
    <w:rsid w:val="1DA173CE"/>
    <w:rsid w:val="1DA21EAE"/>
    <w:rsid w:val="1DA23326"/>
    <w:rsid w:val="1DA4489F"/>
    <w:rsid w:val="1DA52E33"/>
    <w:rsid w:val="1DA55031"/>
    <w:rsid w:val="1DA575B0"/>
    <w:rsid w:val="1DA62AB3"/>
    <w:rsid w:val="1DA64B3D"/>
    <w:rsid w:val="1DA65E17"/>
    <w:rsid w:val="1DA76336"/>
    <w:rsid w:val="1DA767F2"/>
    <w:rsid w:val="1DA83DB7"/>
    <w:rsid w:val="1DA85FB6"/>
    <w:rsid w:val="1DA87555"/>
    <w:rsid w:val="1DA91839"/>
    <w:rsid w:val="1DA93A37"/>
    <w:rsid w:val="1DA97F2F"/>
    <w:rsid w:val="1DAB6F3A"/>
    <w:rsid w:val="1DAC27BE"/>
    <w:rsid w:val="1DAC2BE5"/>
    <w:rsid w:val="1DAD023F"/>
    <w:rsid w:val="1DAD243E"/>
    <w:rsid w:val="1DAD5CC1"/>
    <w:rsid w:val="1DAE3742"/>
    <w:rsid w:val="1DAE3F9A"/>
    <w:rsid w:val="1DAE7EBF"/>
    <w:rsid w:val="1DAF5941"/>
    <w:rsid w:val="1DB06C45"/>
    <w:rsid w:val="1DB10E44"/>
    <w:rsid w:val="1DB268C5"/>
    <w:rsid w:val="1DB3762A"/>
    <w:rsid w:val="1DB4038D"/>
    <w:rsid w:val="1DB530CD"/>
    <w:rsid w:val="1DB5784A"/>
    <w:rsid w:val="1DB60B4F"/>
    <w:rsid w:val="1DB624A5"/>
    <w:rsid w:val="1DB72D4D"/>
    <w:rsid w:val="1DB807CF"/>
    <w:rsid w:val="1DB84052"/>
    <w:rsid w:val="1DB961F1"/>
    <w:rsid w:val="1DBA7555"/>
    <w:rsid w:val="1DBB4FD6"/>
    <w:rsid w:val="1DBC2A58"/>
    <w:rsid w:val="1DBC650F"/>
    <w:rsid w:val="1DBC71D5"/>
    <w:rsid w:val="1DBD26D8"/>
    <w:rsid w:val="1DBD70AE"/>
    <w:rsid w:val="1DBE0159"/>
    <w:rsid w:val="1DBE579D"/>
    <w:rsid w:val="1DBE5F5B"/>
    <w:rsid w:val="1DBE7A88"/>
    <w:rsid w:val="1DBF0627"/>
    <w:rsid w:val="1DBF5A6D"/>
    <w:rsid w:val="1DC11BA0"/>
    <w:rsid w:val="1DC323E3"/>
    <w:rsid w:val="1DC345E1"/>
    <w:rsid w:val="1DC36BA4"/>
    <w:rsid w:val="1DC42063"/>
    <w:rsid w:val="1DC47E64"/>
    <w:rsid w:val="1DC53368"/>
    <w:rsid w:val="1DC553F5"/>
    <w:rsid w:val="1DC558E6"/>
    <w:rsid w:val="1DC65566"/>
    <w:rsid w:val="1DC65F93"/>
    <w:rsid w:val="1DC80A69"/>
    <w:rsid w:val="1DC964EA"/>
    <w:rsid w:val="1DCA1E79"/>
    <w:rsid w:val="1DCA254F"/>
    <w:rsid w:val="1DCA3F6C"/>
    <w:rsid w:val="1DCA77EF"/>
    <w:rsid w:val="1DCB145F"/>
    <w:rsid w:val="1DCB19EE"/>
    <w:rsid w:val="1DCC2CF2"/>
    <w:rsid w:val="1DCD0774"/>
    <w:rsid w:val="1DCD2B9D"/>
    <w:rsid w:val="1DCE2972"/>
    <w:rsid w:val="1DCE4983"/>
    <w:rsid w:val="1DCF03F4"/>
    <w:rsid w:val="1DD05E75"/>
    <w:rsid w:val="1DD138F7"/>
    <w:rsid w:val="1DD15853"/>
    <w:rsid w:val="1DD24BFC"/>
    <w:rsid w:val="1DD36C07"/>
    <w:rsid w:val="1DD36DFA"/>
    <w:rsid w:val="1DD40180"/>
    <w:rsid w:val="1DD40345"/>
    <w:rsid w:val="1DD4487C"/>
    <w:rsid w:val="1DD522FD"/>
    <w:rsid w:val="1DD55B80"/>
    <w:rsid w:val="1DD57D7F"/>
    <w:rsid w:val="1DD618BD"/>
    <w:rsid w:val="1DD65800"/>
    <w:rsid w:val="1DD71083"/>
    <w:rsid w:val="1DD73282"/>
    <w:rsid w:val="1DD80D03"/>
    <w:rsid w:val="1DDA2008"/>
    <w:rsid w:val="1DDA4206"/>
    <w:rsid w:val="1DDB1C88"/>
    <w:rsid w:val="1DDC550B"/>
    <w:rsid w:val="1DDE2C0D"/>
    <w:rsid w:val="1DDE6490"/>
    <w:rsid w:val="1DDF068E"/>
    <w:rsid w:val="1DDF3F11"/>
    <w:rsid w:val="1DDF7A40"/>
    <w:rsid w:val="1DE01993"/>
    <w:rsid w:val="1DE06110"/>
    <w:rsid w:val="1DE11B57"/>
    <w:rsid w:val="1DE17414"/>
    <w:rsid w:val="1DE21613"/>
    <w:rsid w:val="1DE228BA"/>
    <w:rsid w:val="1DE24E96"/>
    <w:rsid w:val="1DE37094"/>
    <w:rsid w:val="1DE40399"/>
    <w:rsid w:val="1DE41A3B"/>
    <w:rsid w:val="1DE502B6"/>
    <w:rsid w:val="1DE5098C"/>
    <w:rsid w:val="1DE52597"/>
    <w:rsid w:val="1DE55E1B"/>
    <w:rsid w:val="1DE67354"/>
    <w:rsid w:val="1DE75D86"/>
    <w:rsid w:val="1DE75F4B"/>
    <w:rsid w:val="1DE7675C"/>
    <w:rsid w:val="1DE76FE8"/>
    <w:rsid w:val="1DE8351C"/>
    <w:rsid w:val="1DE90F9E"/>
    <w:rsid w:val="1DE94821"/>
    <w:rsid w:val="1DEA22A2"/>
    <w:rsid w:val="1DEB44A1"/>
    <w:rsid w:val="1DED3227"/>
    <w:rsid w:val="1DED79A4"/>
    <w:rsid w:val="1DEE0CA9"/>
    <w:rsid w:val="1DEE4E27"/>
    <w:rsid w:val="1DEE6320"/>
    <w:rsid w:val="1DEF672A"/>
    <w:rsid w:val="1DF041AC"/>
    <w:rsid w:val="1DF04B92"/>
    <w:rsid w:val="1DF04C6C"/>
    <w:rsid w:val="1DF11C2D"/>
    <w:rsid w:val="1DF15646"/>
    <w:rsid w:val="1DF1580A"/>
    <w:rsid w:val="1DF35130"/>
    <w:rsid w:val="1DF36BBF"/>
    <w:rsid w:val="1DF42BB2"/>
    <w:rsid w:val="1DF502FC"/>
    <w:rsid w:val="1DF50633"/>
    <w:rsid w:val="1DF5197B"/>
    <w:rsid w:val="1DF51E9C"/>
    <w:rsid w:val="1DF60CD6"/>
    <w:rsid w:val="1DF60E9B"/>
    <w:rsid w:val="1DF660B5"/>
    <w:rsid w:val="1DF8703A"/>
    <w:rsid w:val="1DF94ABB"/>
    <w:rsid w:val="1DFA253D"/>
    <w:rsid w:val="1DFB7FBE"/>
    <w:rsid w:val="1DFC5A40"/>
    <w:rsid w:val="1DFD34C1"/>
    <w:rsid w:val="1DFE701D"/>
    <w:rsid w:val="1DFE71E1"/>
    <w:rsid w:val="1DFF69C5"/>
    <w:rsid w:val="1E011EC8"/>
    <w:rsid w:val="1E0508CE"/>
    <w:rsid w:val="1E053C26"/>
    <w:rsid w:val="1E061BD3"/>
    <w:rsid w:val="1E073016"/>
    <w:rsid w:val="1E085D3E"/>
    <w:rsid w:val="1E0972D4"/>
    <w:rsid w:val="1E0A05D9"/>
    <w:rsid w:val="1E0A4D56"/>
    <w:rsid w:val="1E0B605A"/>
    <w:rsid w:val="1E0C1593"/>
    <w:rsid w:val="1E0D155D"/>
    <w:rsid w:val="1E0D1F6D"/>
    <w:rsid w:val="1E0D5CDA"/>
    <w:rsid w:val="1E0E11DD"/>
    <w:rsid w:val="1E0E375C"/>
    <w:rsid w:val="1E0E6FDF"/>
    <w:rsid w:val="1E0F26B0"/>
    <w:rsid w:val="1E0F6C5F"/>
    <w:rsid w:val="1E1024E2"/>
    <w:rsid w:val="1E1046E0"/>
    <w:rsid w:val="1E112162"/>
    <w:rsid w:val="1E116E56"/>
    <w:rsid w:val="1E11700C"/>
    <w:rsid w:val="1E117F64"/>
    <w:rsid w:val="1E1259E5"/>
    <w:rsid w:val="1E133467"/>
    <w:rsid w:val="1E135665"/>
    <w:rsid w:val="1E140C14"/>
    <w:rsid w:val="1E1430E7"/>
    <w:rsid w:val="1E150B68"/>
    <w:rsid w:val="1E161E6D"/>
    <w:rsid w:val="1E1643EB"/>
    <w:rsid w:val="1E1665EA"/>
    <w:rsid w:val="1E1778EF"/>
    <w:rsid w:val="1E181AED"/>
    <w:rsid w:val="1E185370"/>
    <w:rsid w:val="1E192F6A"/>
    <w:rsid w:val="1E1B62F5"/>
    <w:rsid w:val="1E1C3D76"/>
    <w:rsid w:val="1E1C5081"/>
    <w:rsid w:val="1E1D17F8"/>
    <w:rsid w:val="1E1D5F75"/>
    <w:rsid w:val="1E1E39F6"/>
    <w:rsid w:val="1E1E7279"/>
    <w:rsid w:val="1E1F1D09"/>
    <w:rsid w:val="1E1F6FD4"/>
    <w:rsid w:val="1E207D37"/>
    <w:rsid w:val="1E2101FE"/>
    <w:rsid w:val="1E233701"/>
    <w:rsid w:val="1E237E7E"/>
    <w:rsid w:val="1E241183"/>
    <w:rsid w:val="1E2458FF"/>
    <w:rsid w:val="1E253381"/>
    <w:rsid w:val="1E260E02"/>
    <w:rsid w:val="1E264686"/>
    <w:rsid w:val="1E26477C"/>
    <w:rsid w:val="1E274306"/>
    <w:rsid w:val="1E287B89"/>
    <w:rsid w:val="1E296894"/>
    <w:rsid w:val="1E2A7432"/>
    <w:rsid w:val="1E2B30F8"/>
    <w:rsid w:val="1E2C078D"/>
    <w:rsid w:val="1E2C658F"/>
    <w:rsid w:val="1E2D4011"/>
    <w:rsid w:val="1E2D4A07"/>
    <w:rsid w:val="1E2E3C90"/>
    <w:rsid w:val="1E2E7514"/>
    <w:rsid w:val="1E2F4F95"/>
    <w:rsid w:val="1E2F5728"/>
    <w:rsid w:val="1E302A17"/>
    <w:rsid w:val="1E310498"/>
    <w:rsid w:val="1E314C15"/>
    <w:rsid w:val="1E322697"/>
    <w:rsid w:val="1E325F1A"/>
    <w:rsid w:val="1E330118"/>
    <w:rsid w:val="1E33399B"/>
    <w:rsid w:val="1E35361B"/>
    <w:rsid w:val="1E356E9F"/>
    <w:rsid w:val="1E3576CC"/>
    <w:rsid w:val="1E357891"/>
    <w:rsid w:val="1E364920"/>
    <w:rsid w:val="1E3845A0"/>
    <w:rsid w:val="1E387E23"/>
    <w:rsid w:val="1E392021"/>
    <w:rsid w:val="1E3958A5"/>
    <w:rsid w:val="1E3A3326"/>
    <w:rsid w:val="1E3B0DA8"/>
    <w:rsid w:val="1E3B3AC0"/>
    <w:rsid w:val="1E3B5525"/>
    <w:rsid w:val="1E3C6829"/>
    <w:rsid w:val="1E3D0A28"/>
    <w:rsid w:val="1E3D42AB"/>
    <w:rsid w:val="1E3E1D2D"/>
    <w:rsid w:val="1E3E48DE"/>
    <w:rsid w:val="1E3E5BD7"/>
    <w:rsid w:val="1E3F77AE"/>
    <w:rsid w:val="1E40742E"/>
    <w:rsid w:val="1E407CEF"/>
    <w:rsid w:val="1E414EAF"/>
    <w:rsid w:val="1E4210A3"/>
    <w:rsid w:val="1E4303B3"/>
    <w:rsid w:val="1E431C42"/>
    <w:rsid w:val="1E4412E6"/>
    <w:rsid w:val="1E4427E1"/>
    <w:rsid w:val="1E4516B7"/>
    <w:rsid w:val="1E4538B6"/>
    <w:rsid w:val="1E461337"/>
    <w:rsid w:val="1E464BBA"/>
    <w:rsid w:val="1E467139"/>
    <w:rsid w:val="1E47263C"/>
    <w:rsid w:val="1E4800BE"/>
    <w:rsid w:val="1E4922BC"/>
    <w:rsid w:val="1E495B3F"/>
    <w:rsid w:val="1E4A35C1"/>
    <w:rsid w:val="1E4A6A10"/>
    <w:rsid w:val="1E4A7D3D"/>
    <w:rsid w:val="1E4B0389"/>
    <w:rsid w:val="1E4B0DCA"/>
    <w:rsid w:val="1E4B1042"/>
    <w:rsid w:val="1E4B75AE"/>
    <w:rsid w:val="1E4C6AC4"/>
    <w:rsid w:val="1E4C7947"/>
    <w:rsid w:val="1E4D0CC2"/>
    <w:rsid w:val="1E4D16C6"/>
    <w:rsid w:val="1E4D4545"/>
    <w:rsid w:val="1E4D6F06"/>
    <w:rsid w:val="1E4E6744"/>
    <w:rsid w:val="1E4F7A48"/>
    <w:rsid w:val="1E501C47"/>
    <w:rsid w:val="1E503619"/>
    <w:rsid w:val="1E5054CA"/>
    <w:rsid w:val="1E512F4B"/>
    <w:rsid w:val="1E513FF3"/>
    <w:rsid w:val="1E5209CD"/>
    <w:rsid w:val="1E532BCB"/>
    <w:rsid w:val="1E5344AE"/>
    <w:rsid w:val="1E535731"/>
    <w:rsid w:val="1E53644F"/>
    <w:rsid w:val="1E543ED0"/>
    <w:rsid w:val="1E551952"/>
    <w:rsid w:val="1E5673D3"/>
    <w:rsid w:val="1E570222"/>
    <w:rsid w:val="1E5828D6"/>
    <w:rsid w:val="1E590358"/>
    <w:rsid w:val="1E5A2124"/>
    <w:rsid w:val="1E5A233A"/>
    <w:rsid w:val="1E5B309D"/>
    <w:rsid w:val="1E5C12DD"/>
    <w:rsid w:val="1E5D6D5E"/>
    <w:rsid w:val="1E5E47E0"/>
    <w:rsid w:val="1E5F2261"/>
    <w:rsid w:val="1E605764"/>
    <w:rsid w:val="1E607108"/>
    <w:rsid w:val="1E620C67"/>
    <w:rsid w:val="1E6366E9"/>
    <w:rsid w:val="1E64416A"/>
    <w:rsid w:val="1E651BEC"/>
    <w:rsid w:val="1E663172"/>
    <w:rsid w:val="1E66766E"/>
    <w:rsid w:val="1E6750EF"/>
    <w:rsid w:val="1E685BCF"/>
    <w:rsid w:val="1E69528A"/>
    <w:rsid w:val="1E69544E"/>
    <w:rsid w:val="1E695FED"/>
    <w:rsid w:val="1E6A5E28"/>
    <w:rsid w:val="1E6A6074"/>
    <w:rsid w:val="1E6B3AF5"/>
    <w:rsid w:val="1E6C1577"/>
    <w:rsid w:val="1E6D287C"/>
    <w:rsid w:val="1E6E02FD"/>
    <w:rsid w:val="1E6E14B9"/>
    <w:rsid w:val="1E6F5D7F"/>
    <w:rsid w:val="1E707F7D"/>
    <w:rsid w:val="1E711282"/>
    <w:rsid w:val="1E713795"/>
    <w:rsid w:val="1E72416F"/>
    <w:rsid w:val="1E730F02"/>
    <w:rsid w:val="1E734785"/>
    <w:rsid w:val="1E742207"/>
    <w:rsid w:val="1E754405"/>
    <w:rsid w:val="1E756FC6"/>
    <w:rsid w:val="1E761E86"/>
    <w:rsid w:val="1E766C61"/>
    <w:rsid w:val="1E77744A"/>
    <w:rsid w:val="1E777908"/>
    <w:rsid w:val="1E780C0D"/>
    <w:rsid w:val="1E786332"/>
    <w:rsid w:val="1E79088D"/>
    <w:rsid w:val="1E7A22F1"/>
    <w:rsid w:val="1E7A24B6"/>
    <w:rsid w:val="1E7A4110"/>
    <w:rsid w:val="1E7A43DA"/>
    <w:rsid w:val="1E7B1B91"/>
    <w:rsid w:val="1E7C7613"/>
    <w:rsid w:val="1E7D7B5A"/>
    <w:rsid w:val="1E7E4D14"/>
    <w:rsid w:val="1E7F0598"/>
    <w:rsid w:val="1E7F6019"/>
    <w:rsid w:val="1E800217"/>
    <w:rsid w:val="1E80030A"/>
    <w:rsid w:val="1E803A9B"/>
    <w:rsid w:val="1E806520"/>
    <w:rsid w:val="1E815C99"/>
    <w:rsid w:val="1E82371B"/>
    <w:rsid w:val="1E8307FC"/>
    <w:rsid w:val="1E83119C"/>
    <w:rsid w:val="1E8373D6"/>
    <w:rsid w:val="1E8411D7"/>
    <w:rsid w:val="1E8424A1"/>
    <w:rsid w:val="1E846C1E"/>
    <w:rsid w:val="1E85469F"/>
    <w:rsid w:val="1E857F22"/>
    <w:rsid w:val="1E8611E5"/>
    <w:rsid w:val="1E880EA7"/>
    <w:rsid w:val="1E884867"/>
    <w:rsid w:val="1E8930A5"/>
    <w:rsid w:val="1E895406"/>
    <w:rsid w:val="1E8B1E2C"/>
    <w:rsid w:val="1E8B65A8"/>
    <w:rsid w:val="1E8B6B43"/>
    <w:rsid w:val="1E8C78AD"/>
    <w:rsid w:val="1E8D00BC"/>
    <w:rsid w:val="1E8D1AAC"/>
    <w:rsid w:val="1E8D532F"/>
    <w:rsid w:val="1E8E2DB0"/>
    <w:rsid w:val="1E8E752D"/>
    <w:rsid w:val="1E8F0832"/>
    <w:rsid w:val="1E8F2A30"/>
    <w:rsid w:val="1E913D35"/>
    <w:rsid w:val="1E914AFD"/>
    <w:rsid w:val="1E915F33"/>
    <w:rsid w:val="1E9217B7"/>
    <w:rsid w:val="1E923588"/>
    <w:rsid w:val="1E92670F"/>
    <w:rsid w:val="1E931436"/>
    <w:rsid w:val="1E934127"/>
    <w:rsid w:val="1E934C90"/>
    <w:rsid w:val="1E937238"/>
    <w:rsid w:val="1E944CBA"/>
    <w:rsid w:val="1E946EB8"/>
    <w:rsid w:val="1E952A60"/>
    <w:rsid w:val="1E952C15"/>
    <w:rsid w:val="1E953657"/>
    <w:rsid w:val="1E95493A"/>
    <w:rsid w:val="1E9601BD"/>
    <w:rsid w:val="1E9623BB"/>
    <w:rsid w:val="1E966DDD"/>
    <w:rsid w:val="1E977E3D"/>
    <w:rsid w:val="1E9858BE"/>
    <w:rsid w:val="1E993340"/>
    <w:rsid w:val="1E996BC3"/>
    <w:rsid w:val="1E9A0DC1"/>
    <w:rsid w:val="1E9B20C6"/>
    <w:rsid w:val="1E9B7C19"/>
    <w:rsid w:val="1E9D3BAA"/>
    <w:rsid w:val="1E9D55C9"/>
    <w:rsid w:val="1E9E304B"/>
    <w:rsid w:val="1E9E77C7"/>
    <w:rsid w:val="1E9F0ACC"/>
    <w:rsid w:val="1E9F4F5F"/>
    <w:rsid w:val="1EA02CCB"/>
    <w:rsid w:val="1EA0654E"/>
    <w:rsid w:val="1EA21A51"/>
    <w:rsid w:val="1EA261CE"/>
    <w:rsid w:val="1EA26BE1"/>
    <w:rsid w:val="1EA305EF"/>
    <w:rsid w:val="1EA307B4"/>
    <w:rsid w:val="1EA33C4F"/>
    <w:rsid w:val="1EA4118E"/>
    <w:rsid w:val="1EA416D1"/>
    <w:rsid w:val="1EA447FB"/>
    <w:rsid w:val="1EA455A8"/>
    <w:rsid w:val="1EA57152"/>
    <w:rsid w:val="1EA628CB"/>
    <w:rsid w:val="1EA64BD4"/>
    <w:rsid w:val="1EA72655"/>
    <w:rsid w:val="1EA85B59"/>
    <w:rsid w:val="1EA913DC"/>
    <w:rsid w:val="1EA949E3"/>
    <w:rsid w:val="1EAA6E5D"/>
    <w:rsid w:val="1EAB48DF"/>
    <w:rsid w:val="1EAC455F"/>
    <w:rsid w:val="1EAD1FE0"/>
    <w:rsid w:val="1EAE7A62"/>
    <w:rsid w:val="1EAE7EAF"/>
    <w:rsid w:val="1EAF0A4E"/>
    <w:rsid w:val="1EAF0D67"/>
    <w:rsid w:val="1EB01FC6"/>
    <w:rsid w:val="1EB02F65"/>
    <w:rsid w:val="1EB067E8"/>
    <w:rsid w:val="1EB109E6"/>
    <w:rsid w:val="1EB1426A"/>
    <w:rsid w:val="1EB21CEB"/>
    <w:rsid w:val="1EB25297"/>
    <w:rsid w:val="1EB26468"/>
    <w:rsid w:val="1EB27A1A"/>
    <w:rsid w:val="1EB33EEA"/>
    <w:rsid w:val="1EB342A2"/>
    <w:rsid w:val="1EB3718E"/>
    <w:rsid w:val="1EB4196B"/>
    <w:rsid w:val="1EB451EE"/>
    <w:rsid w:val="1EB573ED"/>
    <w:rsid w:val="1EB64E6E"/>
    <w:rsid w:val="1EB76173"/>
    <w:rsid w:val="1EB8776E"/>
    <w:rsid w:val="1EB87933"/>
    <w:rsid w:val="1EB904D1"/>
    <w:rsid w:val="1EB91676"/>
    <w:rsid w:val="1EB95DF3"/>
    <w:rsid w:val="1EBA5E2B"/>
    <w:rsid w:val="1EBA70F8"/>
    <w:rsid w:val="1EBB1A4A"/>
    <w:rsid w:val="1EBB25E9"/>
    <w:rsid w:val="1EBB4B79"/>
    <w:rsid w:val="1EBC25FB"/>
    <w:rsid w:val="1EBC2FC3"/>
    <w:rsid w:val="1EBE5AFE"/>
    <w:rsid w:val="1EC01001"/>
    <w:rsid w:val="1EC16A83"/>
    <w:rsid w:val="1EC271F2"/>
    <w:rsid w:val="1EC37D91"/>
    <w:rsid w:val="1EC47A07"/>
    <w:rsid w:val="1EC55103"/>
    <w:rsid w:val="1EC55489"/>
    <w:rsid w:val="1EC62F0A"/>
    <w:rsid w:val="1EC726BE"/>
    <w:rsid w:val="1EC74F22"/>
    <w:rsid w:val="1EC91910"/>
    <w:rsid w:val="1ECA7392"/>
    <w:rsid w:val="1ECB4E14"/>
    <w:rsid w:val="1ECD0317"/>
    <w:rsid w:val="1ECF381A"/>
    <w:rsid w:val="1ECF49D4"/>
    <w:rsid w:val="1ED0129B"/>
    <w:rsid w:val="1ED11F7E"/>
    <w:rsid w:val="1ED20022"/>
    <w:rsid w:val="1ED22B1C"/>
    <w:rsid w:val="1ED44095"/>
    <w:rsid w:val="1ED4425A"/>
    <w:rsid w:val="1ED47CA2"/>
    <w:rsid w:val="1ED657D3"/>
    <w:rsid w:val="1ED67D6B"/>
    <w:rsid w:val="1ED81F2B"/>
    <w:rsid w:val="1ED866A8"/>
    <w:rsid w:val="1ED86D4C"/>
    <w:rsid w:val="1ED90489"/>
    <w:rsid w:val="1EDA0E63"/>
    <w:rsid w:val="1EDA1BAB"/>
    <w:rsid w:val="1EDB2EB0"/>
    <w:rsid w:val="1EDD2B2F"/>
    <w:rsid w:val="1EDD63B3"/>
    <w:rsid w:val="1EDD7888"/>
    <w:rsid w:val="1EDE3E34"/>
    <w:rsid w:val="1EDF18B6"/>
    <w:rsid w:val="1EDF46B8"/>
    <w:rsid w:val="1EE01536"/>
    <w:rsid w:val="1EE03AB4"/>
    <w:rsid w:val="1EE07337"/>
    <w:rsid w:val="1EE24A39"/>
    <w:rsid w:val="1EE267D0"/>
    <w:rsid w:val="1EE302BC"/>
    <w:rsid w:val="1EE61C9C"/>
    <w:rsid w:val="1EE61E60"/>
    <w:rsid w:val="1EE70EC1"/>
    <w:rsid w:val="1EE76CC2"/>
    <w:rsid w:val="1EE821C5"/>
    <w:rsid w:val="1EE833D9"/>
    <w:rsid w:val="1EE84744"/>
    <w:rsid w:val="1EE86942"/>
    <w:rsid w:val="1EE943C4"/>
    <w:rsid w:val="1EEA1E45"/>
    <w:rsid w:val="1EEA56C8"/>
    <w:rsid w:val="1EEB2065"/>
    <w:rsid w:val="1EEB221A"/>
    <w:rsid w:val="1EEB23D0"/>
    <w:rsid w:val="1EEB2585"/>
    <w:rsid w:val="1EEB28F1"/>
    <w:rsid w:val="1EEB78C7"/>
    <w:rsid w:val="1EEC1102"/>
    <w:rsid w:val="1EEC5348"/>
    <w:rsid w:val="1EED2DCA"/>
    <w:rsid w:val="1EED6A69"/>
    <w:rsid w:val="1EEF62CD"/>
    <w:rsid w:val="1EF009BC"/>
    <w:rsid w:val="1EF03D4E"/>
    <w:rsid w:val="1EF15053"/>
    <w:rsid w:val="1EF32C98"/>
    <w:rsid w:val="1EF33837"/>
    <w:rsid w:val="1EF34CD3"/>
    <w:rsid w:val="1EF42755"/>
    <w:rsid w:val="1EF45FD8"/>
    <w:rsid w:val="1EF501D6"/>
    <w:rsid w:val="1EF50A5B"/>
    <w:rsid w:val="1EF54DB0"/>
    <w:rsid w:val="1EF65C58"/>
    <w:rsid w:val="1EF80F77"/>
    <w:rsid w:val="1EF849DE"/>
    <w:rsid w:val="1EFB2B33"/>
    <w:rsid w:val="1EFB2E9E"/>
    <w:rsid w:val="1EFB38DF"/>
    <w:rsid w:val="1EFB5963"/>
    <w:rsid w:val="1EFB7B61"/>
    <w:rsid w:val="1EFC33E4"/>
    <w:rsid w:val="1EFC55E3"/>
    <w:rsid w:val="1EFD2393"/>
    <w:rsid w:val="1EFD2558"/>
    <w:rsid w:val="1EFE30F7"/>
    <w:rsid w:val="1F001DEB"/>
    <w:rsid w:val="1F003FE9"/>
    <w:rsid w:val="1F0044AB"/>
    <w:rsid w:val="1F011A6A"/>
    <w:rsid w:val="1F01504A"/>
    <w:rsid w:val="1F0152EE"/>
    <w:rsid w:val="1F015BE8"/>
    <w:rsid w:val="1F022D6F"/>
    <w:rsid w:val="1F046272"/>
    <w:rsid w:val="1F047B3B"/>
    <w:rsid w:val="1F047D00"/>
    <w:rsid w:val="1F050471"/>
    <w:rsid w:val="1F0506DA"/>
    <w:rsid w:val="1F053CF4"/>
    <w:rsid w:val="1F061279"/>
    <w:rsid w:val="1F061775"/>
    <w:rsid w:val="1F073974"/>
    <w:rsid w:val="1F0771F7"/>
    <w:rsid w:val="1F0776F5"/>
    <w:rsid w:val="1F0926FA"/>
    <w:rsid w:val="1F0A017C"/>
    <w:rsid w:val="1F0B4909"/>
    <w:rsid w:val="1F0B5BFD"/>
    <w:rsid w:val="1F0B69A1"/>
    <w:rsid w:val="1F0C52E3"/>
    <w:rsid w:val="1F0D1100"/>
    <w:rsid w:val="1F0D587D"/>
    <w:rsid w:val="1F0D5E82"/>
    <w:rsid w:val="1F0E32FE"/>
    <w:rsid w:val="1F106802"/>
    <w:rsid w:val="1F111512"/>
    <w:rsid w:val="1F1116D7"/>
    <w:rsid w:val="1F117B06"/>
    <w:rsid w:val="1F122276"/>
    <w:rsid w:val="1F125588"/>
    <w:rsid w:val="1F127786"/>
    <w:rsid w:val="1F130A2F"/>
    <w:rsid w:val="1F13300A"/>
    <w:rsid w:val="1F140A8B"/>
    <w:rsid w:val="1F142C89"/>
    <w:rsid w:val="1F15070B"/>
    <w:rsid w:val="1F15650D"/>
    <w:rsid w:val="1F163F8E"/>
    <w:rsid w:val="1F16618C"/>
    <w:rsid w:val="1F171A10"/>
    <w:rsid w:val="1F181690"/>
    <w:rsid w:val="1F187491"/>
    <w:rsid w:val="1F187AED"/>
    <w:rsid w:val="1F197111"/>
    <w:rsid w:val="1F1A7A1E"/>
    <w:rsid w:val="1F1B2614"/>
    <w:rsid w:val="1F1B5E97"/>
    <w:rsid w:val="1F1C0096"/>
    <w:rsid w:val="1F1C1B35"/>
    <w:rsid w:val="1F1C3919"/>
    <w:rsid w:val="1F1D139B"/>
    <w:rsid w:val="1F1D1971"/>
    <w:rsid w:val="1F1D5B17"/>
    <w:rsid w:val="1F1E3599"/>
    <w:rsid w:val="1F1E3E1B"/>
    <w:rsid w:val="1F20231F"/>
    <w:rsid w:val="1F204462"/>
    <w:rsid w:val="1F215001"/>
    <w:rsid w:val="1F217DA1"/>
    <w:rsid w:val="1F225BA0"/>
    <w:rsid w:val="1F23657A"/>
    <w:rsid w:val="1F25322C"/>
    <w:rsid w:val="1F262B56"/>
    <w:rsid w:val="1F262D0B"/>
    <w:rsid w:val="1F271230"/>
    <w:rsid w:val="1F271CAA"/>
    <w:rsid w:val="1F272114"/>
    <w:rsid w:val="1F281DCF"/>
    <w:rsid w:val="1F29350C"/>
    <w:rsid w:val="1F2951AD"/>
    <w:rsid w:val="1F2A2C2F"/>
    <w:rsid w:val="1F2A3EE6"/>
    <w:rsid w:val="1F2B06B0"/>
    <w:rsid w:val="1F2C6132"/>
    <w:rsid w:val="1F2D3BB3"/>
    <w:rsid w:val="1F2E1635"/>
    <w:rsid w:val="1F300115"/>
    <w:rsid w:val="1F307F51"/>
    <w:rsid w:val="1F310AF0"/>
    <w:rsid w:val="1F3644C3"/>
    <w:rsid w:val="1F3758BD"/>
    <w:rsid w:val="1F383249"/>
    <w:rsid w:val="1F3856F9"/>
    <w:rsid w:val="1F386298"/>
    <w:rsid w:val="1F3879C6"/>
    <w:rsid w:val="1F396E36"/>
    <w:rsid w:val="1F3A2EC9"/>
    <w:rsid w:val="1F3A7811"/>
    <w:rsid w:val="1F3B094B"/>
    <w:rsid w:val="1F3C1C4F"/>
    <w:rsid w:val="1F3C63CC"/>
    <w:rsid w:val="1F3D76D1"/>
    <w:rsid w:val="1F3F2BD4"/>
    <w:rsid w:val="1F3F7351"/>
    <w:rsid w:val="1F404DD2"/>
    <w:rsid w:val="1F412854"/>
    <w:rsid w:val="1F4202D5"/>
    <w:rsid w:val="1F423B59"/>
    <w:rsid w:val="1F4315DA"/>
    <w:rsid w:val="1F435D57"/>
    <w:rsid w:val="1F4437D9"/>
    <w:rsid w:val="1F4466F6"/>
    <w:rsid w:val="1F446BAE"/>
    <w:rsid w:val="1F446D63"/>
    <w:rsid w:val="1F44705C"/>
    <w:rsid w:val="1F45125A"/>
    <w:rsid w:val="1F454ADD"/>
    <w:rsid w:val="1F457E33"/>
    <w:rsid w:val="1F46255F"/>
    <w:rsid w:val="1F467C6F"/>
    <w:rsid w:val="1F4713AC"/>
    <w:rsid w:val="1F47475D"/>
    <w:rsid w:val="1F492925"/>
    <w:rsid w:val="1F4934E4"/>
    <w:rsid w:val="1F4956E2"/>
    <w:rsid w:val="1F4A0F65"/>
    <w:rsid w:val="1F4A32FF"/>
    <w:rsid w:val="1F4B0BE5"/>
    <w:rsid w:val="1F4B69E7"/>
    <w:rsid w:val="1F4C6666"/>
    <w:rsid w:val="1F4D1EEA"/>
    <w:rsid w:val="1F4D1FBA"/>
    <w:rsid w:val="1F4D40E8"/>
    <w:rsid w:val="1F4E796B"/>
    <w:rsid w:val="1F4F53ED"/>
    <w:rsid w:val="1F4F6990"/>
    <w:rsid w:val="1F5008F0"/>
    <w:rsid w:val="1F502E6E"/>
    <w:rsid w:val="1F50506D"/>
    <w:rsid w:val="1F520570"/>
    <w:rsid w:val="1F520C6C"/>
    <w:rsid w:val="1F542D83"/>
    <w:rsid w:val="1F543A73"/>
    <w:rsid w:val="1F5627F9"/>
    <w:rsid w:val="1F564138"/>
    <w:rsid w:val="1F566F76"/>
    <w:rsid w:val="1F57027B"/>
    <w:rsid w:val="1F5749F8"/>
    <w:rsid w:val="1F574E9B"/>
    <w:rsid w:val="1F585875"/>
    <w:rsid w:val="1F585CFC"/>
    <w:rsid w:val="1F59377E"/>
    <w:rsid w:val="1F596413"/>
    <w:rsid w:val="1F5B33FE"/>
    <w:rsid w:val="1F5B6C81"/>
    <w:rsid w:val="1F5C4703"/>
    <w:rsid w:val="1F5D2184"/>
    <w:rsid w:val="1F5E18DF"/>
    <w:rsid w:val="1F5E4382"/>
    <w:rsid w:val="1F5E7C06"/>
    <w:rsid w:val="1F5F247E"/>
    <w:rsid w:val="1F5F4E35"/>
    <w:rsid w:val="1F5F550C"/>
    <w:rsid w:val="1F5F56C1"/>
    <w:rsid w:val="1F6043F4"/>
    <w:rsid w:val="1F607885"/>
    <w:rsid w:val="1F612D89"/>
    <w:rsid w:val="1F613BBB"/>
    <w:rsid w:val="1F615307"/>
    <w:rsid w:val="1F62080A"/>
    <w:rsid w:val="1F62660C"/>
    <w:rsid w:val="1F63628C"/>
    <w:rsid w:val="1F641B0F"/>
    <w:rsid w:val="1F643D0D"/>
    <w:rsid w:val="1F657590"/>
    <w:rsid w:val="1F665012"/>
    <w:rsid w:val="1F667210"/>
    <w:rsid w:val="1F674C92"/>
    <w:rsid w:val="1F681363"/>
    <w:rsid w:val="1F682713"/>
    <w:rsid w:val="1F690195"/>
    <w:rsid w:val="1F693A18"/>
    <w:rsid w:val="1F6A149A"/>
    <w:rsid w:val="1F6A5C17"/>
    <w:rsid w:val="1F6B347B"/>
    <w:rsid w:val="1F6B3698"/>
    <w:rsid w:val="1F6C111A"/>
    <w:rsid w:val="1F6C3E55"/>
    <w:rsid w:val="1F6C401A"/>
    <w:rsid w:val="1F6D241E"/>
    <w:rsid w:val="1F6E461D"/>
    <w:rsid w:val="1F6E7EA0"/>
    <w:rsid w:val="1F6F209E"/>
    <w:rsid w:val="1F6F5922"/>
    <w:rsid w:val="1F7033A3"/>
    <w:rsid w:val="1F705077"/>
    <w:rsid w:val="1F70522D"/>
    <w:rsid w:val="1F7074E6"/>
    <w:rsid w:val="1F707B20"/>
    <w:rsid w:val="1F7155A1"/>
    <w:rsid w:val="1F720A5F"/>
    <w:rsid w:val="1F723023"/>
    <w:rsid w:val="1F730AA4"/>
    <w:rsid w:val="1F7317C2"/>
    <w:rsid w:val="1F734328"/>
    <w:rsid w:val="1F753FA8"/>
    <w:rsid w:val="1F75782B"/>
    <w:rsid w:val="1F7638D9"/>
    <w:rsid w:val="1F7774AB"/>
    <w:rsid w:val="1F796231"/>
    <w:rsid w:val="1F7A5163"/>
    <w:rsid w:val="1F7A5EB1"/>
    <w:rsid w:val="1F7A63CB"/>
    <w:rsid w:val="1F7B3932"/>
    <w:rsid w:val="1F7C71B6"/>
    <w:rsid w:val="1F7D031E"/>
    <w:rsid w:val="1F7D0EBD"/>
    <w:rsid w:val="1F7D4C37"/>
    <w:rsid w:val="1F7D6E36"/>
    <w:rsid w:val="1F7E1A5B"/>
    <w:rsid w:val="1F7E26B9"/>
    <w:rsid w:val="1F7E7F2B"/>
    <w:rsid w:val="1F7F013A"/>
    <w:rsid w:val="1F7F2436"/>
    <w:rsid w:val="1F803199"/>
    <w:rsid w:val="1F805BBC"/>
    <w:rsid w:val="1F8110BF"/>
    <w:rsid w:val="1F8232BD"/>
    <w:rsid w:val="1F8350EC"/>
    <w:rsid w:val="1F8352B0"/>
    <w:rsid w:val="1F842044"/>
    <w:rsid w:val="1F845C8A"/>
    <w:rsid w:val="1F857AC5"/>
    <w:rsid w:val="1F867203"/>
    <w:rsid w:val="1F877BDE"/>
    <w:rsid w:val="1F880A4A"/>
    <w:rsid w:val="1F89574A"/>
    <w:rsid w:val="1F8A3F4D"/>
    <w:rsid w:val="1F8B2894"/>
    <w:rsid w:val="1F8B34B5"/>
    <w:rsid w:val="1F8C2708"/>
    <w:rsid w:val="1F8C3E0D"/>
    <w:rsid w:val="1F8C7450"/>
    <w:rsid w:val="1F8C74AA"/>
    <w:rsid w:val="1F8D1B11"/>
    <w:rsid w:val="1F8D4ED2"/>
    <w:rsid w:val="1F8E2953"/>
    <w:rsid w:val="1F8F03D5"/>
    <w:rsid w:val="1F905E56"/>
    <w:rsid w:val="1F91749D"/>
    <w:rsid w:val="1F92003C"/>
    <w:rsid w:val="1F920200"/>
    <w:rsid w:val="1F921359"/>
    <w:rsid w:val="1F936DDB"/>
    <w:rsid w:val="1F94485C"/>
    <w:rsid w:val="1F962B2D"/>
    <w:rsid w:val="1F962CF2"/>
    <w:rsid w:val="1F967D60"/>
    <w:rsid w:val="1F990CE4"/>
    <w:rsid w:val="1F996766"/>
    <w:rsid w:val="1F996A3F"/>
    <w:rsid w:val="1F9A0B31"/>
    <w:rsid w:val="1F9A41E7"/>
    <w:rsid w:val="1F9B4659"/>
    <w:rsid w:val="1F9B4B7A"/>
    <w:rsid w:val="1F9B4EE5"/>
    <w:rsid w:val="1F9C76EA"/>
    <w:rsid w:val="1F9D516C"/>
    <w:rsid w:val="1F9F6471"/>
    <w:rsid w:val="1FA03EF2"/>
    <w:rsid w:val="1FA060F1"/>
    <w:rsid w:val="1FA11974"/>
    <w:rsid w:val="1FA13150"/>
    <w:rsid w:val="1FA173F5"/>
    <w:rsid w:val="1FA20D6F"/>
    <w:rsid w:val="1FA328F8"/>
    <w:rsid w:val="1FA37075"/>
    <w:rsid w:val="1FA67FFA"/>
    <w:rsid w:val="1FA712FF"/>
    <w:rsid w:val="1FA75A7B"/>
    <w:rsid w:val="1FA802B9"/>
    <w:rsid w:val="1FA807DA"/>
    <w:rsid w:val="1FA834FD"/>
    <w:rsid w:val="1FA971A1"/>
    <w:rsid w:val="1FAA2283"/>
    <w:rsid w:val="1FAA65AA"/>
    <w:rsid w:val="1FAA6A00"/>
    <w:rsid w:val="1FAB284B"/>
    <w:rsid w:val="1FAB2A10"/>
    <w:rsid w:val="1FAB4482"/>
    <w:rsid w:val="1FAC5786"/>
    <w:rsid w:val="1FAD3208"/>
    <w:rsid w:val="1FAE0C8A"/>
    <w:rsid w:val="1FAF5501"/>
    <w:rsid w:val="1FB00909"/>
    <w:rsid w:val="1FB060A0"/>
    <w:rsid w:val="1FB11C0E"/>
    <w:rsid w:val="1FB13E0C"/>
    <w:rsid w:val="1FB1638B"/>
    <w:rsid w:val="1FB2188E"/>
    <w:rsid w:val="1FB35111"/>
    <w:rsid w:val="1FB37FF3"/>
    <w:rsid w:val="1FB50614"/>
    <w:rsid w:val="1FB52813"/>
    <w:rsid w:val="1FB60294"/>
    <w:rsid w:val="1FB66096"/>
    <w:rsid w:val="1FB810F2"/>
    <w:rsid w:val="1FB83797"/>
    <w:rsid w:val="1FB91219"/>
    <w:rsid w:val="1FB94A9C"/>
    <w:rsid w:val="1FB94DC1"/>
    <w:rsid w:val="1FBB471C"/>
    <w:rsid w:val="1FBB7F9F"/>
    <w:rsid w:val="1FBC09B0"/>
    <w:rsid w:val="1FBC1997"/>
    <w:rsid w:val="1FBD34A2"/>
    <w:rsid w:val="1FBD78B3"/>
    <w:rsid w:val="1FBD7C1F"/>
    <w:rsid w:val="1FBE56A1"/>
    <w:rsid w:val="1FBF0FF0"/>
    <w:rsid w:val="1FBF3122"/>
    <w:rsid w:val="1FC04427"/>
    <w:rsid w:val="1FC22F43"/>
    <w:rsid w:val="1FC240A7"/>
    <w:rsid w:val="1FC31B28"/>
    <w:rsid w:val="1FC508AF"/>
    <w:rsid w:val="1FC5502B"/>
    <w:rsid w:val="1FC62AAD"/>
    <w:rsid w:val="1FC644C7"/>
    <w:rsid w:val="1FC7052F"/>
    <w:rsid w:val="1FC73564"/>
    <w:rsid w:val="1FC73662"/>
    <w:rsid w:val="1FC77337"/>
    <w:rsid w:val="1FC85FB0"/>
    <w:rsid w:val="1FC908AF"/>
    <w:rsid w:val="1FC93A32"/>
    <w:rsid w:val="1FC972B5"/>
    <w:rsid w:val="1FCA144E"/>
    <w:rsid w:val="1FCB27B8"/>
    <w:rsid w:val="1FCC023A"/>
    <w:rsid w:val="1FCC2438"/>
    <w:rsid w:val="1FCD5CBB"/>
    <w:rsid w:val="1FCE3F40"/>
    <w:rsid w:val="1FCE593B"/>
    <w:rsid w:val="1FCF33BD"/>
    <w:rsid w:val="1FCF4ADF"/>
    <w:rsid w:val="1FCF567D"/>
    <w:rsid w:val="1FD00E3E"/>
    <w:rsid w:val="1FD06C40"/>
    <w:rsid w:val="1FD16A32"/>
    <w:rsid w:val="1FD22143"/>
    <w:rsid w:val="1FD37C06"/>
    <w:rsid w:val="1FD40D0E"/>
    <w:rsid w:val="1FD430C8"/>
    <w:rsid w:val="1FD50B49"/>
    <w:rsid w:val="1FD516E8"/>
    <w:rsid w:val="1FD60AE9"/>
    <w:rsid w:val="1FD620C2"/>
    <w:rsid w:val="1FD62287"/>
    <w:rsid w:val="1FD62D47"/>
    <w:rsid w:val="1FD665CB"/>
    <w:rsid w:val="1FD81ACE"/>
    <w:rsid w:val="1FD8624A"/>
    <w:rsid w:val="1FD93CCC"/>
    <w:rsid w:val="1FDA4F3D"/>
    <w:rsid w:val="1FDB71CF"/>
    <w:rsid w:val="1FDC4C51"/>
    <w:rsid w:val="1FDC64B6"/>
    <w:rsid w:val="1FDD26D2"/>
    <w:rsid w:val="1FDD5F55"/>
    <w:rsid w:val="1FDF1459"/>
    <w:rsid w:val="1FE03657"/>
    <w:rsid w:val="1FE06EDA"/>
    <w:rsid w:val="1FE1428B"/>
    <w:rsid w:val="1FE1495C"/>
    <w:rsid w:val="1FE30A3F"/>
    <w:rsid w:val="1FE37E5F"/>
    <w:rsid w:val="1FE44638"/>
    <w:rsid w:val="1FE47ADF"/>
    <w:rsid w:val="1FE526F9"/>
    <w:rsid w:val="1FE53362"/>
    <w:rsid w:val="1FE55560"/>
    <w:rsid w:val="1FE60DE3"/>
    <w:rsid w:val="1FE65BB1"/>
    <w:rsid w:val="1FE7539E"/>
    <w:rsid w:val="1FE842E7"/>
    <w:rsid w:val="1FE864E5"/>
    <w:rsid w:val="1FE91D68"/>
    <w:rsid w:val="1FE93F66"/>
    <w:rsid w:val="1FE97CC8"/>
    <w:rsid w:val="1FEA526B"/>
    <w:rsid w:val="1FEA77EA"/>
    <w:rsid w:val="1FEC076E"/>
    <w:rsid w:val="1FEC297E"/>
    <w:rsid w:val="1FED3359"/>
    <w:rsid w:val="1FED4BA9"/>
    <w:rsid w:val="1FED61F0"/>
    <w:rsid w:val="1FEE3C71"/>
    <w:rsid w:val="1FEE3EF7"/>
    <w:rsid w:val="1FEF48D2"/>
    <w:rsid w:val="1FF07174"/>
    <w:rsid w:val="1FF11AC7"/>
    <w:rsid w:val="1FF269E9"/>
    <w:rsid w:val="1FF342D8"/>
    <w:rsid w:val="1FF45B7B"/>
    <w:rsid w:val="1FF535FC"/>
    <w:rsid w:val="1FF76AFF"/>
    <w:rsid w:val="1FF8283C"/>
    <w:rsid w:val="1FF92002"/>
    <w:rsid w:val="1FF94191"/>
    <w:rsid w:val="1FF94356"/>
    <w:rsid w:val="1FFA4EF4"/>
    <w:rsid w:val="1FFA7A84"/>
    <w:rsid w:val="1FFB5506"/>
    <w:rsid w:val="1FFC2F87"/>
    <w:rsid w:val="1FFC62A9"/>
    <w:rsid w:val="1FFC646D"/>
    <w:rsid w:val="1FFD6E47"/>
    <w:rsid w:val="1FFE648A"/>
    <w:rsid w:val="1FFE76C5"/>
    <w:rsid w:val="1FFE79E6"/>
    <w:rsid w:val="2000198D"/>
    <w:rsid w:val="20005323"/>
    <w:rsid w:val="200059F9"/>
    <w:rsid w:val="20011AFD"/>
    <w:rsid w:val="20022912"/>
    <w:rsid w:val="20030393"/>
    <w:rsid w:val="20033076"/>
    <w:rsid w:val="20053897"/>
    <w:rsid w:val="20076707"/>
    <w:rsid w:val="20076D9A"/>
    <w:rsid w:val="2008261D"/>
    <w:rsid w:val="200854A4"/>
    <w:rsid w:val="2009009E"/>
    <w:rsid w:val="2009229D"/>
    <w:rsid w:val="20097E44"/>
    <w:rsid w:val="200A35A2"/>
    <w:rsid w:val="200A5B20"/>
    <w:rsid w:val="200A7D1E"/>
    <w:rsid w:val="200B1023"/>
    <w:rsid w:val="200C6CE6"/>
    <w:rsid w:val="200D0CA3"/>
    <w:rsid w:val="200D4526"/>
    <w:rsid w:val="200E0542"/>
    <w:rsid w:val="200E0DCE"/>
    <w:rsid w:val="200E1FA8"/>
    <w:rsid w:val="200E34D5"/>
    <w:rsid w:val="200F7274"/>
    <w:rsid w:val="200F7A29"/>
    <w:rsid w:val="20101C28"/>
    <w:rsid w:val="201054AB"/>
    <w:rsid w:val="201155EC"/>
    <w:rsid w:val="201176A9"/>
    <w:rsid w:val="201209AE"/>
    <w:rsid w:val="20136430"/>
    <w:rsid w:val="20136B65"/>
    <w:rsid w:val="2014062E"/>
    <w:rsid w:val="20151933"/>
    <w:rsid w:val="20163B31"/>
    <w:rsid w:val="201673B4"/>
    <w:rsid w:val="201715B2"/>
    <w:rsid w:val="20174E36"/>
    <w:rsid w:val="20177779"/>
    <w:rsid w:val="201828B7"/>
    <w:rsid w:val="20187034"/>
    <w:rsid w:val="201A2537"/>
    <w:rsid w:val="201B4EAC"/>
    <w:rsid w:val="201B5A3A"/>
    <w:rsid w:val="201C3E17"/>
    <w:rsid w:val="201C5886"/>
    <w:rsid w:val="201D0F3D"/>
    <w:rsid w:val="201E47C1"/>
    <w:rsid w:val="201E69BF"/>
    <w:rsid w:val="201F2242"/>
    <w:rsid w:val="201F4F4E"/>
    <w:rsid w:val="201F799D"/>
    <w:rsid w:val="201F7B62"/>
    <w:rsid w:val="20215745"/>
    <w:rsid w:val="20217943"/>
    <w:rsid w:val="20220C48"/>
    <w:rsid w:val="202231C7"/>
    <w:rsid w:val="202366CA"/>
    <w:rsid w:val="20243BCC"/>
    <w:rsid w:val="2025634A"/>
    <w:rsid w:val="20263DCB"/>
    <w:rsid w:val="202872CE"/>
    <w:rsid w:val="20294D50"/>
    <w:rsid w:val="202A27D1"/>
    <w:rsid w:val="202A5D88"/>
    <w:rsid w:val="202B3AD6"/>
    <w:rsid w:val="202B54FC"/>
    <w:rsid w:val="202C5CD5"/>
    <w:rsid w:val="202D1D4F"/>
    <w:rsid w:val="202D3756"/>
    <w:rsid w:val="202D6FD9"/>
    <w:rsid w:val="202E28ED"/>
    <w:rsid w:val="202E4A5B"/>
    <w:rsid w:val="202F24DC"/>
    <w:rsid w:val="202F6C59"/>
    <w:rsid w:val="20303E66"/>
    <w:rsid w:val="203046DB"/>
    <w:rsid w:val="20307F5E"/>
    <w:rsid w:val="203155A4"/>
    <w:rsid w:val="20323461"/>
    <w:rsid w:val="20325F7E"/>
    <w:rsid w:val="20327BDE"/>
    <w:rsid w:val="203330E1"/>
    <w:rsid w:val="20340B62"/>
    <w:rsid w:val="20346964"/>
    <w:rsid w:val="203474F7"/>
    <w:rsid w:val="203565E4"/>
    <w:rsid w:val="20366318"/>
    <w:rsid w:val="203778E9"/>
    <w:rsid w:val="203821AD"/>
    <w:rsid w:val="20382371"/>
    <w:rsid w:val="20387569"/>
    <w:rsid w:val="203903AF"/>
    <w:rsid w:val="20394FEA"/>
    <w:rsid w:val="203A2A6C"/>
    <w:rsid w:val="203A3726"/>
    <w:rsid w:val="203A62EF"/>
    <w:rsid w:val="203B3D71"/>
    <w:rsid w:val="203B4489"/>
    <w:rsid w:val="203C17F2"/>
    <w:rsid w:val="203C5F6F"/>
    <w:rsid w:val="203D39F0"/>
    <w:rsid w:val="203D583D"/>
    <w:rsid w:val="203E1472"/>
    <w:rsid w:val="203E4CF5"/>
    <w:rsid w:val="203E6F7B"/>
    <w:rsid w:val="203F6EF4"/>
    <w:rsid w:val="204001F8"/>
    <w:rsid w:val="20415C7A"/>
    <w:rsid w:val="2043117D"/>
    <w:rsid w:val="204358FA"/>
    <w:rsid w:val="20446BFF"/>
    <w:rsid w:val="20454680"/>
    <w:rsid w:val="20462102"/>
    <w:rsid w:val="20464723"/>
    <w:rsid w:val="2046687E"/>
    <w:rsid w:val="20474300"/>
    <w:rsid w:val="20477B83"/>
    <w:rsid w:val="2049683A"/>
    <w:rsid w:val="20497803"/>
    <w:rsid w:val="204A0B08"/>
    <w:rsid w:val="204B0952"/>
    <w:rsid w:val="204B2D06"/>
    <w:rsid w:val="204C6209"/>
    <w:rsid w:val="204D1A8C"/>
    <w:rsid w:val="204E750E"/>
    <w:rsid w:val="204F4F90"/>
    <w:rsid w:val="204F718E"/>
    <w:rsid w:val="20502A11"/>
    <w:rsid w:val="20503FE2"/>
    <w:rsid w:val="20510493"/>
    <w:rsid w:val="20525F14"/>
    <w:rsid w:val="20531417"/>
    <w:rsid w:val="20533996"/>
    <w:rsid w:val="20533D65"/>
    <w:rsid w:val="205360FA"/>
    <w:rsid w:val="20546AD4"/>
    <w:rsid w:val="20546CE1"/>
    <w:rsid w:val="20546E99"/>
    <w:rsid w:val="2056239C"/>
    <w:rsid w:val="20570DB0"/>
    <w:rsid w:val="20577E1E"/>
    <w:rsid w:val="205920E7"/>
    <w:rsid w:val="20592D03"/>
    <w:rsid w:val="20592EC7"/>
    <w:rsid w:val="20593321"/>
    <w:rsid w:val="205A0DA2"/>
    <w:rsid w:val="205B4440"/>
    <w:rsid w:val="205B6824"/>
    <w:rsid w:val="205C42A5"/>
    <w:rsid w:val="205D1D27"/>
    <w:rsid w:val="205E6393"/>
    <w:rsid w:val="205E77A8"/>
    <w:rsid w:val="205F522A"/>
    <w:rsid w:val="20602CAB"/>
    <w:rsid w:val="206104AB"/>
    <w:rsid w:val="2061072D"/>
    <w:rsid w:val="20620D45"/>
    <w:rsid w:val="206261AF"/>
    <w:rsid w:val="20631A24"/>
    <w:rsid w:val="20642787"/>
    <w:rsid w:val="20653161"/>
    <w:rsid w:val="20656F2E"/>
    <w:rsid w:val="20657133"/>
    <w:rsid w:val="206646DA"/>
    <w:rsid w:val="20671BE0"/>
    <w:rsid w:val="206800B8"/>
    <w:rsid w:val="20685E17"/>
    <w:rsid w:val="20695B39"/>
    <w:rsid w:val="206A35BB"/>
    <w:rsid w:val="206A7390"/>
    <w:rsid w:val="206B103D"/>
    <w:rsid w:val="206B48C0"/>
    <w:rsid w:val="206C2341"/>
    <w:rsid w:val="206C4540"/>
    <w:rsid w:val="206D1FC1"/>
    <w:rsid w:val="206D7DC3"/>
    <w:rsid w:val="206E2046"/>
    <w:rsid w:val="206E5844"/>
    <w:rsid w:val="206E7A43"/>
    <w:rsid w:val="206F32C6"/>
    <w:rsid w:val="207033FB"/>
    <w:rsid w:val="207167C9"/>
    <w:rsid w:val="2072424B"/>
    <w:rsid w:val="20726449"/>
    <w:rsid w:val="20731CCC"/>
    <w:rsid w:val="20733ECA"/>
    <w:rsid w:val="20734209"/>
    <w:rsid w:val="207356D7"/>
    <w:rsid w:val="207402A9"/>
    <w:rsid w:val="20740980"/>
    <w:rsid w:val="207500F4"/>
    <w:rsid w:val="20752C51"/>
    <w:rsid w:val="207573CE"/>
    <w:rsid w:val="207574FD"/>
    <w:rsid w:val="207577EE"/>
    <w:rsid w:val="207606D2"/>
    <w:rsid w:val="20764E4F"/>
    <w:rsid w:val="20766FDC"/>
    <w:rsid w:val="207728D1"/>
    <w:rsid w:val="20776154"/>
    <w:rsid w:val="20780352"/>
    <w:rsid w:val="207922E0"/>
    <w:rsid w:val="20795DD4"/>
    <w:rsid w:val="207A3855"/>
    <w:rsid w:val="207A70D9"/>
    <w:rsid w:val="207B12D7"/>
    <w:rsid w:val="207B4B5A"/>
    <w:rsid w:val="207C6D58"/>
    <w:rsid w:val="207D47DA"/>
    <w:rsid w:val="207E0522"/>
    <w:rsid w:val="207E225C"/>
    <w:rsid w:val="207E5971"/>
    <w:rsid w:val="207F7CDD"/>
    <w:rsid w:val="20800FE2"/>
    <w:rsid w:val="2080575F"/>
    <w:rsid w:val="20821001"/>
    <w:rsid w:val="208211C5"/>
    <w:rsid w:val="20822FA7"/>
    <w:rsid w:val="208244E5"/>
    <w:rsid w:val="20831F67"/>
    <w:rsid w:val="20832566"/>
    <w:rsid w:val="20841BE6"/>
    <w:rsid w:val="2084257A"/>
    <w:rsid w:val="208479E8"/>
    <w:rsid w:val="20857668"/>
    <w:rsid w:val="20862EEB"/>
    <w:rsid w:val="20863AF3"/>
    <w:rsid w:val="20863CB7"/>
    <w:rsid w:val="2087096D"/>
    <w:rsid w:val="20872B6B"/>
    <w:rsid w:val="20874856"/>
    <w:rsid w:val="20876F6E"/>
    <w:rsid w:val="208805ED"/>
    <w:rsid w:val="208A696D"/>
    <w:rsid w:val="208B1571"/>
    <w:rsid w:val="208B4DF4"/>
    <w:rsid w:val="208B7373"/>
    <w:rsid w:val="208C7D22"/>
    <w:rsid w:val="208D0A85"/>
    <w:rsid w:val="208D4A74"/>
    <w:rsid w:val="208E24F6"/>
    <w:rsid w:val="208E5D79"/>
    <w:rsid w:val="208F37FB"/>
    <w:rsid w:val="2090127C"/>
    <w:rsid w:val="2090637B"/>
    <w:rsid w:val="2091347B"/>
    <w:rsid w:val="20920EFC"/>
    <w:rsid w:val="20924AF0"/>
    <w:rsid w:val="2093697E"/>
    <w:rsid w:val="20951E81"/>
    <w:rsid w:val="20955704"/>
    <w:rsid w:val="20956C07"/>
    <w:rsid w:val="20963186"/>
    <w:rsid w:val="20963CB8"/>
    <w:rsid w:val="20967902"/>
    <w:rsid w:val="20970180"/>
    <w:rsid w:val="20970C07"/>
    <w:rsid w:val="20975384"/>
    <w:rsid w:val="20980D1F"/>
    <w:rsid w:val="20982E05"/>
    <w:rsid w:val="2099410A"/>
    <w:rsid w:val="209A2298"/>
    <w:rsid w:val="209A6308"/>
    <w:rsid w:val="209B180C"/>
    <w:rsid w:val="209B3D8A"/>
    <w:rsid w:val="209C508F"/>
    <w:rsid w:val="209C728D"/>
    <w:rsid w:val="209D4F4E"/>
    <w:rsid w:val="209E0592"/>
    <w:rsid w:val="209E4D89"/>
    <w:rsid w:val="209F07ED"/>
    <w:rsid w:val="209F6013"/>
    <w:rsid w:val="209F64C7"/>
    <w:rsid w:val="20A05C93"/>
    <w:rsid w:val="20A06EA1"/>
    <w:rsid w:val="20A13715"/>
    <w:rsid w:val="20A15D31"/>
    <w:rsid w:val="20A17A40"/>
    <w:rsid w:val="20A2041A"/>
    <w:rsid w:val="20A21196"/>
    <w:rsid w:val="20A3117D"/>
    <w:rsid w:val="20A34A1A"/>
    <w:rsid w:val="20A36C18"/>
    <w:rsid w:val="20A41B57"/>
    <w:rsid w:val="20A5211B"/>
    <w:rsid w:val="20A63420"/>
    <w:rsid w:val="20A70EA1"/>
    <w:rsid w:val="20A81A1B"/>
    <w:rsid w:val="20A830A0"/>
    <w:rsid w:val="20A8480D"/>
    <w:rsid w:val="20A90B21"/>
    <w:rsid w:val="20A943A5"/>
    <w:rsid w:val="20A951E7"/>
    <w:rsid w:val="20AA5D86"/>
    <w:rsid w:val="20AB4024"/>
    <w:rsid w:val="20AB78A8"/>
    <w:rsid w:val="20AC1AA6"/>
    <w:rsid w:val="20AC5329"/>
    <w:rsid w:val="20AC7E9E"/>
    <w:rsid w:val="20AD0878"/>
    <w:rsid w:val="20AD2DAB"/>
    <w:rsid w:val="20AF0D9B"/>
    <w:rsid w:val="20AF1DF1"/>
    <w:rsid w:val="20AF2A2B"/>
    <w:rsid w:val="20B03D2F"/>
    <w:rsid w:val="20B07FB6"/>
    <w:rsid w:val="20B117B1"/>
    <w:rsid w:val="20B1352E"/>
    <w:rsid w:val="20B15F2E"/>
    <w:rsid w:val="20B214F5"/>
    <w:rsid w:val="20B239AF"/>
    <w:rsid w:val="20B27232"/>
    <w:rsid w:val="20B31431"/>
    <w:rsid w:val="20B34CB4"/>
    <w:rsid w:val="20B46EB2"/>
    <w:rsid w:val="20B501B7"/>
    <w:rsid w:val="20B561E4"/>
    <w:rsid w:val="20B646FB"/>
    <w:rsid w:val="20B65C39"/>
    <w:rsid w:val="20B66BBF"/>
    <w:rsid w:val="20B736BA"/>
    <w:rsid w:val="20B758B9"/>
    <w:rsid w:val="20B8113C"/>
    <w:rsid w:val="20B90CD6"/>
    <w:rsid w:val="20B96BBD"/>
    <w:rsid w:val="20BA1993"/>
    <w:rsid w:val="20BA463F"/>
    <w:rsid w:val="20BC4690"/>
    <w:rsid w:val="20BC55C4"/>
    <w:rsid w:val="20BC7B42"/>
    <w:rsid w:val="20BD3045"/>
    <w:rsid w:val="20BD38E3"/>
    <w:rsid w:val="20BD4367"/>
    <w:rsid w:val="20BE0AC7"/>
    <w:rsid w:val="20BE4F05"/>
    <w:rsid w:val="20BF2615"/>
    <w:rsid w:val="20BF6548"/>
    <w:rsid w:val="20C0056A"/>
    <w:rsid w:val="20C03FCA"/>
    <w:rsid w:val="20C40F70"/>
    <w:rsid w:val="20C41134"/>
    <w:rsid w:val="20C429D0"/>
    <w:rsid w:val="20C626AD"/>
    <w:rsid w:val="20C65ED3"/>
    <w:rsid w:val="20C71F84"/>
    <w:rsid w:val="20C73C26"/>
    <w:rsid w:val="20C813D6"/>
    <w:rsid w:val="20C96E58"/>
    <w:rsid w:val="20CB6E6D"/>
    <w:rsid w:val="20CC60C0"/>
    <w:rsid w:val="20CD585E"/>
    <w:rsid w:val="20CE32DF"/>
    <w:rsid w:val="20CF0D61"/>
    <w:rsid w:val="20CF13CE"/>
    <w:rsid w:val="20CF1592"/>
    <w:rsid w:val="20D01F6D"/>
    <w:rsid w:val="20D067E3"/>
    <w:rsid w:val="20D07F44"/>
    <w:rsid w:val="20D17AE7"/>
    <w:rsid w:val="20D25569"/>
    <w:rsid w:val="20D32FEA"/>
    <w:rsid w:val="20D37767"/>
    <w:rsid w:val="20D37B82"/>
    <w:rsid w:val="20D40A6C"/>
    <w:rsid w:val="20D42C6A"/>
    <w:rsid w:val="20D44A5E"/>
    <w:rsid w:val="20D5619C"/>
    <w:rsid w:val="20D719F1"/>
    <w:rsid w:val="20D919B5"/>
    <w:rsid w:val="20D970F2"/>
    <w:rsid w:val="20DA2975"/>
    <w:rsid w:val="20DA4B74"/>
    <w:rsid w:val="20DB01C7"/>
    <w:rsid w:val="20DB03F7"/>
    <w:rsid w:val="20DB793B"/>
    <w:rsid w:val="20DC0077"/>
    <w:rsid w:val="20DC5E78"/>
    <w:rsid w:val="20DD137B"/>
    <w:rsid w:val="20DE44E2"/>
    <w:rsid w:val="20DE6DFD"/>
    <w:rsid w:val="20DF0FFB"/>
    <w:rsid w:val="20E02300"/>
    <w:rsid w:val="20E25803"/>
    <w:rsid w:val="20E26FD4"/>
    <w:rsid w:val="20E30711"/>
    <w:rsid w:val="20E33285"/>
    <w:rsid w:val="20E37A02"/>
    <w:rsid w:val="20E51C8A"/>
    <w:rsid w:val="20E56788"/>
    <w:rsid w:val="20E833E5"/>
    <w:rsid w:val="20E83E27"/>
    <w:rsid w:val="20E8770D"/>
    <w:rsid w:val="20E9190B"/>
    <w:rsid w:val="20E92EC4"/>
    <w:rsid w:val="20E9518E"/>
    <w:rsid w:val="20EA1F62"/>
    <w:rsid w:val="20EA2C10"/>
    <w:rsid w:val="20EB0691"/>
    <w:rsid w:val="20EB4E0E"/>
    <w:rsid w:val="20EB5CF5"/>
    <w:rsid w:val="20EC288F"/>
    <w:rsid w:val="20ED5D93"/>
    <w:rsid w:val="20EE1616"/>
    <w:rsid w:val="20EE3814"/>
    <w:rsid w:val="20EF7097"/>
    <w:rsid w:val="20F06D17"/>
    <w:rsid w:val="20F1259A"/>
    <w:rsid w:val="20F14799"/>
    <w:rsid w:val="20F2221A"/>
    <w:rsid w:val="20F358C8"/>
    <w:rsid w:val="20F4351F"/>
    <w:rsid w:val="20F44BDA"/>
    <w:rsid w:val="20F4571D"/>
    <w:rsid w:val="20F5319F"/>
    <w:rsid w:val="20F60C21"/>
    <w:rsid w:val="20F766A2"/>
    <w:rsid w:val="20F84069"/>
    <w:rsid w:val="20F848F5"/>
    <w:rsid w:val="20F879A7"/>
    <w:rsid w:val="20FA0C45"/>
    <w:rsid w:val="20FB092C"/>
    <w:rsid w:val="20FB50A8"/>
    <w:rsid w:val="20FC2B2A"/>
    <w:rsid w:val="20FD05AB"/>
    <w:rsid w:val="20FD38FB"/>
    <w:rsid w:val="20FD3E2F"/>
    <w:rsid w:val="20FE3A5D"/>
    <w:rsid w:val="20FF3AAE"/>
    <w:rsid w:val="20FF5038"/>
    <w:rsid w:val="20FF72FE"/>
    <w:rsid w:val="20FF7332"/>
    <w:rsid w:val="21004DB3"/>
    <w:rsid w:val="21012835"/>
    <w:rsid w:val="210163ED"/>
    <w:rsid w:val="21016FB2"/>
    <w:rsid w:val="210202B6"/>
    <w:rsid w:val="21024A33"/>
    <w:rsid w:val="21027150"/>
    <w:rsid w:val="21035D38"/>
    <w:rsid w:val="21040504"/>
    <w:rsid w:val="21040C2B"/>
    <w:rsid w:val="210459B8"/>
    <w:rsid w:val="21047F36"/>
    <w:rsid w:val="210508C0"/>
    <w:rsid w:val="21060EBB"/>
    <w:rsid w:val="21061C42"/>
    <w:rsid w:val="2107261C"/>
    <w:rsid w:val="210950DE"/>
    <w:rsid w:val="21097C41"/>
    <w:rsid w:val="210A48F8"/>
    <w:rsid w:val="210A56C3"/>
    <w:rsid w:val="210A78C1"/>
    <w:rsid w:val="210B3144"/>
    <w:rsid w:val="210C6647"/>
    <w:rsid w:val="210C6A10"/>
    <w:rsid w:val="210D40C9"/>
    <w:rsid w:val="210E1B4B"/>
    <w:rsid w:val="210F0963"/>
    <w:rsid w:val="21101501"/>
    <w:rsid w:val="2110504E"/>
    <w:rsid w:val="21120551"/>
    <w:rsid w:val="21122A7A"/>
    <w:rsid w:val="21124CCD"/>
    <w:rsid w:val="2113274F"/>
    <w:rsid w:val="2113309D"/>
    <w:rsid w:val="21133619"/>
    <w:rsid w:val="21143A54"/>
    <w:rsid w:val="211514D5"/>
    <w:rsid w:val="21155C52"/>
    <w:rsid w:val="211636D4"/>
    <w:rsid w:val="21166F57"/>
    <w:rsid w:val="2118245A"/>
    <w:rsid w:val="21186BD7"/>
    <w:rsid w:val="21186CA9"/>
    <w:rsid w:val="21187848"/>
    <w:rsid w:val="21194658"/>
    <w:rsid w:val="21197683"/>
    <w:rsid w:val="211A20DA"/>
    <w:rsid w:val="211B195F"/>
    <w:rsid w:val="211B33DF"/>
    <w:rsid w:val="211B7B5B"/>
    <w:rsid w:val="211C0E60"/>
    <w:rsid w:val="211C55DD"/>
    <w:rsid w:val="211D2D14"/>
    <w:rsid w:val="211E4363"/>
    <w:rsid w:val="211F1DE5"/>
    <w:rsid w:val="21207866"/>
    <w:rsid w:val="212152E8"/>
    <w:rsid w:val="2122535A"/>
    <w:rsid w:val="21226569"/>
    <w:rsid w:val="212432DF"/>
    <w:rsid w:val="21243CEE"/>
    <w:rsid w:val="212504BC"/>
    <w:rsid w:val="21251770"/>
    <w:rsid w:val="2126121F"/>
    <w:rsid w:val="212733E0"/>
    <w:rsid w:val="21290176"/>
    <w:rsid w:val="212B3679"/>
    <w:rsid w:val="212B51C4"/>
    <w:rsid w:val="212C10FB"/>
    <w:rsid w:val="212D6B7C"/>
    <w:rsid w:val="212E45FE"/>
    <w:rsid w:val="21307B01"/>
    <w:rsid w:val="21323004"/>
    <w:rsid w:val="213264FE"/>
    <w:rsid w:val="21327919"/>
    <w:rsid w:val="21330A85"/>
    <w:rsid w:val="21332BF6"/>
    <w:rsid w:val="21346507"/>
    <w:rsid w:val="21353FAA"/>
    <w:rsid w:val="213656E8"/>
    <w:rsid w:val="21396212"/>
    <w:rsid w:val="2139763B"/>
    <w:rsid w:val="213977FF"/>
    <w:rsid w:val="213A0410"/>
    <w:rsid w:val="213B74B1"/>
    <w:rsid w:val="213C7197"/>
    <w:rsid w:val="213D22F1"/>
    <w:rsid w:val="213D24B6"/>
    <w:rsid w:val="213D4C18"/>
    <w:rsid w:val="213D6E16"/>
    <w:rsid w:val="213E2781"/>
    <w:rsid w:val="213E2CCB"/>
    <w:rsid w:val="213E2E90"/>
    <w:rsid w:val="213E4898"/>
    <w:rsid w:val="213F011B"/>
    <w:rsid w:val="213F386A"/>
    <w:rsid w:val="21400605"/>
    <w:rsid w:val="21400970"/>
    <w:rsid w:val="21405B9D"/>
    <w:rsid w:val="21407D9B"/>
    <w:rsid w:val="2141361E"/>
    <w:rsid w:val="21414DE3"/>
    <w:rsid w:val="214152F7"/>
    <w:rsid w:val="2141581D"/>
    <w:rsid w:val="214210A0"/>
    <w:rsid w:val="2142329E"/>
    <w:rsid w:val="21426520"/>
    <w:rsid w:val="21430D20"/>
    <w:rsid w:val="214467A1"/>
    <w:rsid w:val="21454223"/>
    <w:rsid w:val="21454B5C"/>
    <w:rsid w:val="21457AA6"/>
    <w:rsid w:val="21461012"/>
    <w:rsid w:val="214611D6"/>
    <w:rsid w:val="21461CA4"/>
    <w:rsid w:val="21465528"/>
    <w:rsid w:val="21472FA9"/>
    <w:rsid w:val="21477726"/>
    <w:rsid w:val="21480A2B"/>
    <w:rsid w:val="214851A7"/>
    <w:rsid w:val="21491AF3"/>
    <w:rsid w:val="21492C29"/>
    <w:rsid w:val="2149312A"/>
    <w:rsid w:val="214A3F2E"/>
    <w:rsid w:val="214B612C"/>
    <w:rsid w:val="214C3BAE"/>
    <w:rsid w:val="214C7431"/>
    <w:rsid w:val="214D4265"/>
    <w:rsid w:val="214D4EB3"/>
    <w:rsid w:val="214E2934"/>
    <w:rsid w:val="214E3302"/>
    <w:rsid w:val="214E67BA"/>
    <w:rsid w:val="214E70B1"/>
    <w:rsid w:val="21502035"/>
    <w:rsid w:val="215025B4"/>
    <w:rsid w:val="21505E37"/>
    <w:rsid w:val="21510035"/>
    <w:rsid w:val="21525AB7"/>
    <w:rsid w:val="21533539"/>
    <w:rsid w:val="21540FBA"/>
    <w:rsid w:val="215522BF"/>
    <w:rsid w:val="21554126"/>
    <w:rsid w:val="21561F3F"/>
    <w:rsid w:val="21564CC5"/>
    <w:rsid w:val="21567D40"/>
    <w:rsid w:val="215779C0"/>
    <w:rsid w:val="21583244"/>
    <w:rsid w:val="21585442"/>
    <w:rsid w:val="2158623E"/>
    <w:rsid w:val="21596C18"/>
    <w:rsid w:val="215A2310"/>
    <w:rsid w:val="215B63C6"/>
    <w:rsid w:val="215C0EF4"/>
    <w:rsid w:val="215C1C4A"/>
    <w:rsid w:val="215D18CA"/>
    <w:rsid w:val="215D246D"/>
    <w:rsid w:val="215D514D"/>
    <w:rsid w:val="215E2E47"/>
    <w:rsid w:val="215E4812"/>
    <w:rsid w:val="215E680E"/>
    <w:rsid w:val="215E734B"/>
    <w:rsid w:val="215F4DCD"/>
    <w:rsid w:val="2160284E"/>
    <w:rsid w:val="216060D1"/>
    <w:rsid w:val="216102D0"/>
    <w:rsid w:val="21613B53"/>
    <w:rsid w:val="21614F5F"/>
    <w:rsid w:val="21625939"/>
    <w:rsid w:val="21625D51"/>
    <w:rsid w:val="216337D3"/>
    <w:rsid w:val="2163669C"/>
    <w:rsid w:val="21637056"/>
    <w:rsid w:val="21642326"/>
    <w:rsid w:val="21647076"/>
    <w:rsid w:val="21652559"/>
    <w:rsid w:val="21656CD6"/>
    <w:rsid w:val="21664758"/>
    <w:rsid w:val="21681B68"/>
    <w:rsid w:val="21687C5B"/>
    <w:rsid w:val="216956DC"/>
    <w:rsid w:val="216A315E"/>
    <w:rsid w:val="216A32A5"/>
    <w:rsid w:val="216A69E1"/>
    <w:rsid w:val="216B0BDF"/>
    <w:rsid w:val="216B4463"/>
    <w:rsid w:val="216C1EE4"/>
    <w:rsid w:val="216C6661"/>
    <w:rsid w:val="216C7510"/>
    <w:rsid w:val="216D5D97"/>
    <w:rsid w:val="216D6C84"/>
    <w:rsid w:val="216E53E7"/>
    <w:rsid w:val="216F2E69"/>
    <w:rsid w:val="216F5067"/>
    <w:rsid w:val="216F74D4"/>
    <w:rsid w:val="2171056A"/>
    <w:rsid w:val="21723DED"/>
    <w:rsid w:val="21733A6D"/>
    <w:rsid w:val="217414EF"/>
    <w:rsid w:val="217429A0"/>
    <w:rsid w:val="217472F0"/>
    <w:rsid w:val="2175353F"/>
    <w:rsid w:val="21753704"/>
    <w:rsid w:val="21754D72"/>
    <w:rsid w:val="21756F70"/>
    <w:rsid w:val="21760275"/>
    <w:rsid w:val="217640DE"/>
    <w:rsid w:val="21772473"/>
    <w:rsid w:val="21775CF7"/>
    <w:rsid w:val="21783778"/>
    <w:rsid w:val="217911FA"/>
    <w:rsid w:val="217952E8"/>
    <w:rsid w:val="21796D94"/>
    <w:rsid w:val="217C68FB"/>
    <w:rsid w:val="217D1886"/>
    <w:rsid w:val="217E1DFE"/>
    <w:rsid w:val="217E2424"/>
    <w:rsid w:val="217E5682"/>
    <w:rsid w:val="217F2DFF"/>
    <w:rsid w:val="217F3103"/>
    <w:rsid w:val="21800B85"/>
    <w:rsid w:val="21812D83"/>
    <w:rsid w:val="21820804"/>
    <w:rsid w:val="21824088"/>
    <w:rsid w:val="21824F16"/>
    <w:rsid w:val="218250DB"/>
    <w:rsid w:val="21831B09"/>
    <w:rsid w:val="21836286"/>
    <w:rsid w:val="21843D08"/>
    <w:rsid w:val="2184648F"/>
    <w:rsid w:val="2185500C"/>
    <w:rsid w:val="21862A8E"/>
    <w:rsid w:val="218705A7"/>
    <w:rsid w:val="21871145"/>
    <w:rsid w:val="21884F0C"/>
    <w:rsid w:val="21892883"/>
    <w:rsid w:val="2189415F"/>
    <w:rsid w:val="21894835"/>
    <w:rsid w:val="218A1494"/>
    <w:rsid w:val="218A2E91"/>
    <w:rsid w:val="218B3C37"/>
    <w:rsid w:val="218E591C"/>
    <w:rsid w:val="218F339D"/>
    <w:rsid w:val="219074C2"/>
    <w:rsid w:val="2192613E"/>
    <w:rsid w:val="21931DA4"/>
    <w:rsid w:val="21947825"/>
    <w:rsid w:val="219552A7"/>
    <w:rsid w:val="21962D28"/>
    <w:rsid w:val="21964095"/>
    <w:rsid w:val="2196425A"/>
    <w:rsid w:val="21967DBF"/>
    <w:rsid w:val="21974A6F"/>
    <w:rsid w:val="21976AF2"/>
    <w:rsid w:val="2197737E"/>
    <w:rsid w:val="219857D3"/>
    <w:rsid w:val="219860B0"/>
    <w:rsid w:val="2198622B"/>
    <w:rsid w:val="21993CAD"/>
    <w:rsid w:val="219A6B87"/>
    <w:rsid w:val="219B71B0"/>
    <w:rsid w:val="219B7726"/>
    <w:rsid w:val="219B78EA"/>
    <w:rsid w:val="219C02C4"/>
    <w:rsid w:val="219C4C32"/>
    <w:rsid w:val="219D0C9F"/>
    <w:rsid w:val="219D26B3"/>
    <w:rsid w:val="219D5F36"/>
    <w:rsid w:val="219E1A02"/>
    <w:rsid w:val="219E39B8"/>
    <w:rsid w:val="219F5BB6"/>
    <w:rsid w:val="21A03638"/>
    <w:rsid w:val="21A04AB9"/>
    <w:rsid w:val="21A06EBB"/>
    <w:rsid w:val="21A110B9"/>
    <w:rsid w:val="21A12149"/>
    <w:rsid w:val="21A13B19"/>
    <w:rsid w:val="21A1493D"/>
    <w:rsid w:val="21A25092"/>
    <w:rsid w:val="21A26B3B"/>
    <w:rsid w:val="21A35A6C"/>
    <w:rsid w:val="21A37E40"/>
    <w:rsid w:val="21A4259C"/>
    <w:rsid w:val="21A458C1"/>
    <w:rsid w:val="21A52231"/>
    <w:rsid w:val="21A57AC0"/>
    <w:rsid w:val="21A60A43"/>
    <w:rsid w:val="21A62FC3"/>
    <w:rsid w:val="21A65541"/>
    <w:rsid w:val="21A70722"/>
    <w:rsid w:val="21A76846"/>
    <w:rsid w:val="21A842C7"/>
    <w:rsid w:val="21A864C6"/>
    <w:rsid w:val="21A93F47"/>
    <w:rsid w:val="21AA19C9"/>
    <w:rsid w:val="21AA283A"/>
    <w:rsid w:val="21AB3214"/>
    <w:rsid w:val="21AB524C"/>
    <w:rsid w:val="21AC3BEE"/>
    <w:rsid w:val="21AC4ECC"/>
    <w:rsid w:val="21AD074F"/>
    <w:rsid w:val="21AD294D"/>
    <w:rsid w:val="21AD61D1"/>
    <w:rsid w:val="21AE03CF"/>
    <w:rsid w:val="21AE3C52"/>
    <w:rsid w:val="21AF16D4"/>
    <w:rsid w:val="21AF5E51"/>
    <w:rsid w:val="21B02F8D"/>
    <w:rsid w:val="21B07155"/>
    <w:rsid w:val="21B14BD7"/>
    <w:rsid w:val="21B20B81"/>
    <w:rsid w:val="21B300DA"/>
    <w:rsid w:val="21B52994"/>
    <w:rsid w:val="21B52B49"/>
    <w:rsid w:val="21B6105F"/>
    <w:rsid w:val="21B657DB"/>
    <w:rsid w:val="21B7325D"/>
    <w:rsid w:val="21B76AE0"/>
    <w:rsid w:val="21B84562"/>
    <w:rsid w:val="21B84BEB"/>
    <w:rsid w:val="21B955C6"/>
    <w:rsid w:val="21BA41E2"/>
    <w:rsid w:val="21BA7A65"/>
    <w:rsid w:val="21BB1C63"/>
    <w:rsid w:val="21BC76E5"/>
    <w:rsid w:val="21BD09EA"/>
    <w:rsid w:val="21BE0669"/>
    <w:rsid w:val="21BE0E1A"/>
    <w:rsid w:val="21BE2BE8"/>
    <w:rsid w:val="21BF17F5"/>
    <w:rsid w:val="21BF2393"/>
    <w:rsid w:val="21C02F32"/>
    <w:rsid w:val="21C244AB"/>
    <w:rsid w:val="21C24E71"/>
    <w:rsid w:val="21C27070"/>
    <w:rsid w:val="21C328F3"/>
    <w:rsid w:val="21C34AF1"/>
    <w:rsid w:val="21C34E85"/>
    <w:rsid w:val="21C354DC"/>
    <w:rsid w:val="21C40374"/>
    <w:rsid w:val="21C55DF6"/>
    <w:rsid w:val="21C57FF4"/>
    <w:rsid w:val="21C6111D"/>
    <w:rsid w:val="21C612F9"/>
    <w:rsid w:val="21C65A76"/>
    <w:rsid w:val="21C734F7"/>
    <w:rsid w:val="21C75CD2"/>
    <w:rsid w:val="21C76D7B"/>
    <w:rsid w:val="21C77D00"/>
    <w:rsid w:val="21C80F79"/>
    <w:rsid w:val="21C847FC"/>
    <w:rsid w:val="21C9227E"/>
    <w:rsid w:val="21CA7CFF"/>
    <w:rsid w:val="21CB3390"/>
    <w:rsid w:val="21CC3D6A"/>
    <w:rsid w:val="21CC797F"/>
    <w:rsid w:val="21CD0C84"/>
    <w:rsid w:val="21CD5401"/>
    <w:rsid w:val="21CE2E82"/>
    <w:rsid w:val="21CF4187"/>
    <w:rsid w:val="21D01C09"/>
    <w:rsid w:val="21D03C92"/>
    <w:rsid w:val="21D06385"/>
    <w:rsid w:val="21D13E07"/>
    <w:rsid w:val="21D1768A"/>
    <w:rsid w:val="21D20555"/>
    <w:rsid w:val="21D21888"/>
    <w:rsid w:val="21D2510C"/>
    <w:rsid w:val="21D270C2"/>
    <w:rsid w:val="21D27DD5"/>
    <w:rsid w:val="21D32B8D"/>
    <w:rsid w:val="21D36836"/>
    <w:rsid w:val="21D4060F"/>
    <w:rsid w:val="21D56090"/>
    <w:rsid w:val="21D6028F"/>
    <w:rsid w:val="21D63B12"/>
    <w:rsid w:val="21D65D10"/>
    <w:rsid w:val="21D71593"/>
    <w:rsid w:val="21D7362A"/>
    <w:rsid w:val="21D73792"/>
    <w:rsid w:val="21D841C9"/>
    <w:rsid w:val="21D94A96"/>
    <w:rsid w:val="21D94BA3"/>
    <w:rsid w:val="21DA2518"/>
    <w:rsid w:val="21DB1A71"/>
    <w:rsid w:val="21DB2198"/>
    <w:rsid w:val="21DB6CBA"/>
    <w:rsid w:val="21DB7F9A"/>
    <w:rsid w:val="21DC5A1B"/>
    <w:rsid w:val="21DC7C19"/>
    <w:rsid w:val="21DD03F8"/>
    <w:rsid w:val="21DD349D"/>
    <w:rsid w:val="21DD569B"/>
    <w:rsid w:val="21DE318A"/>
    <w:rsid w:val="21DE69A0"/>
    <w:rsid w:val="21DF4421"/>
    <w:rsid w:val="21E0264C"/>
    <w:rsid w:val="21E02801"/>
    <w:rsid w:val="21E06620"/>
    <w:rsid w:val="21E17924"/>
    <w:rsid w:val="21E238C4"/>
    <w:rsid w:val="21E253A6"/>
    <w:rsid w:val="21E408A9"/>
    <w:rsid w:val="21E45026"/>
    <w:rsid w:val="21E55BA0"/>
    <w:rsid w:val="21E60529"/>
    <w:rsid w:val="21E6657A"/>
    <w:rsid w:val="21E6673E"/>
    <w:rsid w:val="21E75FAA"/>
    <w:rsid w:val="21E76F54"/>
    <w:rsid w:val="21E77CB7"/>
    <w:rsid w:val="21E872AF"/>
    <w:rsid w:val="21E91230"/>
    <w:rsid w:val="21EA27B2"/>
    <w:rsid w:val="21EA6F2F"/>
    <w:rsid w:val="21EC5CB5"/>
    <w:rsid w:val="21ED3737"/>
    <w:rsid w:val="21EE4E29"/>
    <w:rsid w:val="21EF5B80"/>
    <w:rsid w:val="21EF6C3A"/>
    <w:rsid w:val="21F16814"/>
    <w:rsid w:val="21F35640"/>
    <w:rsid w:val="21F430C2"/>
    <w:rsid w:val="21F50B43"/>
    <w:rsid w:val="21F64047"/>
    <w:rsid w:val="21F71AC8"/>
    <w:rsid w:val="21F94FCB"/>
    <w:rsid w:val="21F96E93"/>
    <w:rsid w:val="21FB04CE"/>
    <w:rsid w:val="21FB3F4F"/>
    <w:rsid w:val="21FC01FD"/>
    <w:rsid w:val="21FC4477"/>
    <w:rsid w:val="21FC61B9"/>
    <w:rsid w:val="21FC77BC"/>
    <w:rsid w:val="21FD7606"/>
    <w:rsid w:val="21FE66A4"/>
    <w:rsid w:val="21FF0F4E"/>
    <w:rsid w:val="21FF6ED4"/>
    <w:rsid w:val="22012302"/>
    <w:rsid w:val="2203115E"/>
    <w:rsid w:val="220358DB"/>
    <w:rsid w:val="2204335C"/>
    <w:rsid w:val="22050DDE"/>
    <w:rsid w:val="22055993"/>
    <w:rsid w:val="220620E3"/>
    <w:rsid w:val="220650F2"/>
    <w:rsid w:val="22066531"/>
    <w:rsid w:val="220666F6"/>
    <w:rsid w:val="2206685F"/>
    <w:rsid w:val="220742E1"/>
    <w:rsid w:val="22077B64"/>
    <w:rsid w:val="220855E6"/>
    <w:rsid w:val="2209080D"/>
    <w:rsid w:val="220A0AE9"/>
    <w:rsid w:val="220A5266"/>
    <w:rsid w:val="220B1F99"/>
    <w:rsid w:val="220B2CE7"/>
    <w:rsid w:val="220C0769"/>
    <w:rsid w:val="220C3FEC"/>
    <w:rsid w:val="220D1A6D"/>
    <w:rsid w:val="220E16ED"/>
    <w:rsid w:val="220E3C6C"/>
    <w:rsid w:val="220F716F"/>
    <w:rsid w:val="221029F2"/>
    <w:rsid w:val="2210316A"/>
    <w:rsid w:val="22104BF0"/>
    <w:rsid w:val="22110474"/>
    <w:rsid w:val="2212752E"/>
    <w:rsid w:val="22135B75"/>
    <w:rsid w:val="22137F08"/>
    <w:rsid w:val="221435F7"/>
    <w:rsid w:val="22151078"/>
    <w:rsid w:val="221648FB"/>
    <w:rsid w:val="221729FA"/>
    <w:rsid w:val="2217457B"/>
    <w:rsid w:val="22177DFE"/>
    <w:rsid w:val="22185880"/>
    <w:rsid w:val="22193302"/>
    <w:rsid w:val="221A0D83"/>
    <w:rsid w:val="221A34A8"/>
    <w:rsid w:val="221A3B7F"/>
    <w:rsid w:val="221A5500"/>
    <w:rsid w:val="221B2F81"/>
    <w:rsid w:val="221B56B0"/>
    <w:rsid w:val="221B6805"/>
    <w:rsid w:val="221C2372"/>
    <w:rsid w:val="221D1D08"/>
    <w:rsid w:val="221D6484"/>
    <w:rsid w:val="221D6C29"/>
    <w:rsid w:val="221E0366"/>
    <w:rsid w:val="221E7789"/>
    <w:rsid w:val="22202C8C"/>
    <w:rsid w:val="22207409"/>
    <w:rsid w:val="2221070E"/>
    <w:rsid w:val="222122BA"/>
    <w:rsid w:val="22214E8B"/>
    <w:rsid w:val="2222290C"/>
    <w:rsid w:val="22222E58"/>
    <w:rsid w:val="2222301D"/>
    <w:rsid w:val="22226190"/>
    <w:rsid w:val="2223038E"/>
    <w:rsid w:val="22241693"/>
    <w:rsid w:val="22254F70"/>
    <w:rsid w:val="22257114"/>
    <w:rsid w:val="222608A0"/>
    <w:rsid w:val="22261312"/>
    <w:rsid w:val="22272617"/>
    <w:rsid w:val="22274816"/>
    <w:rsid w:val="22276D94"/>
    <w:rsid w:val="22280099"/>
    <w:rsid w:val="22295B1A"/>
    <w:rsid w:val="222A359C"/>
    <w:rsid w:val="222A579A"/>
    <w:rsid w:val="222B321C"/>
    <w:rsid w:val="222B51BB"/>
    <w:rsid w:val="222C0C9D"/>
    <w:rsid w:val="222C1B79"/>
    <w:rsid w:val="222C2718"/>
    <w:rsid w:val="222D32B6"/>
    <w:rsid w:val="222D671F"/>
    <w:rsid w:val="222D79CD"/>
    <w:rsid w:val="222E41A0"/>
    <w:rsid w:val="222F7A24"/>
    <w:rsid w:val="22302F27"/>
    <w:rsid w:val="223076A3"/>
    <w:rsid w:val="22315DA8"/>
    <w:rsid w:val="22315F6D"/>
    <w:rsid w:val="22340084"/>
    <w:rsid w:val="2234192D"/>
    <w:rsid w:val="223460AA"/>
    <w:rsid w:val="22351DE9"/>
    <w:rsid w:val="22360EA4"/>
    <w:rsid w:val="22364E30"/>
    <w:rsid w:val="2237702E"/>
    <w:rsid w:val="22384AB0"/>
    <w:rsid w:val="22392531"/>
    <w:rsid w:val="22393715"/>
    <w:rsid w:val="223A3836"/>
    <w:rsid w:val="223A4C8D"/>
    <w:rsid w:val="223B12B8"/>
    <w:rsid w:val="223B5668"/>
    <w:rsid w:val="223C6D39"/>
    <w:rsid w:val="223D0F38"/>
    <w:rsid w:val="223D47BB"/>
    <w:rsid w:val="223E69B9"/>
    <w:rsid w:val="223F1EBC"/>
    <w:rsid w:val="22400EBD"/>
    <w:rsid w:val="22405740"/>
    <w:rsid w:val="22411897"/>
    <w:rsid w:val="224131C1"/>
    <w:rsid w:val="22422E41"/>
    <w:rsid w:val="224308C2"/>
    <w:rsid w:val="22432FD4"/>
    <w:rsid w:val="22443B73"/>
    <w:rsid w:val="22443D57"/>
    <w:rsid w:val="22444146"/>
    <w:rsid w:val="22461847"/>
    <w:rsid w:val="22464F27"/>
    <w:rsid w:val="224650EC"/>
    <w:rsid w:val="22467649"/>
    <w:rsid w:val="22471607"/>
    <w:rsid w:val="22472B4C"/>
    <w:rsid w:val="224805CD"/>
    <w:rsid w:val="224927CC"/>
    <w:rsid w:val="22497BDD"/>
    <w:rsid w:val="224B131B"/>
    <w:rsid w:val="224C154B"/>
    <w:rsid w:val="224C3750"/>
    <w:rsid w:val="224D11D2"/>
    <w:rsid w:val="224D4A55"/>
    <w:rsid w:val="224E24D7"/>
    <w:rsid w:val="224E326E"/>
    <w:rsid w:val="224F46D5"/>
    <w:rsid w:val="224F7C90"/>
    <w:rsid w:val="224F7F58"/>
    <w:rsid w:val="225047E7"/>
    <w:rsid w:val="225059DA"/>
    <w:rsid w:val="22535E5E"/>
    <w:rsid w:val="2253695F"/>
    <w:rsid w:val="2255750B"/>
    <w:rsid w:val="225615B4"/>
    <w:rsid w:val="225678E3"/>
    <w:rsid w:val="22572153"/>
    <w:rsid w:val="22576990"/>
    <w:rsid w:val="22590868"/>
    <w:rsid w:val="225936CC"/>
    <w:rsid w:val="225A426B"/>
    <w:rsid w:val="225A62E9"/>
    <w:rsid w:val="225B3D6B"/>
    <w:rsid w:val="225C17EC"/>
    <w:rsid w:val="225D56AD"/>
    <w:rsid w:val="225E4CF0"/>
    <w:rsid w:val="225F01F3"/>
    <w:rsid w:val="225F2771"/>
    <w:rsid w:val="22605C74"/>
    <w:rsid w:val="22621177"/>
    <w:rsid w:val="226225B1"/>
    <w:rsid w:val="226323ED"/>
    <w:rsid w:val="2264467A"/>
    <w:rsid w:val="22646256"/>
    <w:rsid w:val="2264640B"/>
    <w:rsid w:val="226520FC"/>
    <w:rsid w:val="226546C9"/>
    <w:rsid w:val="226650A3"/>
    <w:rsid w:val="22667B7E"/>
    <w:rsid w:val="226755FF"/>
    <w:rsid w:val="22675A7D"/>
    <w:rsid w:val="22694385"/>
    <w:rsid w:val="226A1E07"/>
    <w:rsid w:val="226A7D59"/>
    <w:rsid w:val="226C110E"/>
    <w:rsid w:val="226C1A87"/>
    <w:rsid w:val="226D1CAC"/>
    <w:rsid w:val="226D1E71"/>
    <w:rsid w:val="226D2D8C"/>
    <w:rsid w:val="226F2A0B"/>
    <w:rsid w:val="226F628F"/>
    <w:rsid w:val="2270048D"/>
    <w:rsid w:val="22711995"/>
    <w:rsid w:val="22723990"/>
    <w:rsid w:val="22727213"/>
    <w:rsid w:val="22730512"/>
    <w:rsid w:val="22731412"/>
    <w:rsid w:val="22734C95"/>
    <w:rsid w:val="22742716"/>
    <w:rsid w:val="22747454"/>
    <w:rsid w:val="22747619"/>
    <w:rsid w:val="22754915"/>
    <w:rsid w:val="22760B92"/>
    <w:rsid w:val="22762396"/>
    <w:rsid w:val="22765C1A"/>
    <w:rsid w:val="22775899"/>
    <w:rsid w:val="22777E18"/>
    <w:rsid w:val="2278111D"/>
    <w:rsid w:val="2278331B"/>
    <w:rsid w:val="2279434C"/>
    <w:rsid w:val="22796B9E"/>
    <w:rsid w:val="227A4620"/>
    <w:rsid w:val="227A681E"/>
    <w:rsid w:val="227C1D21"/>
    <w:rsid w:val="227C7B23"/>
    <w:rsid w:val="227D579B"/>
    <w:rsid w:val="227D77A3"/>
    <w:rsid w:val="227E3026"/>
    <w:rsid w:val="227E633A"/>
    <w:rsid w:val="227E6ED8"/>
    <w:rsid w:val="227E704A"/>
    <w:rsid w:val="227F2CA6"/>
    <w:rsid w:val="227F528A"/>
    <w:rsid w:val="22803FAB"/>
    <w:rsid w:val="22810FF0"/>
    <w:rsid w:val="2281305A"/>
    <w:rsid w:val="228161A9"/>
    <w:rsid w:val="22823C2A"/>
    <w:rsid w:val="22826AA7"/>
    <w:rsid w:val="228274AE"/>
    <w:rsid w:val="228323A4"/>
    <w:rsid w:val="22832569"/>
    <w:rsid w:val="22834F2F"/>
    <w:rsid w:val="2284712E"/>
    <w:rsid w:val="22850432"/>
    <w:rsid w:val="22862631"/>
    <w:rsid w:val="228700B2"/>
    <w:rsid w:val="228757E3"/>
    <w:rsid w:val="228813B7"/>
    <w:rsid w:val="22885B34"/>
    <w:rsid w:val="22896798"/>
    <w:rsid w:val="22896E39"/>
    <w:rsid w:val="228A48BA"/>
    <w:rsid w:val="228A7172"/>
    <w:rsid w:val="228B233C"/>
    <w:rsid w:val="228B7B4C"/>
    <w:rsid w:val="228B7D11"/>
    <w:rsid w:val="228C7DBD"/>
    <w:rsid w:val="228D1FBC"/>
    <w:rsid w:val="228D7391"/>
    <w:rsid w:val="228E65E4"/>
    <w:rsid w:val="228E6AB8"/>
    <w:rsid w:val="228E6CBA"/>
    <w:rsid w:val="228E7026"/>
    <w:rsid w:val="228F0D42"/>
    <w:rsid w:val="228F5837"/>
    <w:rsid w:val="228F5BA2"/>
    <w:rsid w:val="22916443"/>
    <w:rsid w:val="22921CC7"/>
    <w:rsid w:val="22931946"/>
    <w:rsid w:val="22937748"/>
    <w:rsid w:val="229451CA"/>
    <w:rsid w:val="22952C4B"/>
    <w:rsid w:val="22954E49"/>
    <w:rsid w:val="2295740C"/>
    <w:rsid w:val="229606CD"/>
    <w:rsid w:val="22967FAA"/>
    <w:rsid w:val="229816E8"/>
    <w:rsid w:val="229920C2"/>
    <w:rsid w:val="22992C61"/>
    <w:rsid w:val="22993850"/>
    <w:rsid w:val="22995058"/>
    <w:rsid w:val="229A4B54"/>
    <w:rsid w:val="229B25D6"/>
    <w:rsid w:val="229B6D53"/>
    <w:rsid w:val="229C0058"/>
    <w:rsid w:val="229C112C"/>
    <w:rsid w:val="229C47D4"/>
    <w:rsid w:val="229D2256"/>
    <w:rsid w:val="229D5752"/>
    <w:rsid w:val="229D5AD9"/>
    <w:rsid w:val="229E0014"/>
    <w:rsid w:val="229F0FDC"/>
    <w:rsid w:val="229F48D3"/>
    <w:rsid w:val="229F5759"/>
    <w:rsid w:val="229F6E90"/>
    <w:rsid w:val="22A0786A"/>
    <w:rsid w:val="22A07A2E"/>
    <w:rsid w:val="22A10409"/>
    <w:rsid w:val="22A10C5C"/>
    <w:rsid w:val="22A21F61"/>
    <w:rsid w:val="22A379E2"/>
    <w:rsid w:val="22A45464"/>
    <w:rsid w:val="22A52EE6"/>
    <w:rsid w:val="22A63A99"/>
    <w:rsid w:val="22A650E4"/>
    <w:rsid w:val="22A74638"/>
    <w:rsid w:val="22A918EC"/>
    <w:rsid w:val="22A9674F"/>
    <w:rsid w:val="22AA156C"/>
    <w:rsid w:val="22AA736D"/>
    <w:rsid w:val="22AB4DEF"/>
    <w:rsid w:val="22AB6FED"/>
    <w:rsid w:val="22AC06A2"/>
    <w:rsid w:val="22AC2870"/>
    <w:rsid w:val="22AC2B5D"/>
    <w:rsid w:val="22AD02F2"/>
    <w:rsid w:val="22AD188F"/>
    <w:rsid w:val="22AD1BFA"/>
    <w:rsid w:val="22AE5D73"/>
    <w:rsid w:val="22AE7F72"/>
    <w:rsid w:val="22AF37F5"/>
    <w:rsid w:val="22B03359"/>
    <w:rsid w:val="22B03475"/>
    <w:rsid w:val="22B06CF8"/>
    <w:rsid w:val="22B10EF6"/>
    <w:rsid w:val="22B221FB"/>
    <w:rsid w:val="22B26978"/>
    <w:rsid w:val="22B35470"/>
    <w:rsid w:val="22B41E7B"/>
    <w:rsid w:val="22B456FE"/>
    <w:rsid w:val="22B4600F"/>
    <w:rsid w:val="22B578FD"/>
    <w:rsid w:val="22B60901"/>
    <w:rsid w:val="22B6537E"/>
    <w:rsid w:val="22B67F62"/>
    <w:rsid w:val="22B91B86"/>
    <w:rsid w:val="22B95BC6"/>
    <w:rsid w:val="22B96607"/>
    <w:rsid w:val="22BA4FCF"/>
    <w:rsid w:val="22BA7608"/>
    <w:rsid w:val="22BB548D"/>
    <w:rsid w:val="22BD058C"/>
    <w:rsid w:val="22BF3A8F"/>
    <w:rsid w:val="22C01511"/>
    <w:rsid w:val="22C16F92"/>
    <w:rsid w:val="22C24A14"/>
    <w:rsid w:val="22C30D9A"/>
    <w:rsid w:val="22C53076"/>
    <w:rsid w:val="22C55999"/>
    <w:rsid w:val="22C6341A"/>
    <w:rsid w:val="22C70E9C"/>
    <w:rsid w:val="22C8439F"/>
    <w:rsid w:val="22C8691D"/>
    <w:rsid w:val="22C91E20"/>
    <w:rsid w:val="22C95B68"/>
    <w:rsid w:val="22C95D2C"/>
    <w:rsid w:val="22C95DFC"/>
    <w:rsid w:val="22C96D6A"/>
    <w:rsid w:val="22CA6849"/>
    <w:rsid w:val="22CA78A2"/>
    <w:rsid w:val="22CB5324"/>
    <w:rsid w:val="22CD081E"/>
    <w:rsid w:val="22CD0827"/>
    <w:rsid w:val="22CF3D2A"/>
    <w:rsid w:val="22D017AB"/>
    <w:rsid w:val="22D02936"/>
    <w:rsid w:val="22D034D4"/>
    <w:rsid w:val="22D0502F"/>
    <w:rsid w:val="22D12AB0"/>
    <w:rsid w:val="22D1722D"/>
    <w:rsid w:val="22D20532"/>
    <w:rsid w:val="22D24CAE"/>
    <w:rsid w:val="22D401B1"/>
    <w:rsid w:val="22D636B5"/>
    <w:rsid w:val="22D66F38"/>
    <w:rsid w:val="22D71136"/>
    <w:rsid w:val="22D80C7C"/>
    <w:rsid w:val="22D8243B"/>
    <w:rsid w:val="22D94639"/>
    <w:rsid w:val="22D97EBC"/>
    <w:rsid w:val="22DA20BB"/>
    <w:rsid w:val="22DA593E"/>
    <w:rsid w:val="22DB33C0"/>
    <w:rsid w:val="22DD32B4"/>
    <w:rsid w:val="22DD4148"/>
    <w:rsid w:val="22DE4C21"/>
    <w:rsid w:val="22DE5886"/>
    <w:rsid w:val="22DF1DC6"/>
    <w:rsid w:val="22E01A46"/>
    <w:rsid w:val="22E06DFF"/>
    <w:rsid w:val="22E12601"/>
    <w:rsid w:val="22E152C9"/>
    <w:rsid w:val="22E174C7"/>
    <w:rsid w:val="22E1799D"/>
    <w:rsid w:val="22E22D4A"/>
    <w:rsid w:val="22E24F49"/>
    <w:rsid w:val="22E307CC"/>
    <w:rsid w:val="22E329CA"/>
    <w:rsid w:val="22E418F0"/>
    <w:rsid w:val="22E5248F"/>
    <w:rsid w:val="22E6364E"/>
    <w:rsid w:val="22E64245"/>
    <w:rsid w:val="22E643FB"/>
    <w:rsid w:val="22E72A57"/>
    <w:rsid w:val="22E73498"/>
    <w:rsid w:val="22E826D5"/>
    <w:rsid w:val="22E84C54"/>
    <w:rsid w:val="22E85DAF"/>
    <w:rsid w:val="22EA2355"/>
    <w:rsid w:val="22EB66BE"/>
    <w:rsid w:val="22EB7DD7"/>
    <w:rsid w:val="22EC03E0"/>
    <w:rsid w:val="22EC5858"/>
    <w:rsid w:val="22EC725D"/>
    <w:rsid w:val="22EC7DFB"/>
    <w:rsid w:val="22ED32DA"/>
    <w:rsid w:val="22EE0D5B"/>
    <w:rsid w:val="22EE1374"/>
    <w:rsid w:val="22EE45DF"/>
    <w:rsid w:val="22EF1D4E"/>
    <w:rsid w:val="22EF67DD"/>
    <w:rsid w:val="22F028ED"/>
    <w:rsid w:val="22F0425E"/>
    <w:rsid w:val="22F15563"/>
    <w:rsid w:val="22F34840"/>
    <w:rsid w:val="22F34A05"/>
    <w:rsid w:val="22F37619"/>
    <w:rsid w:val="22F464E8"/>
    <w:rsid w:val="22F47480"/>
    <w:rsid w:val="22F506E6"/>
    <w:rsid w:val="22F53F69"/>
    <w:rsid w:val="22F619EB"/>
    <w:rsid w:val="22F66168"/>
    <w:rsid w:val="22F80095"/>
    <w:rsid w:val="22F8166B"/>
    <w:rsid w:val="22F870EC"/>
    <w:rsid w:val="22F917D2"/>
    <w:rsid w:val="22F92970"/>
    <w:rsid w:val="22FA4903"/>
    <w:rsid w:val="22FC38F4"/>
    <w:rsid w:val="22FD1376"/>
    <w:rsid w:val="22FD3574"/>
    <w:rsid w:val="22FD42C4"/>
    <w:rsid w:val="22FE0FF6"/>
    <w:rsid w:val="22FE6DF7"/>
    <w:rsid w:val="22FF4879"/>
    <w:rsid w:val="22FF6A77"/>
    <w:rsid w:val="230022FA"/>
    <w:rsid w:val="23011F7A"/>
    <w:rsid w:val="23016DB6"/>
    <w:rsid w:val="23016F7A"/>
    <w:rsid w:val="2302156A"/>
    <w:rsid w:val="23027955"/>
    <w:rsid w:val="230304F3"/>
    <w:rsid w:val="23030D01"/>
    <w:rsid w:val="23040ECE"/>
    <w:rsid w:val="23042EFF"/>
    <w:rsid w:val="23050980"/>
    <w:rsid w:val="23051A6C"/>
    <w:rsid w:val="23054204"/>
    <w:rsid w:val="23062446"/>
    <w:rsid w:val="23073E84"/>
    <w:rsid w:val="23084722"/>
    <w:rsid w:val="23085188"/>
    <w:rsid w:val="23092C0A"/>
    <w:rsid w:val="230A068C"/>
    <w:rsid w:val="230A4E08"/>
    <w:rsid w:val="230A5AD7"/>
    <w:rsid w:val="230B1F5E"/>
    <w:rsid w:val="230B288A"/>
    <w:rsid w:val="230C030B"/>
    <w:rsid w:val="230D1610"/>
    <w:rsid w:val="230D5D8D"/>
    <w:rsid w:val="230D7DB3"/>
    <w:rsid w:val="230E380E"/>
    <w:rsid w:val="230E7092"/>
    <w:rsid w:val="230F1290"/>
    <w:rsid w:val="230F4B13"/>
    <w:rsid w:val="23102595"/>
    <w:rsid w:val="23106D12"/>
    <w:rsid w:val="23112215"/>
    <w:rsid w:val="23113306"/>
    <w:rsid w:val="23114793"/>
    <w:rsid w:val="2312327F"/>
    <w:rsid w:val="23125A98"/>
    <w:rsid w:val="23127C96"/>
    <w:rsid w:val="23133FE2"/>
    <w:rsid w:val="23135718"/>
    <w:rsid w:val="23143199"/>
    <w:rsid w:val="23150C1B"/>
    <w:rsid w:val="2315326E"/>
    <w:rsid w:val="23156A1D"/>
    <w:rsid w:val="2316669C"/>
    <w:rsid w:val="23181B9F"/>
    <w:rsid w:val="231879A1"/>
    <w:rsid w:val="23190A27"/>
    <w:rsid w:val="23197621"/>
    <w:rsid w:val="231A0926"/>
    <w:rsid w:val="231B2B24"/>
    <w:rsid w:val="231C3E29"/>
    <w:rsid w:val="231D18AB"/>
    <w:rsid w:val="231D38A1"/>
    <w:rsid w:val="231E732C"/>
    <w:rsid w:val="231F6524"/>
    <w:rsid w:val="2320282F"/>
    <w:rsid w:val="232304AB"/>
    <w:rsid w:val="2323790C"/>
    <w:rsid w:val="23240E85"/>
    <w:rsid w:val="23241235"/>
    <w:rsid w:val="23251A24"/>
    <w:rsid w:val="23266A73"/>
    <w:rsid w:val="232956BD"/>
    <w:rsid w:val="232A50B4"/>
    <w:rsid w:val="232B0BC0"/>
    <w:rsid w:val="232B5C53"/>
    <w:rsid w:val="232C6642"/>
    <w:rsid w:val="232E1B45"/>
    <w:rsid w:val="232F735E"/>
    <w:rsid w:val="23305048"/>
    <w:rsid w:val="2331054B"/>
    <w:rsid w:val="23311CBD"/>
    <w:rsid w:val="23311E82"/>
    <w:rsid w:val="2331285C"/>
    <w:rsid w:val="23312AC9"/>
    <w:rsid w:val="233233FB"/>
    <w:rsid w:val="23333F99"/>
    <w:rsid w:val="23344B38"/>
    <w:rsid w:val="2335534E"/>
    <w:rsid w:val="233649D3"/>
    <w:rsid w:val="23370256"/>
    <w:rsid w:val="23372454"/>
    <w:rsid w:val="23385CD8"/>
    <w:rsid w:val="23387ED6"/>
    <w:rsid w:val="233901C8"/>
    <w:rsid w:val="233911DB"/>
    <w:rsid w:val="233A33D9"/>
    <w:rsid w:val="233A6C5C"/>
    <w:rsid w:val="233C215F"/>
    <w:rsid w:val="233C68DC"/>
    <w:rsid w:val="233D435E"/>
    <w:rsid w:val="233D7BE1"/>
    <w:rsid w:val="233E0D32"/>
    <w:rsid w:val="233E0D75"/>
    <w:rsid w:val="233E12AF"/>
    <w:rsid w:val="233F7861"/>
    <w:rsid w:val="23405970"/>
    <w:rsid w:val="2341634B"/>
    <w:rsid w:val="234165E7"/>
    <w:rsid w:val="234207E5"/>
    <w:rsid w:val="23424069"/>
    <w:rsid w:val="23431AEA"/>
    <w:rsid w:val="23437A88"/>
    <w:rsid w:val="23443CE8"/>
    <w:rsid w:val="2344756C"/>
    <w:rsid w:val="23450E3C"/>
    <w:rsid w:val="23461B9F"/>
    <w:rsid w:val="2347257A"/>
    <w:rsid w:val="23474C6D"/>
    <w:rsid w:val="234826EF"/>
    <w:rsid w:val="23482F54"/>
    <w:rsid w:val="23485F72"/>
    <w:rsid w:val="234939F4"/>
    <w:rsid w:val="23495BF2"/>
    <w:rsid w:val="234A1475"/>
    <w:rsid w:val="234A3673"/>
    <w:rsid w:val="234B10F5"/>
    <w:rsid w:val="234B506B"/>
    <w:rsid w:val="234B6EF7"/>
    <w:rsid w:val="234D23FA"/>
    <w:rsid w:val="234D304A"/>
    <w:rsid w:val="234D33B5"/>
    <w:rsid w:val="234D45F8"/>
    <w:rsid w:val="234D7347"/>
    <w:rsid w:val="234F7AFB"/>
    <w:rsid w:val="2350145F"/>
    <w:rsid w:val="2350337E"/>
    <w:rsid w:val="2350557D"/>
    <w:rsid w:val="235063D0"/>
    <w:rsid w:val="23512FFE"/>
    <w:rsid w:val="23516881"/>
    <w:rsid w:val="23520A80"/>
    <w:rsid w:val="23524303"/>
    <w:rsid w:val="23531D85"/>
    <w:rsid w:val="23536501"/>
    <w:rsid w:val="23543D8C"/>
    <w:rsid w:val="23543F83"/>
    <w:rsid w:val="2355492B"/>
    <w:rsid w:val="23555288"/>
    <w:rsid w:val="23562D09"/>
    <w:rsid w:val="23574571"/>
    <w:rsid w:val="23574F07"/>
    <w:rsid w:val="2358620C"/>
    <w:rsid w:val="2359040B"/>
    <w:rsid w:val="23593C8E"/>
    <w:rsid w:val="23597A57"/>
    <w:rsid w:val="235A170F"/>
    <w:rsid w:val="235A5E8C"/>
    <w:rsid w:val="235A7381"/>
    <w:rsid w:val="235A7FBB"/>
    <w:rsid w:val="235B0B5A"/>
    <w:rsid w:val="235B16F9"/>
    <w:rsid w:val="235B390E"/>
    <w:rsid w:val="235B6269"/>
    <w:rsid w:val="235C138F"/>
    <w:rsid w:val="235C4C12"/>
    <w:rsid w:val="235D2C72"/>
    <w:rsid w:val="235D6E11"/>
    <w:rsid w:val="235E3810"/>
    <w:rsid w:val="235F2314"/>
    <w:rsid w:val="235F3C0C"/>
    <w:rsid w:val="23603619"/>
    <w:rsid w:val="23607D95"/>
    <w:rsid w:val="2361109A"/>
    <w:rsid w:val="23613299"/>
    <w:rsid w:val="23615817"/>
    <w:rsid w:val="23615928"/>
    <w:rsid w:val="23626302"/>
    <w:rsid w:val="23626B1C"/>
    <w:rsid w:val="2363459D"/>
    <w:rsid w:val="2363679C"/>
    <w:rsid w:val="2364201F"/>
    <w:rsid w:val="23647A3F"/>
    <w:rsid w:val="23651C9F"/>
    <w:rsid w:val="23660FB8"/>
    <w:rsid w:val="23667720"/>
    <w:rsid w:val="23672FA4"/>
    <w:rsid w:val="236751A2"/>
    <w:rsid w:val="23680A25"/>
    <w:rsid w:val="23682C23"/>
    <w:rsid w:val="236906A5"/>
    <w:rsid w:val="23690A46"/>
    <w:rsid w:val="23693C6E"/>
    <w:rsid w:val="236964A7"/>
    <w:rsid w:val="236B3BA8"/>
    <w:rsid w:val="236B51E7"/>
    <w:rsid w:val="236B742B"/>
    <w:rsid w:val="236C162A"/>
    <w:rsid w:val="236C5D86"/>
    <w:rsid w:val="236D292E"/>
    <w:rsid w:val="236D70AB"/>
    <w:rsid w:val="236E03B0"/>
    <w:rsid w:val="236E2B22"/>
    <w:rsid w:val="236E4B2D"/>
    <w:rsid w:val="23700030"/>
    <w:rsid w:val="23711252"/>
    <w:rsid w:val="23715AB1"/>
    <w:rsid w:val="23726DB6"/>
    <w:rsid w:val="237327CB"/>
    <w:rsid w:val="23746A36"/>
    <w:rsid w:val="23776020"/>
    <w:rsid w:val="237779BB"/>
    <w:rsid w:val="23780CBF"/>
    <w:rsid w:val="23782D02"/>
    <w:rsid w:val="23792EBE"/>
    <w:rsid w:val="23796DBF"/>
    <w:rsid w:val="237C10C0"/>
    <w:rsid w:val="237C18C4"/>
    <w:rsid w:val="237D7345"/>
    <w:rsid w:val="237E2BC9"/>
    <w:rsid w:val="237E4DC7"/>
    <w:rsid w:val="237F064A"/>
    <w:rsid w:val="237F2849"/>
    <w:rsid w:val="238002CA"/>
    <w:rsid w:val="23804366"/>
    <w:rsid w:val="238060CC"/>
    <w:rsid w:val="23813B4D"/>
    <w:rsid w:val="23814D41"/>
    <w:rsid w:val="238237CD"/>
    <w:rsid w:val="23827050"/>
    <w:rsid w:val="23834AD2"/>
    <w:rsid w:val="23846E58"/>
    <w:rsid w:val="23850595"/>
    <w:rsid w:val="23857832"/>
    <w:rsid w:val="23857FD5"/>
    <w:rsid w:val="238734D8"/>
    <w:rsid w:val="238743C7"/>
    <w:rsid w:val="238824E9"/>
    <w:rsid w:val="238826AD"/>
    <w:rsid w:val="23893087"/>
    <w:rsid w:val="238A3A61"/>
    <w:rsid w:val="238B1EDE"/>
    <w:rsid w:val="238D53E2"/>
    <w:rsid w:val="238F08E5"/>
    <w:rsid w:val="238F72B6"/>
    <w:rsid w:val="23907C91"/>
    <w:rsid w:val="2391082F"/>
    <w:rsid w:val="23921869"/>
    <w:rsid w:val="239406FE"/>
    <w:rsid w:val="23944D6C"/>
    <w:rsid w:val="23947E72"/>
    <w:rsid w:val="23953EC0"/>
    <w:rsid w:val="239575E6"/>
    <w:rsid w:val="23983773"/>
    <w:rsid w:val="239B00EF"/>
    <w:rsid w:val="239C7BFA"/>
    <w:rsid w:val="239D182C"/>
    <w:rsid w:val="239D567C"/>
    <w:rsid w:val="239E0EFF"/>
    <w:rsid w:val="239F0B7F"/>
    <w:rsid w:val="239F3944"/>
    <w:rsid w:val="23A04402"/>
    <w:rsid w:val="23A06601"/>
    <w:rsid w:val="23A11E84"/>
    <w:rsid w:val="23A14082"/>
    <w:rsid w:val="23A21B04"/>
    <w:rsid w:val="23A25897"/>
    <w:rsid w:val="23A3249A"/>
    <w:rsid w:val="23A3264F"/>
    <w:rsid w:val="23A32E08"/>
    <w:rsid w:val="23A36435"/>
    <w:rsid w:val="23A4088A"/>
    <w:rsid w:val="23A52A88"/>
    <w:rsid w:val="23A5630C"/>
    <w:rsid w:val="23A6050A"/>
    <w:rsid w:val="23A7180F"/>
    <w:rsid w:val="23A83A0D"/>
    <w:rsid w:val="23A87290"/>
    <w:rsid w:val="23A910D4"/>
    <w:rsid w:val="23A9148E"/>
    <w:rsid w:val="23AA3203"/>
    <w:rsid w:val="23AA6F10"/>
    <w:rsid w:val="23AB4992"/>
    <w:rsid w:val="23AC2413"/>
    <w:rsid w:val="23AC45B8"/>
    <w:rsid w:val="23AC477C"/>
    <w:rsid w:val="23AD3718"/>
    <w:rsid w:val="23AD7E95"/>
    <w:rsid w:val="23AE66CF"/>
    <w:rsid w:val="23B0586E"/>
    <w:rsid w:val="23B14AC1"/>
    <w:rsid w:val="23B15197"/>
    <w:rsid w:val="23B21D9E"/>
    <w:rsid w:val="23B24235"/>
    <w:rsid w:val="23B2431C"/>
    <w:rsid w:val="23B243EB"/>
    <w:rsid w:val="23B25BC6"/>
    <w:rsid w:val="23B35621"/>
    <w:rsid w:val="23B37820"/>
    <w:rsid w:val="23B430A3"/>
    <w:rsid w:val="23B50B24"/>
    <w:rsid w:val="23B52D23"/>
    <w:rsid w:val="23B607A4"/>
    <w:rsid w:val="23B63E77"/>
    <w:rsid w:val="23B665A6"/>
    <w:rsid w:val="23B76226"/>
    <w:rsid w:val="23B9752B"/>
    <w:rsid w:val="23BA2A2E"/>
    <w:rsid w:val="23BA71AA"/>
    <w:rsid w:val="23BB00A6"/>
    <w:rsid w:val="23BC26AD"/>
    <w:rsid w:val="23BD161F"/>
    <w:rsid w:val="23BE2382"/>
    <w:rsid w:val="23BE5BB1"/>
    <w:rsid w:val="23BF3699"/>
    <w:rsid w:val="23BF6EB5"/>
    <w:rsid w:val="23BF77BF"/>
    <w:rsid w:val="23BF7974"/>
    <w:rsid w:val="23C04937"/>
    <w:rsid w:val="23C123B8"/>
    <w:rsid w:val="23C358BC"/>
    <w:rsid w:val="23C4333D"/>
    <w:rsid w:val="23C50DBF"/>
    <w:rsid w:val="23C5553B"/>
    <w:rsid w:val="23C70A3F"/>
    <w:rsid w:val="23C742C2"/>
    <w:rsid w:val="23C86C6B"/>
    <w:rsid w:val="23C93F42"/>
    <w:rsid w:val="23CA2FF6"/>
    <w:rsid w:val="23CC2948"/>
    <w:rsid w:val="23CD61CB"/>
    <w:rsid w:val="23CE18C6"/>
    <w:rsid w:val="23CE5E4B"/>
    <w:rsid w:val="23CF16CE"/>
    <w:rsid w:val="23CF38CC"/>
    <w:rsid w:val="23CF684B"/>
    <w:rsid w:val="23D0134E"/>
    <w:rsid w:val="23D03DA0"/>
    <w:rsid w:val="23D07150"/>
    <w:rsid w:val="23D16DD0"/>
    <w:rsid w:val="23D200D4"/>
    <w:rsid w:val="23D22653"/>
    <w:rsid w:val="23D3133D"/>
    <w:rsid w:val="23D322D3"/>
    <w:rsid w:val="23D435D7"/>
    <w:rsid w:val="23D47D54"/>
    <w:rsid w:val="23D51059"/>
    <w:rsid w:val="23D557D6"/>
    <w:rsid w:val="23D81FDE"/>
    <w:rsid w:val="23D8556C"/>
    <w:rsid w:val="23D9610A"/>
    <w:rsid w:val="23DA1C5E"/>
    <w:rsid w:val="23DA524A"/>
    <w:rsid w:val="23DA54E1"/>
    <w:rsid w:val="23DB2F62"/>
    <w:rsid w:val="23DC09E4"/>
    <w:rsid w:val="23DC4779"/>
    <w:rsid w:val="23DC5161"/>
    <w:rsid w:val="23DD2BE2"/>
    <w:rsid w:val="23DD6465"/>
    <w:rsid w:val="23DE15D6"/>
    <w:rsid w:val="23DE1C48"/>
    <w:rsid w:val="23DE26FF"/>
    <w:rsid w:val="23DE3EE7"/>
    <w:rsid w:val="23DF60E5"/>
    <w:rsid w:val="23E073EA"/>
    <w:rsid w:val="23E115E8"/>
    <w:rsid w:val="23E2428D"/>
    <w:rsid w:val="23E24AEB"/>
    <w:rsid w:val="23E2706A"/>
    <w:rsid w:val="23E46569"/>
    <w:rsid w:val="23E55A70"/>
    <w:rsid w:val="23E56F43"/>
    <w:rsid w:val="23E612F3"/>
    <w:rsid w:val="23E634F2"/>
    <w:rsid w:val="23E76D75"/>
    <w:rsid w:val="23E847F6"/>
    <w:rsid w:val="23E8755B"/>
    <w:rsid w:val="23E92278"/>
    <w:rsid w:val="23EA7CFA"/>
    <w:rsid w:val="23EB2FAD"/>
    <w:rsid w:val="23EB31FD"/>
    <w:rsid w:val="23EC0C7E"/>
    <w:rsid w:val="23EC5768"/>
    <w:rsid w:val="23EC5E3E"/>
    <w:rsid w:val="23ED1755"/>
    <w:rsid w:val="23ED49BB"/>
    <w:rsid w:val="23EE50C5"/>
    <w:rsid w:val="23EF1C03"/>
    <w:rsid w:val="23F06802"/>
    <w:rsid w:val="23F07684"/>
    <w:rsid w:val="23F15106"/>
    <w:rsid w:val="23F173A1"/>
    <w:rsid w:val="23F2091A"/>
    <w:rsid w:val="23F22B88"/>
    <w:rsid w:val="23F27D7B"/>
    <w:rsid w:val="23F53B0C"/>
    <w:rsid w:val="23F6158E"/>
    <w:rsid w:val="23F7700F"/>
    <w:rsid w:val="23F84A91"/>
    <w:rsid w:val="23F92512"/>
    <w:rsid w:val="23FA7F94"/>
    <w:rsid w:val="23FB6C61"/>
    <w:rsid w:val="23FD0015"/>
    <w:rsid w:val="23FD01D9"/>
    <w:rsid w:val="23FE699A"/>
    <w:rsid w:val="23FF22F1"/>
    <w:rsid w:val="23FF441C"/>
    <w:rsid w:val="24020C24"/>
    <w:rsid w:val="240210CD"/>
    <w:rsid w:val="240366A5"/>
    <w:rsid w:val="24037600"/>
    <w:rsid w:val="24044127"/>
    <w:rsid w:val="24046325"/>
    <w:rsid w:val="24051BA8"/>
    <w:rsid w:val="24053DA7"/>
    <w:rsid w:val="24066EFA"/>
    <w:rsid w:val="240750AB"/>
    <w:rsid w:val="240772AA"/>
    <w:rsid w:val="24082B2D"/>
    <w:rsid w:val="24084D2B"/>
    <w:rsid w:val="240905AE"/>
    <w:rsid w:val="24090A61"/>
    <w:rsid w:val="240923B7"/>
    <w:rsid w:val="240927AD"/>
    <w:rsid w:val="240A022E"/>
    <w:rsid w:val="240B1533"/>
    <w:rsid w:val="240B5CB0"/>
    <w:rsid w:val="240C3731"/>
    <w:rsid w:val="240C3CC8"/>
    <w:rsid w:val="240D3B04"/>
    <w:rsid w:val="240D46A2"/>
    <w:rsid w:val="240D4A36"/>
    <w:rsid w:val="240E507C"/>
    <w:rsid w:val="240E6C34"/>
    <w:rsid w:val="240F46B6"/>
    <w:rsid w:val="240F5DE0"/>
    <w:rsid w:val="240F7F39"/>
    <w:rsid w:val="241059BB"/>
    <w:rsid w:val="241067BA"/>
    <w:rsid w:val="2411343C"/>
    <w:rsid w:val="24120EBE"/>
    <w:rsid w:val="24140B3E"/>
    <w:rsid w:val="24141470"/>
    <w:rsid w:val="241443C1"/>
    <w:rsid w:val="241565BF"/>
    <w:rsid w:val="241629E9"/>
    <w:rsid w:val="241678C4"/>
    <w:rsid w:val="241749DE"/>
    <w:rsid w:val="24174B94"/>
    <w:rsid w:val="24174EFF"/>
    <w:rsid w:val="24175420"/>
    <w:rsid w:val="24182DC7"/>
    <w:rsid w:val="24183A7C"/>
    <w:rsid w:val="24183F62"/>
    <w:rsid w:val="24187544"/>
    <w:rsid w:val="24190849"/>
    <w:rsid w:val="2419493C"/>
    <w:rsid w:val="241A2A47"/>
    <w:rsid w:val="241A569F"/>
    <w:rsid w:val="241A62CA"/>
    <w:rsid w:val="241B6C18"/>
    <w:rsid w:val="241C17CD"/>
    <w:rsid w:val="241D144D"/>
    <w:rsid w:val="241E4CD1"/>
    <w:rsid w:val="241E6ECF"/>
    <w:rsid w:val="241F170A"/>
    <w:rsid w:val="241F2752"/>
    <w:rsid w:val="242001D4"/>
    <w:rsid w:val="24217E53"/>
    <w:rsid w:val="242239E6"/>
    <w:rsid w:val="24233357"/>
    <w:rsid w:val="24240DD8"/>
    <w:rsid w:val="24244F5F"/>
    <w:rsid w:val="242520DD"/>
    <w:rsid w:val="2425685A"/>
    <w:rsid w:val="242642DB"/>
    <w:rsid w:val="24267527"/>
    <w:rsid w:val="24271D5D"/>
    <w:rsid w:val="242755E0"/>
    <w:rsid w:val="24277076"/>
    <w:rsid w:val="242805EF"/>
    <w:rsid w:val="242877DE"/>
    <w:rsid w:val="2429042B"/>
    <w:rsid w:val="24290AE3"/>
    <w:rsid w:val="24295260"/>
    <w:rsid w:val="242A6565"/>
    <w:rsid w:val="242E4F6B"/>
    <w:rsid w:val="242F29EC"/>
    <w:rsid w:val="24304BEB"/>
    <w:rsid w:val="24316936"/>
    <w:rsid w:val="243200EE"/>
    <w:rsid w:val="24323971"/>
    <w:rsid w:val="243313F3"/>
    <w:rsid w:val="24332AB0"/>
    <w:rsid w:val="243335F1"/>
    <w:rsid w:val="24337CEA"/>
    <w:rsid w:val="2434206F"/>
    <w:rsid w:val="24346E74"/>
    <w:rsid w:val="2435110C"/>
    <w:rsid w:val="24356AF4"/>
    <w:rsid w:val="24357C0A"/>
    <w:rsid w:val="24360360"/>
    <w:rsid w:val="24362377"/>
    <w:rsid w:val="24371FF7"/>
    <w:rsid w:val="24387A79"/>
    <w:rsid w:val="243932FC"/>
    <w:rsid w:val="24394AB8"/>
    <w:rsid w:val="243954FA"/>
    <w:rsid w:val="243A0D7D"/>
    <w:rsid w:val="243A2F7C"/>
    <w:rsid w:val="243B09FD"/>
    <w:rsid w:val="243B4281"/>
    <w:rsid w:val="243B67FF"/>
    <w:rsid w:val="243D776E"/>
    <w:rsid w:val="243E030D"/>
    <w:rsid w:val="243E1982"/>
    <w:rsid w:val="243F2C87"/>
    <w:rsid w:val="24400708"/>
    <w:rsid w:val="24401886"/>
    <w:rsid w:val="24412907"/>
    <w:rsid w:val="2441618A"/>
    <w:rsid w:val="24420388"/>
    <w:rsid w:val="244244E1"/>
    <w:rsid w:val="24424BB7"/>
    <w:rsid w:val="24425F81"/>
    <w:rsid w:val="2444388B"/>
    <w:rsid w:val="24444377"/>
    <w:rsid w:val="2445130D"/>
    <w:rsid w:val="24462612"/>
    <w:rsid w:val="2446648F"/>
    <w:rsid w:val="24466D8E"/>
    <w:rsid w:val="2447702E"/>
    <w:rsid w:val="24482291"/>
    <w:rsid w:val="24485B15"/>
    <w:rsid w:val="24487BCC"/>
    <w:rsid w:val="244903E2"/>
    <w:rsid w:val="244B0C98"/>
    <w:rsid w:val="244B1B1F"/>
    <w:rsid w:val="244B3216"/>
    <w:rsid w:val="244B6A99"/>
    <w:rsid w:val="244C451B"/>
    <w:rsid w:val="244D1F9C"/>
    <w:rsid w:val="244D325D"/>
    <w:rsid w:val="244E1C1C"/>
    <w:rsid w:val="244E7A1E"/>
    <w:rsid w:val="244F54A0"/>
    <w:rsid w:val="24502F21"/>
    <w:rsid w:val="245109A3"/>
    <w:rsid w:val="24515D4E"/>
    <w:rsid w:val="24525F11"/>
    <w:rsid w:val="24526424"/>
    <w:rsid w:val="24531927"/>
    <w:rsid w:val="24533EA6"/>
    <w:rsid w:val="245473A9"/>
    <w:rsid w:val="24561DB9"/>
    <w:rsid w:val="245834F6"/>
    <w:rsid w:val="24593831"/>
    <w:rsid w:val="24594095"/>
    <w:rsid w:val="245B6D34"/>
    <w:rsid w:val="245C5FE8"/>
    <w:rsid w:val="245C61AD"/>
    <w:rsid w:val="245E7CB8"/>
    <w:rsid w:val="245F0100"/>
    <w:rsid w:val="245F0F7A"/>
    <w:rsid w:val="245F12E5"/>
    <w:rsid w:val="245F1650"/>
    <w:rsid w:val="245F1B71"/>
    <w:rsid w:val="245F573A"/>
    <w:rsid w:val="2460183D"/>
    <w:rsid w:val="246031BB"/>
    <w:rsid w:val="24610C3D"/>
    <w:rsid w:val="24633790"/>
    <w:rsid w:val="2464432F"/>
    <w:rsid w:val="246456B0"/>
    <w:rsid w:val="24657643"/>
    <w:rsid w:val="246650C5"/>
    <w:rsid w:val="24672B46"/>
    <w:rsid w:val="246762B0"/>
    <w:rsid w:val="246805C8"/>
    <w:rsid w:val="24683E4B"/>
    <w:rsid w:val="246918CD"/>
    <w:rsid w:val="246979BF"/>
    <w:rsid w:val="246A3ACB"/>
    <w:rsid w:val="246A734E"/>
    <w:rsid w:val="246B10FD"/>
    <w:rsid w:val="246B4DD0"/>
    <w:rsid w:val="246B6FCE"/>
    <w:rsid w:val="246C2851"/>
    <w:rsid w:val="246C4A50"/>
    <w:rsid w:val="246D02D3"/>
    <w:rsid w:val="246D24D1"/>
    <w:rsid w:val="246D3214"/>
    <w:rsid w:val="246E390D"/>
    <w:rsid w:val="246E7F53"/>
    <w:rsid w:val="246F211E"/>
    <w:rsid w:val="246F37D6"/>
    <w:rsid w:val="246F478D"/>
    <w:rsid w:val="246F59D4"/>
    <w:rsid w:val="24701257"/>
    <w:rsid w:val="24705167"/>
    <w:rsid w:val="24716CD9"/>
    <w:rsid w:val="2472475B"/>
    <w:rsid w:val="247321DC"/>
    <w:rsid w:val="2473727F"/>
    <w:rsid w:val="24737C5E"/>
    <w:rsid w:val="24741E5C"/>
    <w:rsid w:val="247507F8"/>
    <w:rsid w:val="247509BC"/>
    <w:rsid w:val="24753161"/>
    <w:rsid w:val="247578DE"/>
    <w:rsid w:val="24771F35"/>
    <w:rsid w:val="24772DE1"/>
    <w:rsid w:val="24782AD4"/>
    <w:rsid w:val="247840E5"/>
    <w:rsid w:val="24791B67"/>
    <w:rsid w:val="247A698A"/>
    <w:rsid w:val="247A75E9"/>
    <w:rsid w:val="247B506A"/>
    <w:rsid w:val="247C0C4C"/>
    <w:rsid w:val="247C2AEC"/>
    <w:rsid w:val="247C7268"/>
    <w:rsid w:val="247D056D"/>
    <w:rsid w:val="247E5FEF"/>
    <w:rsid w:val="247E76DD"/>
    <w:rsid w:val="247F01ED"/>
    <w:rsid w:val="247F027C"/>
    <w:rsid w:val="248117F4"/>
    <w:rsid w:val="24821172"/>
    <w:rsid w:val="248249F5"/>
    <w:rsid w:val="24832F32"/>
    <w:rsid w:val="24836BF3"/>
    <w:rsid w:val="248420F6"/>
    <w:rsid w:val="248544AB"/>
    <w:rsid w:val="2485597A"/>
    <w:rsid w:val="24857B78"/>
    <w:rsid w:val="24870E7D"/>
    <w:rsid w:val="2487307B"/>
    <w:rsid w:val="24880AFD"/>
    <w:rsid w:val="24894380"/>
    <w:rsid w:val="2489657E"/>
    <w:rsid w:val="24897977"/>
    <w:rsid w:val="248A06DA"/>
    <w:rsid w:val="248B1A81"/>
    <w:rsid w:val="248B469D"/>
    <w:rsid w:val="248B77AF"/>
    <w:rsid w:val="248B7965"/>
    <w:rsid w:val="248C2D86"/>
    <w:rsid w:val="248C5304"/>
    <w:rsid w:val="248D4F84"/>
    <w:rsid w:val="248D5FC1"/>
    <w:rsid w:val="248D632C"/>
    <w:rsid w:val="248D6697"/>
    <w:rsid w:val="248E42DA"/>
    <w:rsid w:val="248E6289"/>
    <w:rsid w:val="248F3D0B"/>
    <w:rsid w:val="248F3D6A"/>
    <w:rsid w:val="24905F09"/>
    <w:rsid w:val="249152E3"/>
    <w:rsid w:val="24924C8F"/>
    <w:rsid w:val="24925E82"/>
    <w:rsid w:val="2494490F"/>
    <w:rsid w:val="24952391"/>
    <w:rsid w:val="24957DD5"/>
    <w:rsid w:val="24960973"/>
    <w:rsid w:val="24961512"/>
    <w:rsid w:val="24964E81"/>
    <w:rsid w:val="24967E12"/>
    <w:rsid w:val="24971117"/>
    <w:rsid w:val="24975894"/>
    <w:rsid w:val="24983315"/>
    <w:rsid w:val="24990D97"/>
    <w:rsid w:val="2499461A"/>
    <w:rsid w:val="249A09DF"/>
    <w:rsid w:val="249A1C21"/>
    <w:rsid w:val="249A4004"/>
    <w:rsid w:val="249B429A"/>
    <w:rsid w:val="249B7B1D"/>
    <w:rsid w:val="249C559F"/>
    <w:rsid w:val="249E0AA2"/>
    <w:rsid w:val="24A11A27"/>
    <w:rsid w:val="24A13C25"/>
    <w:rsid w:val="24A216A6"/>
    <w:rsid w:val="24A32186"/>
    <w:rsid w:val="24A32EE9"/>
    <w:rsid w:val="24A4042D"/>
    <w:rsid w:val="24A44BA9"/>
    <w:rsid w:val="24A5262B"/>
    <w:rsid w:val="24A61F54"/>
    <w:rsid w:val="24A63930"/>
    <w:rsid w:val="24A713B1"/>
    <w:rsid w:val="24A759DB"/>
    <w:rsid w:val="24A835B0"/>
    <w:rsid w:val="24A8657A"/>
    <w:rsid w:val="24A94248"/>
    <w:rsid w:val="24A948B4"/>
    <w:rsid w:val="24A96F54"/>
    <w:rsid w:val="24AA6AB3"/>
    <w:rsid w:val="24AA7AF3"/>
    <w:rsid w:val="24AB04CD"/>
    <w:rsid w:val="24AD7A37"/>
    <w:rsid w:val="24AF2F3B"/>
    <w:rsid w:val="24AF67BE"/>
    <w:rsid w:val="24B009BC"/>
    <w:rsid w:val="24B03D22"/>
    <w:rsid w:val="24B0423F"/>
    <w:rsid w:val="24B11CC1"/>
    <w:rsid w:val="24B1643E"/>
    <w:rsid w:val="24B351C4"/>
    <w:rsid w:val="24B35C75"/>
    <w:rsid w:val="24B36813"/>
    <w:rsid w:val="24B369D8"/>
    <w:rsid w:val="24B473C2"/>
    <w:rsid w:val="24B506C7"/>
    <w:rsid w:val="24B66149"/>
    <w:rsid w:val="24B73BCA"/>
    <w:rsid w:val="24B8164C"/>
    <w:rsid w:val="24B85C79"/>
    <w:rsid w:val="24B970CD"/>
    <w:rsid w:val="24BA341D"/>
    <w:rsid w:val="24BA35E1"/>
    <w:rsid w:val="24BA4B4F"/>
    <w:rsid w:val="24BB25D0"/>
    <w:rsid w:val="24BB4180"/>
    <w:rsid w:val="24BC0052"/>
    <w:rsid w:val="24BC5AD3"/>
    <w:rsid w:val="24BD3555"/>
    <w:rsid w:val="24BE6297"/>
    <w:rsid w:val="24BF09F7"/>
    <w:rsid w:val="24BF6A58"/>
    <w:rsid w:val="24C044DA"/>
    <w:rsid w:val="24C10BC5"/>
    <w:rsid w:val="24C3545E"/>
    <w:rsid w:val="24C42CDC"/>
    <w:rsid w:val="24C42EE0"/>
    <w:rsid w:val="24C50961"/>
    <w:rsid w:val="24C513B8"/>
    <w:rsid w:val="24C5387B"/>
    <w:rsid w:val="24C6060B"/>
    <w:rsid w:val="24C6441A"/>
    <w:rsid w:val="24C663E3"/>
    <w:rsid w:val="24C818E6"/>
    <w:rsid w:val="24C97368"/>
    <w:rsid w:val="24CA4DE9"/>
    <w:rsid w:val="24CA6F0B"/>
    <w:rsid w:val="24CA70D0"/>
    <w:rsid w:val="24CB286B"/>
    <w:rsid w:val="24CD15F1"/>
    <w:rsid w:val="24CD5D6E"/>
    <w:rsid w:val="24CE259C"/>
    <w:rsid w:val="24CF1271"/>
    <w:rsid w:val="24D03CD9"/>
    <w:rsid w:val="24D06CF2"/>
    <w:rsid w:val="24D14774"/>
    <w:rsid w:val="24D14878"/>
    <w:rsid w:val="24D17FF7"/>
    <w:rsid w:val="24D221F6"/>
    <w:rsid w:val="24D334FA"/>
    <w:rsid w:val="24D40F7C"/>
    <w:rsid w:val="24D4317A"/>
    <w:rsid w:val="24D434BF"/>
    <w:rsid w:val="24D467CB"/>
    <w:rsid w:val="24D50BFC"/>
    <w:rsid w:val="24D5203C"/>
    <w:rsid w:val="24D569FD"/>
    <w:rsid w:val="24D6447F"/>
    <w:rsid w:val="24D71F01"/>
    <w:rsid w:val="24D740FF"/>
    <w:rsid w:val="24D81481"/>
    <w:rsid w:val="24D87982"/>
    <w:rsid w:val="24D91E5B"/>
    <w:rsid w:val="24DA29FA"/>
    <w:rsid w:val="24DB2B05"/>
    <w:rsid w:val="24DC0587"/>
    <w:rsid w:val="24DC3E0A"/>
    <w:rsid w:val="24DC4B11"/>
    <w:rsid w:val="24DC4CD6"/>
    <w:rsid w:val="24DD188B"/>
    <w:rsid w:val="24DE3A8A"/>
    <w:rsid w:val="24DF150B"/>
    <w:rsid w:val="24DF6BC3"/>
    <w:rsid w:val="24DF7844"/>
    <w:rsid w:val="24E10292"/>
    <w:rsid w:val="24E103F6"/>
    <w:rsid w:val="24E14A0E"/>
    <w:rsid w:val="24E20D41"/>
    <w:rsid w:val="24E22490"/>
    <w:rsid w:val="24E25D13"/>
    <w:rsid w:val="24E318DF"/>
    <w:rsid w:val="24E35410"/>
    <w:rsid w:val="24E37F11"/>
    <w:rsid w:val="24E45993"/>
    <w:rsid w:val="24E53415"/>
    <w:rsid w:val="24E60E96"/>
    <w:rsid w:val="24E64719"/>
    <w:rsid w:val="24E74595"/>
    <w:rsid w:val="24E84DAB"/>
    <w:rsid w:val="24E91E1B"/>
    <w:rsid w:val="24E9569E"/>
    <w:rsid w:val="24EA3120"/>
    <w:rsid w:val="24EB0BA1"/>
    <w:rsid w:val="24EC6623"/>
    <w:rsid w:val="24ED0821"/>
    <w:rsid w:val="24ED0FDA"/>
    <w:rsid w:val="24EE3D24"/>
    <w:rsid w:val="24EF17A6"/>
    <w:rsid w:val="24F032B6"/>
    <w:rsid w:val="24F07227"/>
    <w:rsid w:val="24F12AAA"/>
    <w:rsid w:val="24F17BED"/>
    <w:rsid w:val="24F2052C"/>
    <w:rsid w:val="24F2272A"/>
    <w:rsid w:val="24F2482F"/>
    <w:rsid w:val="24F27361"/>
    <w:rsid w:val="24F301AC"/>
    <w:rsid w:val="24F353CE"/>
    <w:rsid w:val="24F365B4"/>
    <w:rsid w:val="24F414B1"/>
    <w:rsid w:val="24F56F32"/>
    <w:rsid w:val="24F649B4"/>
    <w:rsid w:val="24F674E5"/>
    <w:rsid w:val="24F73C87"/>
    <w:rsid w:val="24F77EC0"/>
    <w:rsid w:val="24F81438"/>
    <w:rsid w:val="24F81B46"/>
    <w:rsid w:val="24F87EB7"/>
    <w:rsid w:val="24F920B5"/>
    <w:rsid w:val="24F95938"/>
    <w:rsid w:val="24FC303A"/>
    <w:rsid w:val="24FD0ABB"/>
    <w:rsid w:val="24FD433F"/>
    <w:rsid w:val="24FD4AC9"/>
    <w:rsid w:val="24FE1DC0"/>
    <w:rsid w:val="24FE5668"/>
    <w:rsid w:val="24FE653D"/>
    <w:rsid w:val="24FF7842"/>
    <w:rsid w:val="25012D45"/>
    <w:rsid w:val="250174C1"/>
    <w:rsid w:val="2501777F"/>
    <w:rsid w:val="25020159"/>
    <w:rsid w:val="25024F43"/>
    <w:rsid w:val="25030CF8"/>
    <w:rsid w:val="250329C5"/>
    <w:rsid w:val="25040446"/>
    <w:rsid w:val="25043CC9"/>
    <w:rsid w:val="2505174B"/>
    <w:rsid w:val="25052E0F"/>
    <w:rsid w:val="25053949"/>
    <w:rsid w:val="25055EC8"/>
    <w:rsid w:val="250613CB"/>
    <w:rsid w:val="250639AE"/>
    <w:rsid w:val="250671CD"/>
    <w:rsid w:val="25075D5E"/>
    <w:rsid w:val="250826D0"/>
    <w:rsid w:val="25090151"/>
    <w:rsid w:val="25095AC6"/>
    <w:rsid w:val="250A5BD3"/>
    <w:rsid w:val="250A6664"/>
    <w:rsid w:val="250A7DD1"/>
    <w:rsid w:val="250B5853"/>
    <w:rsid w:val="250C32D4"/>
    <w:rsid w:val="250C7A19"/>
    <w:rsid w:val="250D6B57"/>
    <w:rsid w:val="250E67D7"/>
    <w:rsid w:val="250F1CF5"/>
    <w:rsid w:val="250F5524"/>
    <w:rsid w:val="250F7ADC"/>
    <w:rsid w:val="25101CDA"/>
    <w:rsid w:val="2510304E"/>
    <w:rsid w:val="2510555E"/>
    <w:rsid w:val="251130A9"/>
    <w:rsid w:val="2511775C"/>
    <w:rsid w:val="25131166"/>
    <w:rsid w:val="251351C1"/>
    <w:rsid w:val="251364E2"/>
    <w:rsid w:val="25143F64"/>
    <w:rsid w:val="25145F24"/>
    <w:rsid w:val="251519E5"/>
    <w:rsid w:val="25156162"/>
    <w:rsid w:val="25163BE4"/>
    <w:rsid w:val="2517003B"/>
    <w:rsid w:val="25174EE8"/>
    <w:rsid w:val="2518296A"/>
    <w:rsid w:val="251870E7"/>
    <w:rsid w:val="251903EC"/>
    <w:rsid w:val="25194B68"/>
    <w:rsid w:val="251A1F8F"/>
    <w:rsid w:val="251B2969"/>
    <w:rsid w:val="251B38EF"/>
    <w:rsid w:val="251C1370"/>
    <w:rsid w:val="251C753A"/>
    <w:rsid w:val="251C78A5"/>
    <w:rsid w:val="251D626C"/>
    <w:rsid w:val="251E4873"/>
    <w:rsid w:val="25216B98"/>
    <w:rsid w:val="252178FB"/>
    <w:rsid w:val="25223279"/>
    <w:rsid w:val="25230CFB"/>
    <w:rsid w:val="25251C80"/>
    <w:rsid w:val="25267701"/>
    <w:rsid w:val="25273966"/>
    <w:rsid w:val="25282C04"/>
    <w:rsid w:val="25284340"/>
    <w:rsid w:val="25284504"/>
    <w:rsid w:val="25290686"/>
    <w:rsid w:val="252950A3"/>
    <w:rsid w:val="252B3B89"/>
    <w:rsid w:val="252C0894"/>
    <w:rsid w:val="252C0F6A"/>
    <w:rsid w:val="252C160A"/>
    <w:rsid w:val="252D53FE"/>
    <w:rsid w:val="252D708C"/>
    <w:rsid w:val="252D7E52"/>
    <w:rsid w:val="252F1AE8"/>
    <w:rsid w:val="25317C88"/>
    <w:rsid w:val="25330F95"/>
    <w:rsid w:val="2533479E"/>
    <w:rsid w:val="25334962"/>
    <w:rsid w:val="2534229A"/>
    <w:rsid w:val="25346A17"/>
    <w:rsid w:val="25354498"/>
    <w:rsid w:val="25355EDB"/>
    <w:rsid w:val="25357D1C"/>
    <w:rsid w:val="2537321F"/>
    <w:rsid w:val="25377290"/>
    <w:rsid w:val="2538655B"/>
    <w:rsid w:val="25392E9F"/>
    <w:rsid w:val="2539485F"/>
    <w:rsid w:val="253A0920"/>
    <w:rsid w:val="253A210A"/>
    <w:rsid w:val="253A2EBB"/>
    <w:rsid w:val="253A41A3"/>
    <w:rsid w:val="253B1F59"/>
    <w:rsid w:val="253B2AE5"/>
    <w:rsid w:val="253B63A2"/>
    <w:rsid w:val="253C3E23"/>
    <w:rsid w:val="253D18A5"/>
    <w:rsid w:val="253F062B"/>
    <w:rsid w:val="253F2829"/>
    <w:rsid w:val="25413B2E"/>
    <w:rsid w:val="25416D14"/>
    <w:rsid w:val="254215B0"/>
    <w:rsid w:val="254237AE"/>
    <w:rsid w:val="254278B2"/>
    <w:rsid w:val="25431230"/>
    <w:rsid w:val="25446CB1"/>
    <w:rsid w:val="254519CA"/>
    <w:rsid w:val="25452535"/>
    <w:rsid w:val="25454733"/>
    <w:rsid w:val="25457FB6"/>
    <w:rsid w:val="254621B4"/>
    <w:rsid w:val="25465A38"/>
    <w:rsid w:val="25477C36"/>
    <w:rsid w:val="25485F24"/>
    <w:rsid w:val="254969BC"/>
    <w:rsid w:val="254A0BBB"/>
    <w:rsid w:val="254A443E"/>
    <w:rsid w:val="254B640F"/>
    <w:rsid w:val="254B663C"/>
    <w:rsid w:val="254C7172"/>
    <w:rsid w:val="254C7941"/>
    <w:rsid w:val="254D1B3F"/>
    <w:rsid w:val="254E0526"/>
    <w:rsid w:val="254E2E44"/>
    <w:rsid w:val="25502AC4"/>
    <w:rsid w:val="25506347"/>
    <w:rsid w:val="25510545"/>
    <w:rsid w:val="2551263E"/>
    <w:rsid w:val="25513DC9"/>
    <w:rsid w:val="2552184A"/>
    <w:rsid w:val="25533A48"/>
    <w:rsid w:val="25560DD8"/>
    <w:rsid w:val="2556244F"/>
    <w:rsid w:val="25565E93"/>
    <w:rsid w:val="25566A31"/>
    <w:rsid w:val="2557740C"/>
    <w:rsid w:val="25585952"/>
    <w:rsid w:val="25587FAA"/>
    <w:rsid w:val="255911D5"/>
    <w:rsid w:val="255A0E55"/>
    <w:rsid w:val="255A1523"/>
    <w:rsid w:val="255A2720"/>
    <w:rsid w:val="255B20C2"/>
    <w:rsid w:val="255B46D8"/>
    <w:rsid w:val="255D363B"/>
    <w:rsid w:val="255D565D"/>
    <w:rsid w:val="255D7BDB"/>
    <w:rsid w:val="255E41D9"/>
    <w:rsid w:val="255E785B"/>
    <w:rsid w:val="255F0B60"/>
    <w:rsid w:val="255F52DD"/>
    <w:rsid w:val="255F7774"/>
    <w:rsid w:val="25602D5E"/>
    <w:rsid w:val="2560558E"/>
    <w:rsid w:val="25605752"/>
    <w:rsid w:val="256162F1"/>
    <w:rsid w:val="25621AE5"/>
    <w:rsid w:val="25626261"/>
    <w:rsid w:val="25626CCB"/>
    <w:rsid w:val="25633CE3"/>
    <w:rsid w:val="25637566"/>
    <w:rsid w:val="2563786A"/>
    <w:rsid w:val="25652A69"/>
    <w:rsid w:val="25653094"/>
    <w:rsid w:val="256571E6"/>
    <w:rsid w:val="256604EB"/>
    <w:rsid w:val="25670CAF"/>
    <w:rsid w:val="25670E64"/>
    <w:rsid w:val="256716F0"/>
    <w:rsid w:val="256726E9"/>
    <w:rsid w:val="25672D36"/>
    <w:rsid w:val="25675F6C"/>
    <w:rsid w:val="2568016B"/>
    <w:rsid w:val="256839EE"/>
    <w:rsid w:val="2569146F"/>
    <w:rsid w:val="25695BEC"/>
    <w:rsid w:val="256B10EF"/>
    <w:rsid w:val="256D45F2"/>
    <w:rsid w:val="256D7129"/>
    <w:rsid w:val="256D7E76"/>
    <w:rsid w:val="256E58F7"/>
    <w:rsid w:val="256E7B04"/>
    <w:rsid w:val="256F06A2"/>
    <w:rsid w:val="256F3379"/>
    <w:rsid w:val="256F5577"/>
    <w:rsid w:val="25702FF9"/>
    <w:rsid w:val="25711C1B"/>
    <w:rsid w:val="2571687C"/>
    <w:rsid w:val="25731D7F"/>
    <w:rsid w:val="25733D33"/>
    <w:rsid w:val="257419FF"/>
    <w:rsid w:val="25747800"/>
    <w:rsid w:val="257537F7"/>
    <w:rsid w:val="25755282"/>
    <w:rsid w:val="25757480"/>
    <w:rsid w:val="25760785"/>
    <w:rsid w:val="25764F02"/>
    <w:rsid w:val="25772983"/>
    <w:rsid w:val="25776207"/>
    <w:rsid w:val="25783C88"/>
    <w:rsid w:val="2579170A"/>
    <w:rsid w:val="25795E86"/>
    <w:rsid w:val="257A3908"/>
    <w:rsid w:val="257A718B"/>
    <w:rsid w:val="257B138A"/>
    <w:rsid w:val="257B2BAE"/>
    <w:rsid w:val="257C55A1"/>
    <w:rsid w:val="257C6E0B"/>
    <w:rsid w:val="257D488D"/>
    <w:rsid w:val="257E230E"/>
    <w:rsid w:val="257E5B91"/>
    <w:rsid w:val="257F3613"/>
    <w:rsid w:val="257F7D90"/>
    <w:rsid w:val="25805811"/>
    <w:rsid w:val="258162A8"/>
    <w:rsid w:val="25816B16"/>
    <w:rsid w:val="25826E47"/>
    <w:rsid w:val="25836A16"/>
    <w:rsid w:val="25847A9B"/>
    <w:rsid w:val="2585551C"/>
    <w:rsid w:val="25861939"/>
    <w:rsid w:val="258C4EA7"/>
    <w:rsid w:val="258D2929"/>
    <w:rsid w:val="258D6706"/>
    <w:rsid w:val="258E03AA"/>
    <w:rsid w:val="258E5E2C"/>
    <w:rsid w:val="258E70E1"/>
    <w:rsid w:val="258F065A"/>
    <w:rsid w:val="2590132F"/>
    <w:rsid w:val="25911713"/>
    <w:rsid w:val="2592103D"/>
    <w:rsid w:val="259322B4"/>
    <w:rsid w:val="25937D6F"/>
    <w:rsid w:val="25937F25"/>
    <w:rsid w:val="25947D35"/>
    <w:rsid w:val="259557B7"/>
    <w:rsid w:val="25975406"/>
    <w:rsid w:val="2598673B"/>
    <w:rsid w:val="25997A40"/>
    <w:rsid w:val="259A54C2"/>
    <w:rsid w:val="259B2F43"/>
    <w:rsid w:val="259B76C0"/>
    <w:rsid w:val="259C09C5"/>
    <w:rsid w:val="259D2BC3"/>
    <w:rsid w:val="259D6446"/>
    <w:rsid w:val="259F60C6"/>
    <w:rsid w:val="25A03D3B"/>
    <w:rsid w:val="25A073CB"/>
    <w:rsid w:val="25A14E4D"/>
    <w:rsid w:val="25A156C1"/>
    <w:rsid w:val="25A15886"/>
    <w:rsid w:val="25A26260"/>
    <w:rsid w:val="25A2704B"/>
    <w:rsid w:val="25A34ACC"/>
    <w:rsid w:val="25A53853"/>
    <w:rsid w:val="25A57FCF"/>
    <w:rsid w:val="25A60D52"/>
    <w:rsid w:val="25A65A51"/>
    <w:rsid w:val="25A718F0"/>
    <w:rsid w:val="25A76D56"/>
    <w:rsid w:val="25A847D7"/>
    <w:rsid w:val="25A869D6"/>
    <w:rsid w:val="25A92259"/>
    <w:rsid w:val="25AA7CDA"/>
    <w:rsid w:val="25AB4F81"/>
    <w:rsid w:val="25AB575C"/>
    <w:rsid w:val="25AC5B1F"/>
    <w:rsid w:val="25AD0C5F"/>
    <w:rsid w:val="25AE08DF"/>
    <w:rsid w:val="25AF7A72"/>
    <w:rsid w:val="25B032A3"/>
    <w:rsid w:val="25B07665"/>
    <w:rsid w:val="25B22B68"/>
    <w:rsid w:val="25B305EA"/>
    <w:rsid w:val="25B32729"/>
    <w:rsid w:val="25B427E8"/>
    <w:rsid w:val="25B43E15"/>
    <w:rsid w:val="25B4606C"/>
    <w:rsid w:val="25B5026A"/>
    <w:rsid w:val="25B53AED"/>
    <w:rsid w:val="25B53CA1"/>
    <w:rsid w:val="25B53E66"/>
    <w:rsid w:val="25B6156F"/>
    <w:rsid w:val="25B65CEB"/>
    <w:rsid w:val="25B7376D"/>
    <w:rsid w:val="25B753DF"/>
    <w:rsid w:val="25B84A72"/>
    <w:rsid w:val="25B924F3"/>
    <w:rsid w:val="25BA46F2"/>
    <w:rsid w:val="25BB2173"/>
    <w:rsid w:val="25BC1216"/>
    <w:rsid w:val="25BC13CB"/>
    <w:rsid w:val="25BC1449"/>
    <w:rsid w:val="25BC3478"/>
    <w:rsid w:val="25BC7BF5"/>
    <w:rsid w:val="25BD0EF9"/>
    <w:rsid w:val="25BD1DD5"/>
    <w:rsid w:val="25BD1E98"/>
    <w:rsid w:val="25BD5676"/>
    <w:rsid w:val="25BE0B79"/>
    <w:rsid w:val="25BE30F8"/>
    <w:rsid w:val="25BE697B"/>
    <w:rsid w:val="25BF3725"/>
    <w:rsid w:val="25BF65FB"/>
    <w:rsid w:val="25C01E7E"/>
    <w:rsid w:val="25C0407C"/>
    <w:rsid w:val="25C11AFE"/>
    <w:rsid w:val="25C14C9E"/>
    <w:rsid w:val="25C17900"/>
    <w:rsid w:val="25C25381"/>
    <w:rsid w:val="25C2583D"/>
    <w:rsid w:val="25C27580"/>
    <w:rsid w:val="25C32E03"/>
    <w:rsid w:val="25C35001"/>
    <w:rsid w:val="25C36217"/>
    <w:rsid w:val="25C42A83"/>
    <w:rsid w:val="25C46BF1"/>
    <w:rsid w:val="25C57790"/>
    <w:rsid w:val="25C61809"/>
    <w:rsid w:val="25C63D87"/>
    <w:rsid w:val="25C71A6C"/>
    <w:rsid w:val="25C9278E"/>
    <w:rsid w:val="25C96F0A"/>
    <w:rsid w:val="25CA020F"/>
    <w:rsid w:val="25CA498C"/>
    <w:rsid w:val="25CB240D"/>
    <w:rsid w:val="25CB4399"/>
    <w:rsid w:val="25CB5C91"/>
    <w:rsid w:val="25CC3712"/>
    <w:rsid w:val="25CD1194"/>
    <w:rsid w:val="25CD1458"/>
    <w:rsid w:val="25CD160D"/>
    <w:rsid w:val="25CE64B1"/>
    <w:rsid w:val="25CF4697"/>
    <w:rsid w:val="25CF7050"/>
    <w:rsid w:val="25CF7214"/>
    <w:rsid w:val="25D06895"/>
    <w:rsid w:val="25D0724F"/>
    <w:rsid w:val="25D07BEE"/>
    <w:rsid w:val="25D17B9A"/>
    <w:rsid w:val="25D21167"/>
    <w:rsid w:val="25D21D98"/>
    <w:rsid w:val="25D2561C"/>
    <w:rsid w:val="25D3309D"/>
    <w:rsid w:val="25D43E37"/>
    <w:rsid w:val="25D52D1D"/>
    <w:rsid w:val="25D565A0"/>
    <w:rsid w:val="25D71AA3"/>
    <w:rsid w:val="25D73CA2"/>
    <w:rsid w:val="25D76220"/>
    <w:rsid w:val="25D87525"/>
    <w:rsid w:val="25D95CAF"/>
    <w:rsid w:val="25D9690F"/>
    <w:rsid w:val="25DA2A28"/>
    <w:rsid w:val="25DA4C26"/>
    <w:rsid w:val="25DB26A8"/>
    <w:rsid w:val="25DB38CA"/>
    <w:rsid w:val="25DC0A27"/>
    <w:rsid w:val="25DC5F2B"/>
    <w:rsid w:val="25DE6EB0"/>
    <w:rsid w:val="25DF2B3E"/>
    <w:rsid w:val="25DF4931"/>
    <w:rsid w:val="25E023B3"/>
    <w:rsid w:val="25E0427B"/>
    <w:rsid w:val="25E06B30"/>
    <w:rsid w:val="25E140B7"/>
    <w:rsid w:val="25E17E34"/>
    <w:rsid w:val="25E36393"/>
    <w:rsid w:val="25E37AB4"/>
    <w:rsid w:val="25E45536"/>
    <w:rsid w:val="25E46D6D"/>
    <w:rsid w:val="25E52FB7"/>
    <w:rsid w:val="25E5683B"/>
    <w:rsid w:val="25E642BC"/>
    <w:rsid w:val="25E70E85"/>
    <w:rsid w:val="25E87DB6"/>
    <w:rsid w:val="25E95241"/>
    <w:rsid w:val="25EA2CC2"/>
    <w:rsid w:val="25EA2F9C"/>
    <w:rsid w:val="25EA5B86"/>
    <w:rsid w:val="25EA5EF1"/>
    <w:rsid w:val="25EA625C"/>
    <w:rsid w:val="25EB0744"/>
    <w:rsid w:val="25EB3B3B"/>
    <w:rsid w:val="25EC2D81"/>
    <w:rsid w:val="25ED3C47"/>
    <w:rsid w:val="25ED4EEF"/>
    <w:rsid w:val="25ED50B4"/>
    <w:rsid w:val="25EE16C9"/>
    <w:rsid w:val="25EE5A8E"/>
    <w:rsid w:val="25F04BCC"/>
    <w:rsid w:val="25F07BA6"/>
    <w:rsid w:val="25F1264D"/>
    <w:rsid w:val="25F212E3"/>
    <w:rsid w:val="25F35B50"/>
    <w:rsid w:val="25F63DD5"/>
    <w:rsid w:val="25F66AD5"/>
    <w:rsid w:val="25F71FD8"/>
    <w:rsid w:val="25F74556"/>
    <w:rsid w:val="25F806CE"/>
    <w:rsid w:val="25FA2F5D"/>
    <w:rsid w:val="25FA68C7"/>
    <w:rsid w:val="25FB09DE"/>
    <w:rsid w:val="25FC6460"/>
    <w:rsid w:val="25FD157D"/>
    <w:rsid w:val="25FD3EE1"/>
    <w:rsid w:val="25FE1963"/>
    <w:rsid w:val="25FF2AF6"/>
    <w:rsid w:val="25FF73E4"/>
    <w:rsid w:val="26004E66"/>
    <w:rsid w:val="260128E8"/>
    <w:rsid w:val="26014233"/>
    <w:rsid w:val="2601616B"/>
    <w:rsid w:val="26027740"/>
    <w:rsid w:val="2603166E"/>
    <w:rsid w:val="260470EF"/>
    <w:rsid w:val="260512EE"/>
    <w:rsid w:val="26054B71"/>
    <w:rsid w:val="26057898"/>
    <w:rsid w:val="26063217"/>
    <w:rsid w:val="26070074"/>
    <w:rsid w:val="2607261F"/>
    <w:rsid w:val="2607298B"/>
    <w:rsid w:val="26082272"/>
    <w:rsid w:val="26091268"/>
    <w:rsid w:val="26091816"/>
    <w:rsid w:val="260919DB"/>
    <w:rsid w:val="260A23B5"/>
    <w:rsid w:val="260A2F54"/>
    <w:rsid w:val="260A5775"/>
    <w:rsid w:val="260B3AF2"/>
    <w:rsid w:val="260B6374"/>
    <w:rsid w:val="260B6A7A"/>
    <w:rsid w:val="260C4691"/>
    <w:rsid w:val="260D1F7D"/>
    <w:rsid w:val="260D66FA"/>
    <w:rsid w:val="260E79FF"/>
    <w:rsid w:val="260F1BFD"/>
    <w:rsid w:val="260F5480"/>
    <w:rsid w:val="260F6838"/>
    <w:rsid w:val="26103C64"/>
    <w:rsid w:val="26105100"/>
    <w:rsid w:val="26106FBE"/>
    <w:rsid w:val="26107183"/>
    <w:rsid w:val="26110984"/>
    <w:rsid w:val="26112B82"/>
    <w:rsid w:val="26117B5D"/>
    <w:rsid w:val="26117D22"/>
    <w:rsid w:val="26120603"/>
    <w:rsid w:val="261206FC"/>
    <w:rsid w:val="26126405"/>
    <w:rsid w:val="261310D6"/>
    <w:rsid w:val="26136085"/>
    <w:rsid w:val="261460CA"/>
    <w:rsid w:val="26146B0C"/>
    <w:rsid w:val="26155688"/>
    <w:rsid w:val="26164E0B"/>
    <w:rsid w:val="2616700A"/>
    <w:rsid w:val="2617030E"/>
    <w:rsid w:val="2617288D"/>
    <w:rsid w:val="2617492B"/>
    <w:rsid w:val="26174A8B"/>
    <w:rsid w:val="26181E05"/>
    <w:rsid w:val="2618250D"/>
    <w:rsid w:val="26197F8E"/>
    <w:rsid w:val="261A687E"/>
    <w:rsid w:val="261B3491"/>
    <w:rsid w:val="261B6D15"/>
    <w:rsid w:val="261B741D"/>
    <w:rsid w:val="261B75E1"/>
    <w:rsid w:val="261C0F13"/>
    <w:rsid w:val="261D6994"/>
    <w:rsid w:val="261E16F9"/>
    <w:rsid w:val="261E4416"/>
    <w:rsid w:val="261E7C99"/>
    <w:rsid w:val="261F1E98"/>
    <w:rsid w:val="261F20D3"/>
    <w:rsid w:val="261F571B"/>
    <w:rsid w:val="2620319C"/>
    <w:rsid w:val="26211B75"/>
    <w:rsid w:val="262241EA"/>
    <w:rsid w:val="262301D1"/>
    <w:rsid w:val="262325D7"/>
    <w:rsid w:val="26241BA3"/>
    <w:rsid w:val="26245763"/>
    <w:rsid w:val="26256EA1"/>
    <w:rsid w:val="26272B27"/>
    <w:rsid w:val="26274D25"/>
    <w:rsid w:val="262772A4"/>
    <w:rsid w:val="26280B3A"/>
    <w:rsid w:val="26290229"/>
    <w:rsid w:val="2629602A"/>
    <w:rsid w:val="262A2531"/>
    <w:rsid w:val="262B372C"/>
    <w:rsid w:val="262D4649"/>
    <w:rsid w:val="262E03B6"/>
    <w:rsid w:val="262E24B2"/>
    <w:rsid w:val="262E46B0"/>
    <w:rsid w:val="262F0C44"/>
    <w:rsid w:val="262F2132"/>
    <w:rsid w:val="262F57E2"/>
    <w:rsid w:val="262F7F34"/>
    <w:rsid w:val="26303437"/>
    <w:rsid w:val="26306760"/>
    <w:rsid w:val="26307BB3"/>
    <w:rsid w:val="26310EB8"/>
    <w:rsid w:val="26315635"/>
    <w:rsid w:val="2632693A"/>
    <w:rsid w:val="263343BB"/>
    <w:rsid w:val="26341DF0"/>
    <w:rsid w:val="263465BA"/>
    <w:rsid w:val="26365340"/>
    <w:rsid w:val="26373D44"/>
    <w:rsid w:val="2637753E"/>
    <w:rsid w:val="26380843"/>
    <w:rsid w:val="263952BC"/>
    <w:rsid w:val="263B17C8"/>
    <w:rsid w:val="263C39C6"/>
    <w:rsid w:val="263C7249"/>
    <w:rsid w:val="263C73D4"/>
    <w:rsid w:val="263D0137"/>
    <w:rsid w:val="263D1448"/>
    <w:rsid w:val="263D4CCB"/>
    <w:rsid w:val="263E274C"/>
    <w:rsid w:val="263F01CE"/>
    <w:rsid w:val="263F494B"/>
    <w:rsid w:val="26407E4E"/>
    <w:rsid w:val="264136D1"/>
    <w:rsid w:val="264158CF"/>
    <w:rsid w:val="26423351"/>
    <w:rsid w:val="26430DD2"/>
    <w:rsid w:val="264542D6"/>
    <w:rsid w:val="26461D57"/>
    <w:rsid w:val="26466E58"/>
    <w:rsid w:val="26467B59"/>
    <w:rsid w:val="264755DA"/>
    <w:rsid w:val="264803D1"/>
    <w:rsid w:val="2648525A"/>
    <w:rsid w:val="26490F70"/>
    <w:rsid w:val="264A1B0E"/>
    <w:rsid w:val="264B2324"/>
    <w:rsid w:val="264B24E8"/>
    <w:rsid w:val="264D3A61"/>
    <w:rsid w:val="264E75FD"/>
    <w:rsid w:val="264E7CD3"/>
    <w:rsid w:val="264F4FDA"/>
    <w:rsid w:val="26501B72"/>
    <w:rsid w:val="26505EEA"/>
    <w:rsid w:val="2651396B"/>
    <w:rsid w:val="265213ED"/>
    <w:rsid w:val="265448F0"/>
    <w:rsid w:val="26567DF3"/>
    <w:rsid w:val="265A67F9"/>
    <w:rsid w:val="265B5FD7"/>
    <w:rsid w:val="265C1CFC"/>
    <w:rsid w:val="265C29D1"/>
    <w:rsid w:val="265D777E"/>
    <w:rsid w:val="265E05EC"/>
    <w:rsid w:val="265E5200"/>
    <w:rsid w:val="265F1667"/>
    <w:rsid w:val="265F2C81"/>
    <w:rsid w:val="26600703"/>
    <w:rsid w:val="26602042"/>
    <w:rsid w:val="26612BE0"/>
    <w:rsid w:val="26613C06"/>
    <w:rsid w:val="2661634B"/>
    <w:rsid w:val="26637109"/>
    <w:rsid w:val="2665260C"/>
    <w:rsid w:val="26655897"/>
    <w:rsid w:val="26665E8F"/>
    <w:rsid w:val="26666271"/>
    <w:rsid w:val="26686E14"/>
    <w:rsid w:val="266879AE"/>
    <w:rsid w:val="26690388"/>
    <w:rsid w:val="26690F27"/>
    <w:rsid w:val="26691012"/>
    <w:rsid w:val="26694895"/>
    <w:rsid w:val="266A2317"/>
    <w:rsid w:val="266A5364"/>
    <w:rsid w:val="266B4515"/>
    <w:rsid w:val="266C1F97"/>
    <w:rsid w:val="266C303E"/>
    <w:rsid w:val="266C581A"/>
    <w:rsid w:val="266D3A19"/>
    <w:rsid w:val="266E0D1D"/>
    <w:rsid w:val="266E45B7"/>
    <w:rsid w:val="266E549A"/>
    <w:rsid w:val="266F2F1B"/>
    <w:rsid w:val="266F7045"/>
    <w:rsid w:val="26704BEA"/>
    <w:rsid w:val="26705B30"/>
    <w:rsid w:val="26722306"/>
    <w:rsid w:val="26723EA0"/>
    <w:rsid w:val="26727723"/>
    <w:rsid w:val="26731922"/>
    <w:rsid w:val="2673332F"/>
    <w:rsid w:val="26737C48"/>
    <w:rsid w:val="26742C26"/>
    <w:rsid w:val="26770328"/>
    <w:rsid w:val="2677349D"/>
    <w:rsid w:val="2678162D"/>
    <w:rsid w:val="2678382B"/>
    <w:rsid w:val="26785DA9"/>
    <w:rsid w:val="267912AC"/>
    <w:rsid w:val="267972B5"/>
    <w:rsid w:val="267A4B30"/>
    <w:rsid w:val="267A53F0"/>
    <w:rsid w:val="267A55B4"/>
    <w:rsid w:val="267A66BE"/>
    <w:rsid w:val="267B47B0"/>
    <w:rsid w:val="267B55A6"/>
    <w:rsid w:val="267D5AB4"/>
    <w:rsid w:val="267D7CB3"/>
    <w:rsid w:val="26800C37"/>
    <w:rsid w:val="268044BB"/>
    <w:rsid w:val="26806A39"/>
    <w:rsid w:val="26811F3C"/>
    <w:rsid w:val="26811FF9"/>
    <w:rsid w:val="268121BE"/>
    <w:rsid w:val="2682413A"/>
    <w:rsid w:val="2683543F"/>
    <w:rsid w:val="26842EC1"/>
    <w:rsid w:val="26850942"/>
    <w:rsid w:val="268550BF"/>
    <w:rsid w:val="26862B41"/>
    <w:rsid w:val="268663ED"/>
    <w:rsid w:val="268705C2"/>
    <w:rsid w:val="26873E45"/>
    <w:rsid w:val="268818C7"/>
    <w:rsid w:val="268818DC"/>
    <w:rsid w:val="26886044"/>
    <w:rsid w:val="26890504"/>
    <w:rsid w:val="26893AC5"/>
    <w:rsid w:val="268A4DCA"/>
    <w:rsid w:val="268B284C"/>
    <w:rsid w:val="268C02CD"/>
    <w:rsid w:val="268C2457"/>
    <w:rsid w:val="268C261C"/>
    <w:rsid w:val="268D24CB"/>
    <w:rsid w:val="268E37D0"/>
    <w:rsid w:val="268F1252"/>
    <w:rsid w:val="26904F49"/>
    <w:rsid w:val="26914755"/>
    <w:rsid w:val="26916953"/>
    <w:rsid w:val="269221D6"/>
    <w:rsid w:val="26937225"/>
    <w:rsid w:val="26937C58"/>
    <w:rsid w:val="269456DA"/>
    <w:rsid w:val="269478D8"/>
    <w:rsid w:val="2695133D"/>
    <w:rsid w:val="26955359"/>
    <w:rsid w:val="26961EDB"/>
    <w:rsid w:val="26962DDB"/>
    <w:rsid w:val="2696426F"/>
    <w:rsid w:val="26964425"/>
    <w:rsid w:val="26981B61"/>
    <w:rsid w:val="26983454"/>
    <w:rsid w:val="269862DE"/>
    <w:rsid w:val="269975E3"/>
    <w:rsid w:val="269A17E1"/>
    <w:rsid w:val="269A5064"/>
    <w:rsid w:val="269A5A41"/>
    <w:rsid w:val="269B2AE6"/>
    <w:rsid w:val="269B7263"/>
    <w:rsid w:val="269C0568"/>
    <w:rsid w:val="269C4CE4"/>
    <w:rsid w:val="269C6D59"/>
    <w:rsid w:val="269D2766"/>
    <w:rsid w:val="269D5FE9"/>
    <w:rsid w:val="269E01E7"/>
    <w:rsid w:val="269E3786"/>
    <w:rsid w:val="26A00BFC"/>
    <w:rsid w:val="26A06F6E"/>
    <w:rsid w:val="26A12175"/>
    <w:rsid w:val="26A149EF"/>
    <w:rsid w:val="26A22D14"/>
    <w:rsid w:val="26A336EE"/>
    <w:rsid w:val="26A3466F"/>
    <w:rsid w:val="26A37EF2"/>
    <w:rsid w:val="26A420F1"/>
    <w:rsid w:val="26A440C8"/>
    <w:rsid w:val="26A533F5"/>
    <w:rsid w:val="26A54D19"/>
    <w:rsid w:val="26A561C0"/>
    <w:rsid w:val="26A60E77"/>
    <w:rsid w:val="26A650A8"/>
    <w:rsid w:val="26A655F4"/>
    <w:rsid w:val="26A65805"/>
    <w:rsid w:val="26A74146"/>
    <w:rsid w:val="26A768F9"/>
    <w:rsid w:val="26A80AF7"/>
    <w:rsid w:val="26A8437A"/>
    <w:rsid w:val="26A86578"/>
    <w:rsid w:val="26A86D7E"/>
    <w:rsid w:val="26A93FFA"/>
    <w:rsid w:val="26AA1A7C"/>
    <w:rsid w:val="26AB52FF"/>
    <w:rsid w:val="26AB74FD"/>
    <w:rsid w:val="26AC2D80"/>
    <w:rsid w:val="26AD0802"/>
    <w:rsid w:val="26AD2A00"/>
    <w:rsid w:val="26AE0482"/>
    <w:rsid w:val="26AE2FAD"/>
    <w:rsid w:val="26AF3988"/>
    <w:rsid w:val="26AF3D05"/>
    <w:rsid w:val="26AF4526"/>
    <w:rsid w:val="26AF5F03"/>
    <w:rsid w:val="26B0360F"/>
    <w:rsid w:val="26B07208"/>
    <w:rsid w:val="26B11406"/>
    <w:rsid w:val="26B14C8A"/>
    <w:rsid w:val="26B2270B"/>
    <w:rsid w:val="26B2663E"/>
    <w:rsid w:val="26B26E88"/>
    <w:rsid w:val="26B3099D"/>
    <w:rsid w:val="26B371DC"/>
    <w:rsid w:val="26B50755"/>
    <w:rsid w:val="26B56C8E"/>
    <w:rsid w:val="26B56FF9"/>
    <w:rsid w:val="26B571AF"/>
    <w:rsid w:val="26B61111"/>
    <w:rsid w:val="26B612F4"/>
    <w:rsid w:val="26B71CCE"/>
    <w:rsid w:val="26B75F6B"/>
    <w:rsid w:val="26B76B93"/>
    <w:rsid w:val="26B90AB9"/>
    <w:rsid w:val="26BA7B18"/>
    <w:rsid w:val="26BC301B"/>
    <w:rsid w:val="26BD0A9C"/>
    <w:rsid w:val="26BD6A9C"/>
    <w:rsid w:val="26BE651E"/>
    <w:rsid w:val="26BF3F9F"/>
    <w:rsid w:val="26C01A21"/>
    <w:rsid w:val="26C22E0F"/>
    <w:rsid w:val="26C32062"/>
    <w:rsid w:val="26C329A6"/>
    <w:rsid w:val="26C74FDC"/>
    <w:rsid w:val="26C8635B"/>
    <w:rsid w:val="26C96D36"/>
    <w:rsid w:val="26CA0473"/>
    <w:rsid w:val="26CB02AF"/>
    <w:rsid w:val="26CB1012"/>
    <w:rsid w:val="26CC32B5"/>
    <w:rsid w:val="26CD0D37"/>
    <w:rsid w:val="26CD258B"/>
    <w:rsid w:val="26CE45BA"/>
    <w:rsid w:val="26CE4858"/>
    <w:rsid w:val="26CE67B8"/>
    <w:rsid w:val="26CE724B"/>
    <w:rsid w:val="26CF203B"/>
    <w:rsid w:val="26D01CBB"/>
    <w:rsid w:val="26D044DE"/>
    <w:rsid w:val="26D14D60"/>
    <w:rsid w:val="26D15241"/>
    <w:rsid w:val="26D20A42"/>
    <w:rsid w:val="26D406C1"/>
    <w:rsid w:val="26D43F45"/>
    <w:rsid w:val="26D57B6E"/>
    <w:rsid w:val="26D71646"/>
    <w:rsid w:val="26D74EC9"/>
    <w:rsid w:val="26D8294B"/>
    <w:rsid w:val="26DA3D9D"/>
    <w:rsid w:val="26DA5E4E"/>
    <w:rsid w:val="26DB004C"/>
    <w:rsid w:val="26DC16D2"/>
    <w:rsid w:val="26DC5ACE"/>
    <w:rsid w:val="26DD354F"/>
    <w:rsid w:val="26DD6DD3"/>
    <w:rsid w:val="26DE0FD1"/>
    <w:rsid w:val="26DF22D6"/>
    <w:rsid w:val="26DF6A52"/>
    <w:rsid w:val="26E044D4"/>
    <w:rsid w:val="26E11F56"/>
    <w:rsid w:val="26E157D9"/>
    <w:rsid w:val="26E25459"/>
    <w:rsid w:val="26E320E4"/>
    <w:rsid w:val="26E322A8"/>
    <w:rsid w:val="26E33046"/>
    <w:rsid w:val="26E4675D"/>
    <w:rsid w:val="26E543C0"/>
    <w:rsid w:val="26E61C61"/>
    <w:rsid w:val="26E63E5F"/>
    <w:rsid w:val="26E718E0"/>
    <w:rsid w:val="26E80EE7"/>
    <w:rsid w:val="26E87362"/>
    <w:rsid w:val="26E90667"/>
    <w:rsid w:val="26E92BE5"/>
    <w:rsid w:val="26E94DE4"/>
    <w:rsid w:val="26EA2865"/>
    <w:rsid w:val="26EB042A"/>
    <w:rsid w:val="26EB3B6A"/>
    <w:rsid w:val="26ED2085"/>
    <w:rsid w:val="26ED706D"/>
    <w:rsid w:val="26EE126B"/>
    <w:rsid w:val="26EE4AEF"/>
    <w:rsid w:val="26EF2570"/>
    <w:rsid w:val="26EF6CED"/>
    <w:rsid w:val="26F0750E"/>
    <w:rsid w:val="26F07CA0"/>
    <w:rsid w:val="26F07FF2"/>
    <w:rsid w:val="26F121F0"/>
    <w:rsid w:val="26F1465A"/>
    <w:rsid w:val="26F15A73"/>
    <w:rsid w:val="26F178A8"/>
    <w:rsid w:val="26F25034"/>
    <w:rsid w:val="26F356F3"/>
    <w:rsid w:val="26F43175"/>
    <w:rsid w:val="26F465AD"/>
    <w:rsid w:val="26F469F8"/>
    <w:rsid w:val="26F54479"/>
    <w:rsid w:val="26F57CEA"/>
    <w:rsid w:val="26F606C4"/>
    <w:rsid w:val="26F60889"/>
    <w:rsid w:val="26F71427"/>
    <w:rsid w:val="26F740F9"/>
    <w:rsid w:val="26F7797C"/>
    <w:rsid w:val="26F81B7B"/>
    <w:rsid w:val="26F81E01"/>
    <w:rsid w:val="26F929A0"/>
    <w:rsid w:val="26F92E80"/>
    <w:rsid w:val="26FA337A"/>
    <w:rsid w:val="26FA353F"/>
    <w:rsid w:val="26FB0581"/>
    <w:rsid w:val="26FB6383"/>
    <w:rsid w:val="26FC3E04"/>
    <w:rsid w:val="26FC4AB8"/>
    <w:rsid w:val="26FC6002"/>
    <w:rsid w:val="26FD1886"/>
    <w:rsid w:val="26FD3A84"/>
    <w:rsid w:val="26FE1506"/>
    <w:rsid w:val="26FE7307"/>
    <w:rsid w:val="26FF4D89"/>
    <w:rsid w:val="26FF6BCF"/>
    <w:rsid w:val="26FF6F87"/>
    <w:rsid w:val="27004A09"/>
    <w:rsid w:val="270075A9"/>
    <w:rsid w:val="27010CE7"/>
    <w:rsid w:val="2701248A"/>
    <w:rsid w:val="270216C1"/>
    <w:rsid w:val="2702378F"/>
    <w:rsid w:val="27031211"/>
    <w:rsid w:val="2704340F"/>
    <w:rsid w:val="27046C92"/>
    <w:rsid w:val="27074394"/>
    <w:rsid w:val="27077C17"/>
    <w:rsid w:val="270858F0"/>
    <w:rsid w:val="270A5318"/>
    <w:rsid w:val="270B65FE"/>
    <w:rsid w:val="270B67B4"/>
    <w:rsid w:val="270C081B"/>
    <w:rsid w:val="270D0F81"/>
    <w:rsid w:val="270D1B20"/>
    <w:rsid w:val="270D4739"/>
    <w:rsid w:val="270D629D"/>
    <w:rsid w:val="270E3D1E"/>
    <w:rsid w:val="270E75A2"/>
    <w:rsid w:val="27102AA5"/>
    <w:rsid w:val="27102ED4"/>
    <w:rsid w:val="27110526"/>
    <w:rsid w:val="27112725"/>
    <w:rsid w:val="27114CA3"/>
    <w:rsid w:val="271201A6"/>
    <w:rsid w:val="27133A29"/>
    <w:rsid w:val="27135C28"/>
    <w:rsid w:val="27146728"/>
    <w:rsid w:val="27156F2D"/>
    <w:rsid w:val="27166BAC"/>
    <w:rsid w:val="27167136"/>
    <w:rsid w:val="27167CA1"/>
    <w:rsid w:val="27167E66"/>
    <w:rsid w:val="27172430"/>
    <w:rsid w:val="2717462E"/>
    <w:rsid w:val="27187EB1"/>
    <w:rsid w:val="271933B4"/>
    <w:rsid w:val="27195933"/>
    <w:rsid w:val="271A01E4"/>
    <w:rsid w:val="271A7CC3"/>
    <w:rsid w:val="271B68B7"/>
    <w:rsid w:val="271B69F6"/>
    <w:rsid w:val="271C4339"/>
    <w:rsid w:val="271C4A6F"/>
    <w:rsid w:val="271D1DBA"/>
    <w:rsid w:val="271E783C"/>
    <w:rsid w:val="271F52BE"/>
    <w:rsid w:val="271F69C2"/>
    <w:rsid w:val="27202D3F"/>
    <w:rsid w:val="272107C1"/>
    <w:rsid w:val="27226242"/>
    <w:rsid w:val="2723183D"/>
    <w:rsid w:val="27233CC4"/>
    <w:rsid w:val="27241745"/>
    <w:rsid w:val="27252DB6"/>
    <w:rsid w:val="27273923"/>
    <w:rsid w:val="2728014B"/>
    <w:rsid w:val="272922EB"/>
    <w:rsid w:val="272A364F"/>
    <w:rsid w:val="272A6446"/>
    <w:rsid w:val="272A6E20"/>
    <w:rsid w:val="272A6FE5"/>
    <w:rsid w:val="272B10D0"/>
    <w:rsid w:val="272C0399"/>
    <w:rsid w:val="272C6B52"/>
    <w:rsid w:val="272E1912"/>
    <w:rsid w:val="272E1AD7"/>
    <w:rsid w:val="272E2055"/>
    <w:rsid w:val="272F24B1"/>
    <w:rsid w:val="27310A5B"/>
    <w:rsid w:val="273242DE"/>
    <w:rsid w:val="27331D60"/>
    <w:rsid w:val="27345D06"/>
    <w:rsid w:val="27355263"/>
    <w:rsid w:val="27357461"/>
    <w:rsid w:val="27362CE4"/>
    <w:rsid w:val="27377C59"/>
    <w:rsid w:val="27377E1D"/>
    <w:rsid w:val="273803E6"/>
    <w:rsid w:val="27391F35"/>
    <w:rsid w:val="27395E67"/>
    <w:rsid w:val="273A38E9"/>
    <w:rsid w:val="273B136A"/>
    <w:rsid w:val="273B32E9"/>
    <w:rsid w:val="273B4BEE"/>
    <w:rsid w:val="273C404C"/>
    <w:rsid w:val="273C6DEC"/>
    <w:rsid w:val="273D486E"/>
    <w:rsid w:val="273F35F4"/>
    <w:rsid w:val="273F5F9F"/>
    <w:rsid w:val="273F7D71"/>
    <w:rsid w:val="274057F2"/>
    <w:rsid w:val="27416AF7"/>
    <w:rsid w:val="274176DD"/>
    <w:rsid w:val="274200B7"/>
    <w:rsid w:val="27420CF5"/>
    <w:rsid w:val="27424579"/>
    <w:rsid w:val="27431FFA"/>
    <w:rsid w:val="27436777"/>
    <w:rsid w:val="274441F8"/>
    <w:rsid w:val="27447A7C"/>
    <w:rsid w:val="27451C7A"/>
    <w:rsid w:val="2746390C"/>
    <w:rsid w:val="274676FC"/>
    <w:rsid w:val="2747517D"/>
    <w:rsid w:val="27482BFF"/>
    <w:rsid w:val="27484CC0"/>
    <w:rsid w:val="27486482"/>
    <w:rsid w:val="27490680"/>
    <w:rsid w:val="27493F03"/>
    <w:rsid w:val="2749585F"/>
    <w:rsid w:val="274A1985"/>
    <w:rsid w:val="274A3B83"/>
    <w:rsid w:val="274A6102"/>
    <w:rsid w:val="274A6239"/>
    <w:rsid w:val="274A63FE"/>
    <w:rsid w:val="274B0A37"/>
    <w:rsid w:val="274B7407"/>
    <w:rsid w:val="274C4E88"/>
    <w:rsid w:val="274D0351"/>
    <w:rsid w:val="274D4B08"/>
    <w:rsid w:val="274E717C"/>
    <w:rsid w:val="274F000B"/>
    <w:rsid w:val="27511310"/>
    <w:rsid w:val="275131CB"/>
    <w:rsid w:val="2751350E"/>
    <w:rsid w:val="275151F0"/>
    <w:rsid w:val="27524813"/>
    <w:rsid w:val="275324C4"/>
    <w:rsid w:val="27534744"/>
    <w:rsid w:val="275413AC"/>
    <w:rsid w:val="27544493"/>
    <w:rsid w:val="27547D16"/>
    <w:rsid w:val="275505FF"/>
    <w:rsid w:val="27551F14"/>
    <w:rsid w:val="27555798"/>
    <w:rsid w:val="27567996"/>
    <w:rsid w:val="27570C9B"/>
    <w:rsid w:val="27575417"/>
    <w:rsid w:val="27582E99"/>
    <w:rsid w:val="2758671C"/>
    <w:rsid w:val="2759091B"/>
    <w:rsid w:val="275A39A0"/>
    <w:rsid w:val="275A639C"/>
    <w:rsid w:val="275C103F"/>
    <w:rsid w:val="275C189F"/>
    <w:rsid w:val="275C5122"/>
    <w:rsid w:val="275D7321"/>
    <w:rsid w:val="275E5EB1"/>
    <w:rsid w:val="275F2824"/>
    <w:rsid w:val="275F53B8"/>
    <w:rsid w:val="276002A5"/>
    <w:rsid w:val="27603B29"/>
    <w:rsid w:val="276115AA"/>
    <w:rsid w:val="27615D27"/>
    <w:rsid w:val="27616AF6"/>
    <w:rsid w:val="2762122A"/>
    <w:rsid w:val="27630C0D"/>
    <w:rsid w:val="27634AAD"/>
    <w:rsid w:val="276417AC"/>
    <w:rsid w:val="276521AF"/>
    <w:rsid w:val="2765234A"/>
    <w:rsid w:val="27657FB0"/>
    <w:rsid w:val="27665A32"/>
    <w:rsid w:val="27666A45"/>
    <w:rsid w:val="27667C30"/>
    <w:rsid w:val="276734B3"/>
    <w:rsid w:val="276736FF"/>
    <w:rsid w:val="276756B2"/>
    <w:rsid w:val="27680F35"/>
    <w:rsid w:val="27683133"/>
    <w:rsid w:val="2768429D"/>
    <w:rsid w:val="276969B7"/>
    <w:rsid w:val="276B40B8"/>
    <w:rsid w:val="276B793B"/>
    <w:rsid w:val="276C1B3A"/>
    <w:rsid w:val="276D21F3"/>
    <w:rsid w:val="276D2E3E"/>
    <w:rsid w:val="276D75BB"/>
    <w:rsid w:val="276F1C0A"/>
    <w:rsid w:val="276F2ABE"/>
    <w:rsid w:val="27700540"/>
    <w:rsid w:val="277057A2"/>
    <w:rsid w:val="27715FC1"/>
    <w:rsid w:val="27724B77"/>
    <w:rsid w:val="27724EE3"/>
    <w:rsid w:val="27725403"/>
    <w:rsid w:val="277272C6"/>
    <w:rsid w:val="277314C4"/>
    <w:rsid w:val="2773480C"/>
    <w:rsid w:val="277427C9"/>
    <w:rsid w:val="27762449"/>
    <w:rsid w:val="27766813"/>
    <w:rsid w:val="2777374E"/>
    <w:rsid w:val="27777ECB"/>
    <w:rsid w:val="277811CF"/>
    <w:rsid w:val="2778594C"/>
    <w:rsid w:val="27796C51"/>
    <w:rsid w:val="277A68D1"/>
    <w:rsid w:val="277B2154"/>
    <w:rsid w:val="277C7BD6"/>
    <w:rsid w:val="277E173A"/>
    <w:rsid w:val="277E30D9"/>
    <w:rsid w:val="277E52D7"/>
    <w:rsid w:val="277F07D8"/>
    <w:rsid w:val="277F0B5A"/>
    <w:rsid w:val="278065DC"/>
    <w:rsid w:val="2781405D"/>
    <w:rsid w:val="27821ADF"/>
    <w:rsid w:val="27842A64"/>
    <w:rsid w:val="278504E5"/>
    <w:rsid w:val="278739E8"/>
    <w:rsid w:val="2788146A"/>
    <w:rsid w:val="278836B6"/>
    <w:rsid w:val="27896EEB"/>
    <w:rsid w:val="27897907"/>
    <w:rsid w:val="278A496D"/>
    <w:rsid w:val="278B23EE"/>
    <w:rsid w:val="278C7E70"/>
    <w:rsid w:val="278D3D61"/>
    <w:rsid w:val="278E0648"/>
    <w:rsid w:val="278E34D5"/>
    <w:rsid w:val="278F1023"/>
    <w:rsid w:val="278F3520"/>
    <w:rsid w:val="279019FD"/>
    <w:rsid w:val="27906876"/>
    <w:rsid w:val="2791259C"/>
    <w:rsid w:val="279142F8"/>
    <w:rsid w:val="2794527C"/>
    <w:rsid w:val="27952CFE"/>
    <w:rsid w:val="2795508D"/>
    <w:rsid w:val="27965DF0"/>
    <w:rsid w:val="27983C83"/>
    <w:rsid w:val="27987506"/>
    <w:rsid w:val="27991704"/>
    <w:rsid w:val="27994F87"/>
    <w:rsid w:val="279A2A09"/>
    <w:rsid w:val="279A4C07"/>
    <w:rsid w:val="279B048A"/>
    <w:rsid w:val="279B2689"/>
    <w:rsid w:val="279C010A"/>
    <w:rsid w:val="279D398E"/>
    <w:rsid w:val="279D5B8C"/>
    <w:rsid w:val="279E140F"/>
    <w:rsid w:val="279E360D"/>
    <w:rsid w:val="279F108F"/>
    <w:rsid w:val="279F1B2D"/>
    <w:rsid w:val="279F494D"/>
    <w:rsid w:val="27A04912"/>
    <w:rsid w:val="27A33318"/>
    <w:rsid w:val="27A52F98"/>
    <w:rsid w:val="27A5681B"/>
    <w:rsid w:val="27A7649B"/>
    <w:rsid w:val="27A9199E"/>
    <w:rsid w:val="27A95222"/>
    <w:rsid w:val="27AA2CA3"/>
    <w:rsid w:val="27AA4F6F"/>
    <w:rsid w:val="27AA7420"/>
    <w:rsid w:val="27AB0725"/>
    <w:rsid w:val="27AB4EA2"/>
    <w:rsid w:val="27AB594A"/>
    <w:rsid w:val="27AB7C04"/>
    <w:rsid w:val="27AC02E3"/>
    <w:rsid w:val="27AC2923"/>
    <w:rsid w:val="27AC61A6"/>
    <w:rsid w:val="27AC6324"/>
    <w:rsid w:val="27AC64E8"/>
    <w:rsid w:val="27AD3C28"/>
    <w:rsid w:val="27AE16A9"/>
    <w:rsid w:val="27AE7A61"/>
    <w:rsid w:val="27AF712B"/>
    <w:rsid w:val="27B04BAD"/>
    <w:rsid w:val="27B1262E"/>
    <w:rsid w:val="27B16DAB"/>
    <w:rsid w:val="27B222AE"/>
    <w:rsid w:val="27B2482C"/>
    <w:rsid w:val="27B435B3"/>
    <w:rsid w:val="27B457B1"/>
    <w:rsid w:val="27B51034"/>
    <w:rsid w:val="27B65BE3"/>
    <w:rsid w:val="27B74537"/>
    <w:rsid w:val="27B76736"/>
    <w:rsid w:val="27B76782"/>
    <w:rsid w:val="27B81FB9"/>
    <w:rsid w:val="27B87321"/>
    <w:rsid w:val="27B91C39"/>
    <w:rsid w:val="27B92C6D"/>
    <w:rsid w:val="27BA1D0A"/>
    <w:rsid w:val="27BA2F3E"/>
    <w:rsid w:val="27BA54BC"/>
    <w:rsid w:val="27BB0A3D"/>
    <w:rsid w:val="27BB513C"/>
    <w:rsid w:val="27BC1E12"/>
    <w:rsid w:val="27BC6441"/>
    <w:rsid w:val="27BE338B"/>
    <w:rsid w:val="27BE60C1"/>
    <w:rsid w:val="27BF3B42"/>
    <w:rsid w:val="27BF73C5"/>
    <w:rsid w:val="27C015C4"/>
    <w:rsid w:val="27C04E47"/>
    <w:rsid w:val="27C12149"/>
    <w:rsid w:val="27C154A3"/>
    <w:rsid w:val="27C17045"/>
    <w:rsid w:val="27C2034A"/>
    <w:rsid w:val="27C24AC7"/>
    <w:rsid w:val="27C46290"/>
    <w:rsid w:val="27C512CF"/>
    <w:rsid w:val="27C747D2"/>
    <w:rsid w:val="27C82253"/>
    <w:rsid w:val="27C869D0"/>
    <w:rsid w:val="27C9064C"/>
    <w:rsid w:val="27C937EA"/>
    <w:rsid w:val="27C93C5B"/>
    <w:rsid w:val="27CA1ED3"/>
    <w:rsid w:val="27CA2CF9"/>
    <w:rsid w:val="27CB31D8"/>
    <w:rsid w:val="27CB7955"/>
    <w:rsid w:val="27CC0C59"/>
    <w:rsid w:val="27CD08D9"/>
    <w:rsid w:val="27CD66DB"/>
    <w:rsid w:val="27CE415D"/>
    <w:rsid w:val="27CE635B"/>
    <w:rsid w:val="27CF05B7"/>
    <w:rsid w:val="27CF1BDE"/>
    <w:rsid w:val="27CF7A19"/>
    <w:rsid w:val="27D11B30"/>
    <w:rsid w:val="27D150E1"/>
    <w:rsid w:val="27D172E0"/>
    <w:rsid w:val="27D2250A"/>
    <w:rsid w:val="27D24D61"/>
    <w:rsid w:val="27D327E3"/>
    <w:rsid w:val="27D330A9"/>
    <w:rsid w:val="27D51569"/>
    <w:rsid w:val="27D547E6"/>
    <w:rsid w:val="27D55CE6"/>
    <w:rsid w:val="27D63767"/>
    <w:rsid w:val="27D651C1"/>
    <w:rsid w:val="27D66B0F"/>
    <w:rsid w:val="27D66FEB"/>
    <w:rsid w:val="27D711E9"/>
    <w:rsid w:val="27D824EE"/>
    <w:rsid w:val="27D86739"/>
    <w:rsid w:val="27D86C6A"/>
    <w:rsid w:val="27D946EC"/>
    <w:rsid w:val="27D972D8"/>
    <w:rsid w:val="27D97F6F"/>
    <w:rsid w:val="27DA216D"/>
    <w:rsid w:val="27DC5671"/>
    <w:rsid w:val="27DD2B2D"/>
    <w:rsid w:val="27DD30F2"/>
    <w:rsid w:val="27DD5E6A"/>
    <w:rsid w:val="27DD6975"/>
    <w:rsid w:val="27DE3343"/>
    <w:rsid w:val="27DE3507"/>
    <w:rsid w:val="27DE43F7"/>
    <w:rsid w:val="27DF3EE1"/>
    <w:rsid w:val="27DF40A6"/>
    <w:rsid w:val="27DF65F5"/>
    <w:rsid w:val="27E11AF8"/>
    <w:rsid w:val="27E22DFD"/>
    <w:rsid w:val="27E26D38"/>
    <w:rsid w:val="27E3087F"/>
    <w:rsid w:val="27E34FFB"/>
    <w:rsid w:val="27E404FE"/>
    <w:rsid w:val="27E46300"/>
    <w:rsid w:val="27E53D82"/>
    <w:rsid w:val="27E67E6F"/>
    <w:rsid w:val="27E71689"/>
    <w:rsid w:val="27E77285"/>
    <w:rsid w:val="27E84D06"/>
    <w:rsid w:val="27E92788"/>
    <w:rsid w:val="27E92C02"/>
    <w:rsid w:val="27EA020A"/>
    <w:rsid w:val="27EA3965"/>
    <w:rsid w:val="27EB4340"/>
    <w:rsid w:val="27EB4EDE"/>
    <w:rsid w:val="27EB5C8B"/>
    <w:rsid w:val="27EC58B9"/>
    <w:rsid w:val="27ED6C10"/>
    <w:rsid w:val="27EE4691"/>
    <w:rsid w:val="27EF2113"/>
    <w:rsid w:val="27F15616"/>
    <w:rsid w:val="27F33FEA"/>
    <w:rsid w:val="27F427FC"/>
    <w:rsid w:val="27F4659B"/>
    <w:rsid w:val="27F51899"/>
    <w:rsid w:val="27F61A9E"/>
    <w:rsid w:val="27F7533C"/>
    <w:rsid w:val="27F7751F"/>
    <w:rsid w:val="27F84FA1"/>
    <w:rsid w:val="27F966F1"/>
    <w:rsid w:val="27FA04A4"/>
    <w:rsid w:val="27FA6A3D"/>
    <w:rsid w:val="27FB0808"/>
    <w:rsid w:val="27FB5F25"/>
    <w:rsid w:val="27FC457D"/>
    <w:rsid w:val="27FD1D81"/>
    <w:rsid w:val="27FD1F46"/>
    <w:rsid w:val="27FD6F59"/>
    <w:rsid w:val="27FF01AF"/>
    <w:rsid w:val="280023AD"/>
    <w:rsid w:val="2801645C"/>
    <w:rsid w:val="28021134"/>
    <w:rsid w:val="280258B0"/>
    <w:rsid w:val="28030DB3"/>
    <w:rsid w:val="28033332"/>
    <w:rsid w:val="28036BB5"/>
    <w:rsid w:val="28046835"/>
    <w:rsid w:val="280542B6"/>
    <w:rsid w:val="28067B3A"/>
    <w:rsid w:val="28071805"/>
    <w:rsid w:val="280821E0"/>
    <w:rsid w:val="28090ABE"/>
    <w:rsid w:val="28092CBD"/>
    <w:rsid w:val="28092D7E"/>
    <w:rsid w:val="280A073E"/>
    <w:rsid w:val="280A3E3D"/>
    <w:rsid w:val="280B3FC1"/>
    <w:rsid w:val="280B42F7"/>
    <w:rsid w:val="280B44BC"/>
    <w:rsid w:val="280B61C0"/>
    <w:rsid w:val="280C3C41"/>
    <w:rsid w:val="280C74C5"/>
    <w:rsid w:val="280D4F46"/>
    <w:rsid w:val="280D5A34"/>
    <w:rsid w:val="280E7144"/>
    <w:rsid w:val="280F4BC6"/>
    <w:rsid w:val="280F6FAD"/>
    <w:rsid w:val="28102647"/>
    <w:rsid w:val="28105ECB"/>
    <w:rsid w:val="28107987"/>
    <w:rsid w:val="281100C9"/>
    <w:rsid w:val="28125B4B"/>
    <w:rsid w:val="281335CC"/>
    <w:rsid w:val="28136E4F"/>
    <w:rsid w:val="2814104E"/>
    <w:rsid w:val="2814263E"/>
    <w:rsid w:val="281448D1"/>
    <w:rsid w:val="28156ACF"/>
    <w:rsid w:val="28167DD4"/>
    <w:rsid w:val="28175856"/>
    <w:rsid w:val="281828B0"/>
    <w:rsid w:val="281832D7"/>
    <w:rsid w:val="28187A54"/>
    <w:rsid w:val="281954D5"/>
    <w:rsid w:val="281A2C55"/>
    <w:rsid w:val="281B09D9"/>
    <w:rsid w:val="281B425C"/>
    <w:rsid w:val="281C0984"/>
    <w:rsid w:val="281C3EDC"/>
    <w:rsid w:val="281D135F"/>
    <w:rsid w:val="281D1523"/>
    <w:rsid w:val="281E51E0"/>
    <w:rsid w:val="281E73DF"/>
    <w:rsid w:val="281F2C62"/>
    <w:rsid w:val="28201C28"/>
    <w:rsid w:val="282028E2"/>
    <w:rsid w:val="2820363B"/>
    <w:rsid w:val="28214015"/>
    <w:rsid w:val="28216165"/>
    <w:rsid w:val="28223BE7"/>
    <w:rsid w:val="28233866"/>
    <w:rsid w:val="28235F68"/>
    <w:rsid w:val="28244B6B"/>
    <w:rsid w:val="28246CCB"/>
    <w:rsid w:val="28260244"/>
    <w:rsid w:val="282647EB"/>
    <w:rsid w:val="28264884"/>
    <w:rsid w:val="28283572"/>
    <w:rsid w:val="28292197"/>
    <w:rsid w:val="282A2EFA"/>
    <w:rsid w:val="282A31F1"/>
    <w:rsid w:val="282A6A75"/>
    <w:rsid w:val="282A6EB4"/>
    <w:rsid w:val="282B38D4"/>
    <w:rsid w:val="282B44F6"/>
    <w:rsid w:val="282C66F4"/>
    <w:rsid w:val="282D79F9"/>
    <w:rsid w:val="282E1BF8"/>
    <w:rsid w:val="282E2A25"/>
    <w:rsid w:val="282E2BB6"/>
    <w:rsid w:val="282E3EE4"/>
    <w:rsid w:val="282E547B"/>
    <w:rsid w:val="282F2EFC"/>
    <w:rsid w:val="282F3B79"/>
    <w:rsid w:val="283050FB"/>
    <w:rsid w:val="2830793F"/>
    <w:rsid w:val="283104DE"/>
    <w:rsid w:val="283163FF"/>
    <w:rsid w:val="283205FE"/>
    <w:rsid w:val="28323E81"/>
    <w:rsid w:val="28331903"/>
    <w:rsid w:val="2833607F"/>
    <w:rsid w:val="28337849"/>
    <w:rsid w:val="28341582"/>
    <w:rsid w:val="283425F5"/>
    <w:rsid w:val="28347384"/>
    <w:rsid w:val="28357004"/>
    <w:rsid w:val="28364A85"/>
    <w:rsid w:val="28372507"/>
    <w:rsid w:val="2837470D"/>
    <w:rsid w:val="283850E7"/>
    <w:rsid w:val="283852AB"/>
    <w:rsid w:val="28387F89"/>
    <w:rsid w:val="2839380C"/>
    <w:rsid w:val="28395A0A"/>
    <w:rsid w:val="283B6D0F"/>
    <w:rsid w:val="283B73C3"/>
    <w:rsid w:val="283C2212"/>
    <w:rsid w:val="283C698F"/>
    <w:rsid w:val="283C7F62"/>
    <w:rsid w:val="283D093C"/>
    <w:rsid w:val="283D4410"/>
    <w:rsid w:val="283D7C94"/>
    <w:rsid w:val="283E1316"/>
    <w:rsid w:val="283E1E92"/>
    <w:rsid w:val="283E1EB5"/>
    <w:rsid w:val="283E2079"/>
    <w:rsid w:val="283E5715"/>
    <w:rsid w:val="283F7913"/>
    <w:rsid w:val="28400C18"/>
    <w:rsid w:val="2840342E"/>
    <w:rsid w:val="28413FCC"/>
    <w:rsid w:val="2841669A"/>
    <w:rsid w:val="28420898"/>
    <w:rsid w:val="2843631A"/>
    <w:rsid w:val="28443D9B"/>
    <w:rsid w:val="2844761E"/>
    <w:rsid w:val="2845181D"/>
    <w:rsid w:val="284550A0"/>
    <w:rsid w:val="28456C82"/>
    <w:rsid w:val="28470C14"/>
    <w:rsid w:val="28486025"/>
    <w:rsid w:val="28491774"/>
    <w:rsid w:val="284A2313"/>
    <w:rsid w:val="284B0CE8"/>
    <w:rsid w:val="284B1209"/>
    <w:rsid w:val="284B3726"/>
    <w:rsid w:val="284C4A2B"/>
    <w:rsid w:val="284F637D"/>
    <w:rsid w:val="28541E37"/>
    <w:rsid w:val="28562DBC"/>
    <w:rsid w:val="285940BD"/>
    <w:rsid w:val="28595263"/>
    <w:rsid w:val="285A315A"/>
    <w:rsid w:val="285A367B"/>
    <w:rsid w:val="285B2042"/>
    <w:rsid w:val="285B49B3"/>
    <w:rsid w:val="285C4CC5"/>
    <w:rsid w:val="285D08F3"/>
    <w:rsid w:val="285D0AB8"/>
    <w:rsid w:val="285D2747"/>
    <w:rsid w:val="285E1492"/>
    <w:rsid w:val="285F5C4A"/>
    <w:rsid w:val="286036CB"/>
    <w:rsid w:val="2861114D"/>
    <w:rsid w:val="286135A9"/>
    <w:rsid w:val="286454FC"/>
    <w:rsid w:val="28645955"/>
    <w:rsid w:val="28655366"/>
    <w:rsid w:val="2865609B"/>
    <w:rsid w:val="28656260"/>
    <w:rsid w:val="28657B53"/>
    <w:rsid w:val="28662792"/>
    <w:rsid w:val="28666C3A"/>
    <w:rsid w:val="286677D8"/>
    <w:rsid w:val="28670377"/>
    <w:rsid w:val="28673056"/>
    <w:rsid w:val="28680B8D"/>
    <w:rsid w:val="286A3FDB"/>
    <w:rsid w:val="286A785E"/>
    <w:rsid w:val="286B1A5C"/>
    <w:rsid w:val="286C2D61"/>
    <w:rsid w:val="286C3843"/>
    <w:rsid w:val="286C74DE"/>
    <w:rsid w:val="286D43E2"/>
    <w:rsid w:val="286E4F80"/>
    <w:rsid w:val="28710571"/>
    <w:rsid w:val="287113E7"/>
    <w:rsid w:val="28724C6B"/>
    <w:rsid w:val="28727C37"/>
    <w:rsid w:val="287311B0"/>
    <w:rsid w:val="2874016E"/>
    <w:rsid w:val="2874236C"/>
    <w:rsid w:val="28752728"/>
    <w:rsid w:val="287610F2"/>
    <w:rsid w:val="287845F5"/>
    <w:rsid w:val="28786E47"/>
    <w:rsid w:val="28792077"/>
    <w:rsid w:val="28796713"/>
    <w:rsid w:val="287967F4"/>
    <w:rsid w:val="287A4275"/>
    <w:rsid w:val="287B1CF7"/>
    <w:rsid w:val="287B557A"/>
    <w:rsid w:val="287B6793"/>
    <w:rsid w:val="287C2FFC"/>
    <w:rsid w:val="287C7778"/>
    <w:rsid w:val="287D0A7D"/>
    <w:rsid w:val="287D2AE8"/>
    <w:rsid w:val="287D7ED0"/>
    <w:rsid w:val="28801A02"/>
    <w:rsid w:val="288129C2"/>
    <w:rsid w:val="28817483"/>
    <w:rsid w:val="28821682"/>
    <w:rsid w:val="28833F3B"/>
    <w:rsid w:val="28834ADA"/>
    <w:rsid w:val="28834C9E"/>
    <w:rsid w:val="28840408"/>
    <w:rsid w:val="28844B85"/>
    <w:rsid w:val="28852AA7"/>
    <w:rsid w:val="28855E8A"/>
    <w:rsid w:val="28866BF1"/>
    <w:rsid w:val="28870A2D"/>
    <w:rsid w:val="2887138D"/>
    <w:rsid w:val="2887358B"/>
    <w:rsid w:val="2888016A"/>
    <w:rsid w:val="28886E0E"/>
    <w:rsid w:val="28894890"/>
    <w:rsid w:val="28896A8E"/>
    <w:rsid w:val="288B1F91"/>
    <w:rsid w:val="288B2446"/>
    <w:rsid w:val="288B7D93"/>
    <w:rsid w:val="288C2E20"/>
    <w:rsid w:val="288D39BF"/>
    <w:rsid w:val="288E2F16"/>
    <w:rsid w:val="288F0997"/>
    <w:rsid w:val="28905912"/>
    <w:rsid w:val="289064B1"/>
    <w:rsid w:val="2892191C"/>
    <w:rsid w:val="2892519F"/>
    <w:rsid w:val="289305C8"/>
    <w:rsid w:val="2893739E"/>
    <w:rsid w:val="289406A2"/>
    <w:rsid w:val="28941167"/>
    <w:rsid w:val="28944843"/>
    <w:rsid w:val="289528A1"/>
    <w:rsid w:val="28953A96"/>
    <w:rsid w:val="28953C4C"/>
    <w:rsid w:val="28956124"/>
    <w:rsid w:val="28960322"/>
    <w:rsid w:val="28963BA5"/>
    <w:rsid w:val="28971627"/>
    <w:rsid w:val="28975DA4"/>
    <w:rsid w:val="28983C59"/>
    <w:rsid w:val="289870A9"/>
    <w:rsid w:val="289A51D2"/>
    <w:rsid w:val="289B002D"/>
    <w:rsid w:val="289B13C8"/>
    <w:rsid w:val="289B47AA"/>
    <w:rsid w:val="289C5AAF"/>
    <w:rsid w:val="289C74AE"/>
    <w:rsid w:val="289D3530"/>
    <w:rsid w:val="289E0FB2"/>
    <w:rsid w:val="289E31B0"/>
    <w:rsid w:val="289F0C32"/>
    <w:rsid w:val="289F6A33"/>
    <w:rsid w:val="28A00E25"/>
    <w:rsid w:val="28A044B5"/>
    <w:rsid w:val="28A066B3"/>
    <w:rsid w:val="28A11F36"/>
    <w:rsid w:val="28A1297A"/>
    <w:rsid w:val="28A12B3E"/>
    <w:rsid w:val="28A14135"/>
    <w:rsid w:val="28A21BB6"/>
    <w:rsid w:val="28A3543A"/>
    <w:rsid w:val="28A37638"/>
    <w:rsid w:val="28A459E7"/>
    <w:rsid w:val="28A52B3B"/>
    <w:rsid w:val="28A63E40"/>
    <w:rsid w:val="28A718C1"/>
    <w:rsid w:val="28A76D6D"/>
    <w:rsid w:val="28A87343"/>
    <w:rsid w:val="28AA0CC0"/>
    <w:rsid w:val="28AA3FD9"/>
    <w:rsid w:val="28AB02C8"/>
    <w:rsid w:val="28AD37CB"/>
    <w:rsid w:val="28AD3976"/>
    <w:rsid w:val="28AE124C"/>
    <w:rsid w:val="28AE59C9"/>
    <w:rsid w:val="28AF344A"/>
    <w:rsid w:val="28AF6CCE"/>
    <w:rsid w:val="28B201C4"/>
    <w:rsid w:val="28B356D4"/>
    <w:rsid w:val="28B43155"/>
    <w:rsid w:val="28B66659"/>
    <w:rsid w:val="28B81B5C"/>
    <w:rsid w:val="28BA7F95"/>
    <w:rsid w:val="28BB2AE0"/>
    <w:rsid w:val="28BB5EEC"/>
    <w:rsid w:val="28BC0562"/>
    <w:rsid w:val="28BD3A65"/>
    <w:rsid w:val="28BD5FE3"/>
    <w:rsid w:val="28BD72A1"/>
    <w:rsid w:val="28BE0004"/>
    <w:rsid w:val="28BE14E7"/>
    <w:rsid w:val="28BF3C6F"/>
    <w:rsid w:val="28BF46B0"/>
    <w:rsid w:val="28BF6F68"/>
    <w:rsid w:val="28C049EA"/>
    <w:rsid w:val="28C1246B"/>
    <w:rsid w:val="28C27EED"/>
    <w:rsid w:val="28C433F0"/>
    <w:rsid w:val="28C54C0D"/>
    <w:rsid w:val="28C63719"/>
    <w:rsid w:val="28C63BE2"/>
    <w:rsid w:val="28C668F3"/>
    <w:rsid w:val="28C74374"/>
    <w:rsid w:val="28C76B60"/>
    <w:rsid w:val="28C81DF6"/>
    <w:rsid w:val="28C97878"/>
    <w:rsid w:val="28CA52F9"/>
    <w:rsid w:val="28CB65FE"/>
    <w:rsid w:val="28CC07FC"/>
    <w:rsid w:val="28CC407F"/>
    <w:rsid w:val="28CD627E"/>
    <w:rsid w:val="28CE60E1"/>
    <w:rsid w:val="28CE7583"/>
    <w:rsid w:val="28CF44CD"/>
    <w:rsid w:val="28D02A86"/>
    <w:rsid w:val="28D04587"/>
    <w:rsid w:val="28D129F1"/>
    <w:rsid w:val="28D45C09"/>
    <w:rsid w:val="28D56F0D"/>
    <w:rsid w:val="28D57A5B"/>
    <w:rsid w:val="28D61C74"/>
    <w:rsid w:val="28D6498F"/>
    <w:rsid w:val="28D66B8D"/>
    <w:rsid w:val="28D7460F"/>
    <w:rsid w:val="28D82090"/>
    <w:rsid w:val="28D87699"/>
    <w:rsid w:val="28D93D8C"/>
    <w:rsid w:val="28D95914"/>
    <w:rsid w:val="28D97B12"/>
    <w:rsid w:val="28DA4766"/>
    <w:rsid w:val="28DA5593"/>
    <w:rsid w:val="28DA74B8"/>
    <w:rsid w:val="28DB3015"/>
    <w:rsid w:val="28DC07D0"/>
    <w:rsid w:val="28DC0F94"/>
    <w:rsid w:val="28DD1D9B"/>
    <w:rsid w:val="28DD431A"/>
    <w:rsid w:val="28DE3F9A"/>
    <w:rsid w:val="28DE781D"/>
    <w:rsid w:val="28DF1A1B"/>
    <w:rsid w:val="28E02D20"/>
    <w:rsid w:val="28E0749D"/>
    <w:rsid w:val="28E1022D"/>
    <w:rsid w:val="28E107A2"/>
    <w:rsid w:val="28E14F1E"/>
    <w:rsid w:val="28E229A0"/>
    <w:rsid w:val="28E26223"/>
    <w:rsid w:val="28E441EA"/>
    <w:rsid w:val="28E53925"/>
    <w:rsid w:val="28E571A8"/>
    <w:rsid w:val="28E613A6"/>
    <w:rsid w:val="28E6559F"/>
    <w:rsid w:val="28E8012C"/>
    <w:rsid w:val="28E9232B"/>
    <w:rsid w:val="28E978C7"/>
    <w:rsid w:val="28EA0255"/>
    <w:rsid w:val="28EA3630"/>
    <w:rsid w:val="28EA7DAC"/>
    <w:rsid w:val="28EB10B1"/>
    <w:rsid w:val="28EB2659"/>
    <w:rsid w:val="28EB2EE5"/>
    <w:rsid w:val="28EC1541"/>
    <w:rsid w:val="28EC1992"/>
    <w:rsid w:val="28EC32AF"/>
    <w:rsid w:val="28EC6B33"/>
    <w:rsid w:val="28ED0D31"/>
    <w:rsid w:val="28ED6C40"/>
    <w:rsid w:val="28EF38E5"/>
    <w:rsid w:val="28EF7AB7"/>
    <w:rsid w:val="28F12FBA"/>
    <w:rsid w:val="28F13BF1"/>
    <w:rsid w:val="28F151B9"/>
    <w:rsid w:val="28F22C3A"/>
    <w:rsid w:val="28F263D7"/>
    <w:rsid w:val="28F364BD"/>
    <w:rsid w:val="28F3713A"/>
    <w:rsid w:val="28F43F3F"/>
    <w:rsid w:val="28F4613D"/>
    <w:rsid w:val="28F506B3"/>
    <w:rsid w:val="28F519C1"/>
    <w:rsid w:val="28F57442"/>
    <w:rsid w:val="28F64EC4"/>
    <w:rsid w:val="28F770C2"/>
    <w:rsid w:val="28F82606"/>
    <w:rsid w:val="28F925C5"/>
    <w:rsid w:val="28F931A5"/>
    <w:rsid w:val="28F93369"/>
    <w:rsid w:val="28F95E48"/>
    <w:rsid w:val="28FA0047"/>
    <w:rsid w:val="28FA28AA"/>
    <w:rsid w:val="28FA38CA"/>
    <w:rsid w:val="28FB134B"/>
    <w:rsid w:val="28FB4835"/>
    <w:rsid w:val="28FB5AC8"/>
    <w:rsid w:val="28FC05AD"/>
    <w:rsid w:val="28FC354A"/>
    <w:rsid w:val="28FC6DCD"/>
    <w:rsid w:val="28FD0FCB"/>
    <w:rsid w:val="28FD484F"/>
    <w:rsid w:val="28FD5E5B"/>
    <w:rsid w:val="28FE22D0"/>
    <w:rsid w:val="28FE6A4D"/>
    <w:rsid w:val="28FF7D52"/>
    <w:rsid w:val="29001F50"/>
    <w:rsid w:val="290032A5"/>
    <w:rsid w:val="290057D3"/>
    <w:rsid w:val="29020CD6"/>
    <w:rsid w:val="29021EC6"/>
    <w:rsid w:val="2902208A"/>
    <w:rsid w:val="29022CAB"/>
    <w:rsid w:val="29032ED5"/>
    <w:rsid w:val="29036758"/>
    <w:rsid w:val="29040956"/>
    <w:rsid w:val="290441D9"/>
    <w:rsid w:val="29051C5B"/>
    <w:rsid w:val="290541A2"/>
    <w:rsid w:val="29054394"/>
    <w:rsid w:val="290563D8"/>
    <w:rsid w:val="290618DB"/>
    <w:rsid w:val="290676DC"/>
    <w:rsid w:val="2907515E"/>
    <w:rsid w:val="2907735C"/>
    <w:rsid w:val="29084DDE"/>
    <w:rsid w:val="29096346"/>
    <w:rsid w:val="290A02E1"/>
    <w:rsid w:val="290A766E"/>
    <w:rsid w:val="290B5D62"/>
    <w:rsid w:val="290C15E6"/>
    <w:rsid w:val="290C194A"/>
    <w:rsid w:val="290C37E4"/>
    <w:rsid w:val="290D2324"/>
    <w:rsid w:val="290D4AE9"/>
    <w:rsid w:val="290E256A"/>
    <w:rsid w:val="290F389D"/>
    <w:rsid w:val="290F4769"/>
    <w:rsid w:val="291021EA"/>
    <w:rsid w:val="29105A6E"/>
    <w:rsid w:val="29117C6C"/>
    <w:rsid w:val="29120F71"/>
    <w:rsid w:val="291256ED"/>
    <w:rsid w:val="2913316F"/>
    <w:rsid w:val="291369F2"/>
    <w:rsid w:val="29140BF0"/>
    <w:rsid w:val="29151EF5"/>
    <w:rsid w:val="29156672"/>
    <w:rsid w:val="29166E63"/>
    <w:rsid w:val="291753F8"/>
    <w:rsid w:val="29182E7A"/>
    <w:rsid w:val="29192782"/>
    <w:rsid w:val="29193321"/>
    <w:rsid w:val="291A637D"/>
    <w:rsid w:val="291C1880"/>
    <w:rsid w:val="291C5438"/>
    <w:rsid w:val="291D5E12"/>
    <w:rsid w:val="291D7302"/>
    <w:rsid w:val="291F2805"/>
    <w:rsid w:val="29206EB8"/>
    <w:rsid w:val="29207F2A"/>
    <w:rsid w:val="2923120B"/>
    <w:rsid w:val="29242A1C"/>
    <w:rsid w:val="29246C8C"/>
    <w:rsid w:val="29253EF7"/>
    <w:rsid w:val="292634B6"/>
    <w:rsid w:val="29263F95"/>
    <w:rsid w:val="29267C11"/>
    <w:rsid w:val="29275693"/>
    <w:rsid w:val="29286271"/>
    <w:rsid w:val="292865F2"/>
    <w:rsid w:val="29296C4B"/>
    <w:rsid w:val="292A77E9"/>
    <w:rsid w:val="292E24A0"/>
    <w:rsid w:val="29311825"/>
    <w:rsid w:val="293314A5"/>
    <w:rsid w:val="29334D29"/>
    <w:rsid w:val="293427AA"/>
    <w:rsid w:val="29345928"/>
    <w:rsid w:val="29346F27"/>
    <w:rsid w:val="29357C48"/>
    <w:rsid w:val="293607E6"/>
    <w:rsid w:val="2936242A"/>
    <w:rsid w:val="29365CAD"/>
    <w:rsid w:val="293933AF"/>
    <w:rsid w:val="29393487"/>
    <w:rsid w:val="293A32D8"/>
    <w:rsid w:val="293A46B3"/>
    <w:rsid w:val="293B2135"/>
    <w:rsid w:val="293B68B2"/>
    <w:rsid w:val="293C4333"/>
    <w:rsid w:val="293C4851"/>
    <w:rsid w:val="293D53F0"/>
    <w:rsid w:val="293D5638"/>
    <w:rsid w:val="293E7836"/>
    <w:rsid w:val="293F2D39"/>
    <w:rsid w:val="294065BD"/>
    <w:rsid w:val="29407507"/>
    <w:rsid w:val="2941403E"/>
    <w:rsid w:val="29417EE1"/>
    <w:rsid w:val="29421AC0"/>
    <w:rsid w:val="29423CBE"/>
    <w:rsid w:val="29430105"/>
    <w:rsid w:val="29431740"/>
    <w:rsid w:val="29437541"/>
    <w:rsid w:val="294429D3"/>
    <w:rsid w:val="29444FC3"/>
    <w:rsid w:val="294471C1"/>
    <w:rsid w:val="29453572"/>
    <w:rsid w:val="294604C6"/>
    <w:rsid w:val="29465F48"/>
    <w:rsid w:val="29470146"/>
    <w:rsid w:val="294739C9"/>
    <w:rsid w:val="29474AEB"/>
    <w:rsid w:val="29485689"/>
    <w:rsid w:val="2948584E"/>
    <w:rsid w:val="29493649"/>
    <w:rsid w:val="29496ECC"/>
    <w:rsid w:val="294A1318"/>
    <w:rsid w:val="294A494E"/>
    <w:rsid w:val="294B23CF"/>
    <w:rsid w:val="294C0340"/>
    <w:rsid w:val="294C7E51"/>
    <w:rsid w:val="294D0D1A"/>
    <w:rsid w:val="294D204F"/>
    <w:rsid w:val="294D58D2"/>
    <w:rsid w:val="294E3354"/>
    <w:rsid w:val="294E7AD1"/>
    <w:rsid w:val="294F2293"/>
    <w:rsid w:val="29502FD4"/>
    <w:rsid w:val="29506857"/>
    <w:rsid w:val="29512FB8"/>
    <w:rsid w:val="2952510D"/>
    <w:rsid w:val="295377DC"/>
    <w:rsid w:val="29557060"/>
    <w:rsid w:val="29557225"/>
    <w:rsid w:val="2955745C"/>
    <w:rsid w:val="29560760"/>
    <w:rsid w:val="29564D71"/>
    <w:rsid w:val="29564EDD"/>
    <w:rsid w:val="29567BFF"/>
    <w:rsid w:val="295703E0"/>
    <w:rsid w:val="29583C63"/>
    <w:rsid w:val="295938E3"/>
    <w:rsid w:val="29595666"/>
    <w:rsid w:val="295B4BE8"/>
    <w:rsid w:val="295C3C6A"/>
    <w:rsid w:val="295D22E9"/>
    <w:rsid w:val="295E35EE"/>
    <w:rsid w:val="295E5B6D"/>
    <w:rsid w:val="295E7D6B"/>
    <w:rsid w:val="295F5CB6"/>
    <w:rsid w:val="295F5E6C"/>
    <w:rsid w:val="2960326E"/>
    <w:rsid w:val="29604D54"/>
    <w:rsid w:val="29613DF1"/>
    <w:rsid w:val="29614573"/>
    <w:rsid w:val="296341F3"/>
    <w:rsid w:val="29637A76"/>
    <w:rsid w:val="29641C74"/>
    <w:rsid w:val="29652B4F"/>
    <w:rsid w:val="296576F6"/>
    <w:rsid w:val="296609FB"/>
    <w:rsid w:val="29663529"/>
    <w:rsid w:val="29665177"/>
    <w:rsid w:val="29672BF9"/>
    <w:rsid w:val="296960FC"/>
    <w:rsid w:val="296A7401"/>
    <w:rsid w:val="296B15FF"/>
    <w:rsid w:val="296B6D7E"/>
    <w:rsid w:val="296B791D"/>
    <w:rsid w:val="296C02F7"/>
    <w:rsid w:val="296C7081"/>
    <w:rsid w:val="296E0005"/>
    <w:rsid w:val="296E1870"/>
    <w:rsid w:val="296E5E07"/>
    <w:rsid w:val="296E7C07"/>
    <w:rsid w:val="296F240F"/>
    <w:rsid w:val="296F3889"/>
    <w:rsid w:val="296F5A87"/>
    <w:rsid w:val="296F6CA5"/>
    <w:rsid w:val="2970130A"/>
    <w:rsid w:val="29703508"/>
    <w:rsid w:val="29716D8C"/>
    <w:rsid w:val="29724526"/>
    <w:rsid w:val="29726A0C"/>
    <w:rsid w:val="2973228F"/>
    <w:rsid w:val="2973448D"/>
    <w:rsid w:val="29741F0F"/>
    <w:rsid w:val="29747D10"/>
    <w:rsid w:val="29767018"/>
    <w:rsid w:val="297671DC"/>
    <w:rsid w:val="29776717"/>
    <w:rsid w:val="29780755"/>
    <w:rsid w:val="29780915"/>
    <w:rsid w:val="297812F4"/>
    <w:rsid w:val="29784198"/>
    <w:rsid w:val="29791C1A"/>
    <w:rsid w:val="29796396"/>
    <w:rsid w:val="297A3E18"/>
    <w:rsid w:val="297B3247"/>
    <w:rsid w:val="297B511D"/>
    <w:rsid w:val="297D0620"/>
    <w:rsid w:val="297E01B4"/>
    <w:rsid w:val="297E051F"/>
    <w:rsid w:val="297E60A1"/>
    <w:rsid w:val="297F5D39"/>
    <w:rsid w:val="29806A9C"/>
    <w:rsid w:val="29817026"/>
    <w:rsid w:val="29824AA8"/>
    <w:rsid w:val="2984158E"/>
    <w:rsid w:val="29847FAB"/>
    <w:rsid w:val="29855A2C"/>
    <w:rsid w:val="29856A16"/>
    <w:rsid w:val="298634AE"/>
    <w:rsid w:val="29870F2F"/>
    <w:rsid w:val="29874881"/>
    <w:rsid w:val="298869B1"/>
    <w:rsid w:val="298A1EB4"/>
    <w:rsid w:val="298C33D3"/>
    <w:rsid w:val="298C373E"/>
    <w:rsid w:val="298D02AE"/>
    <w:rsid w:val="298D2626"/>
    <w:rsid w:val="298D2E39"/>
    <w:rsid w:val="298E08BA"/>
    <w:rsid w:val="298F3DBD"/>
    <w:rsid w:val="2990258A"/>
    <w:rsid w:val="29923B03"/>
    <w:rsid w:val="299327C4"/>
    <w:rsid w:val="29940245"/>
    <w:rsid w:val="29945C1B"/>
    <w:rsid w:val="29955CC7"/>
    <w:rsid w:val="29961A49"/>
    <w:rsid w:val="299711CA"/>
    <w:rsid w:val="29974A4D"/>
    <w:rsid w:val="299824CF"/>
    <w:rsid w:val="29986C4B"/>
    <w:rsid w:val="299A59D2"/>
    <w:rsid w:val="299A5F1B"/>
    <w:rsid w:val="299A60D1"/>
    <w:rsid w:val="299B11E3"/>
    <w:rsid w:val="299B3453"/>
    <w:rsid w:val="299B5324"/>
    <w:rsid w:val="299B54DA"/>
    <w:rsid w:val="299B7BD0"/>
    <w:rsid w:val="299D30D3"/>
    <w:rsid w:val="299D6956"/>
    <w:rsid w:val="299E43D8"/>
    <w:rsid w:val="299F54DA"/>
    <w:rsid w:val="299F65D6"/>
    <w:rsid w:val="29A04058"/>
    <w:rsid w:val="29A05EB5"/>
    <w:rsid w:val="29A11AD9"/>
    <w:rsid w:val="29A1535C"/>
    <w:rsid w:val="29A22DDE"/>
    <w:rsid w:val="29A27FCC"/>
    <w:rsid w:val="29A30860"/>
    <w:rsid w:val="29A30B6B"/>
    <w:rsid w:val="29A42A5E"/>
    <w:rsid w:val="29A504DF"/>
    <w:rsid w:val="29A53D63"/>
    <w:rsid w:val="29A617E4"/>
    <w:rsid w:val="29A62ABE"/>
    <w:rsid w:val="29A719C6"/>
    <w:rsid w:val="29A77266"/>
    <w:rsid w:val="29A86EE6"/>
    <w:rsid w:val="29A94967"/>
    <w:rsid w:val="29AA23E9"/>
    <w:rsid w:val="29AB614E"/>
    <w:rsid w:val="29AB7E6A"/>
    <w:rsid w:val="29AC36EE"/>
    <w:rsid w:val="29AC58EC"/>
    <w:rsid w:val="29AD116F"/>
    <w:rsid w:val="29AD336D"/>
    <w:rsid w:val="29AD42AD"/>
    <w:rsid w:val="29AD788C"/>
    <w:rsid w:val="29AE0266"/>
    <w:rsid w:val="29AE042A"/>
    <w:rsid w:val="29AE4672"/>
    <w:rsid w:val="29AE6BF1"/>
    <w:rsid w:val="29AF20F4"/>
    <w:rsid w:val="29AF6870"/>
    <w:rsid w:val="29B019A3"/>
    <w:rsid w:val="29B042F2"/>
    <w:rsid w:val="29B11D74"/>
    <w:rsid w:val="29B23078"/>
    <w:rsid w:val="29B277F5"/>
    <w:rsid w:val="29B34495"/>
    <w:rsid w:val="29B35277"/>
    <w:rsid w:val="29B42CF8"/>
    <w:rsid w:val="29B4657B"/>
    <w:rsid w:val="29B5077A"/>
    <w:rsid w:val="29B669AE"/>
    <w:rsid w:val="29B72D20"/>
    <w:rsid w:val="29B77500"/>
    <w:rsid w:val="29B816FE"/>
    <w:rsid w:val="29B92A03"/>
    <w:rsid w:val="29B9443C"/>
    <w:rsid w:val="29B97180"/>
    <w:rsid w:val="29BA109E"/>
    <w:rsid w:val="29BC0105"/>
    <w:rsid w:val="29BD1409"/>
    <w:rsid w:val="29BD5B86"/>
    <w:rsid w:val="29BE6E8B"/>
    <w:rsid w:val="29BF490D"/>
    <w:rsid w:val="29BF52CD"/>
    <w:rsid w:val="29BF6B0B"/>
    <w:rsid w:val="29C0238E"/>
    <w:rsid w:val="29C0458C"/>
    <w:rsid w:val="29C05E6C"/>
    <w:rsid w:val="29C06030"/>
    <w:rsid w:val="29C16846"/>
    <w:rsid w:val="29C17E10"/>
    <w:rsid w:val="29C40B22"/>
    <w:rsid w:val="29C42F93"/>
    <w:rsid w:val="29C56816"/>
    <w:rsid w:val="29C64297"/>
    <w:rsid w:val="29C66496"/>
    <w:rsid w:val="29C71D19"/>
    <w:rsid w:val="29C739A3"/>
    <w:rsid w:val="29C73F17"/>
    <w:rsid w:val="29C7779A"/>
    <w:rsid w:val="29C92C9E"/>
    <w:rsid w:val="29C9741A"/>
    <w:rsid w:val="29CA071F"/>
    <w:rsid w:val="29CA1A97"/>
    <w:rsid w:val="29CB291D"/>
    <w:rsid w:val="29CB61A1"/>
    <w:rsid w:val="29CC039F"/>
    <w:rsid w:val="29CC3C22"/>
    <w:rsid w:val="29CC6106"/>
    <w:rsid w:val="29CD7843"/>
    <w:rsid w:val="29CF0F80"/>
    <w:rsid w:val="29CF4BA7"/>
    <w:rsid w:val="29D100AA"/>
    <w:rsid w:val="29D124F9"/>
    <w:rsid w:val="29D14827"/>
    <w:rsid w:val="29D222A8"/>
    <w:rsid w:val="29D25B2C"/>
    <w:rsid w:val="29D303B0"/>
    <w:rsid w:val="29D335AD"/>
    <w:rsid w:val="29D37D2A"/>
    <w:rsid w:val="29D4102F"/>
    <w:rsid w:val="29D470E3"/>
    <w:rsid w:val="29D5322D"/>
    <w:rsid w:val="29D54FEB"/>
    <w:rsid w:val="29D56336"/>
    <w:rsid w:val="29D56AB0"/>
    <w:rsid w:val="29D60CAE"/>
    <w:rsid w:val="29D741B2"/>
    <w:rsid w:val="29D976B5"/>
    <w:rsid w:val="29DA2F38"/>
    <w:rsid w:val="29DA5136"/>
    <w:rsid w:val="29DB1BF4"/>
    <w:rsid w:val="29DB1DB9"/>
    <w:rsid w:val="29DC643B"/>
    <w:rsid w:val="29DD3EBD"/>
    <w:rsid w:val="29DD60BB"/>
    <w:rsid w:val="29DE3B3C"/>
    <w:rsid w:val="29DF4E41"/>
    <w:rsid w:val="29E05285"/>
    <w:rsid w:val="29E0703F"/>
    <w:rsid w:val="29E14AC1"/>
    <w:rsid w:val="29E22543"/>
    <w:rsid w:val="29E25DC6"/>
    <w:rsid w:val="29E31555"/>
    <w:rsid w:val="29E325E0"/>
    <w:rsid w:val="29E33847"/>
    <w:rsid w:val="29E3739C"/>
    <w:rsid w:val="29E62217"/>
    <w:rsid w:val="29E647CC"/>
    <w:rsid w:val="29E835CB"/>
    <w:rsid w:val="29E83790"/>
    <w:rsid w:val="29E87CCF"/>
    <w:rsid w:val="29E95751"/>
    <w:rsid w:val="29EB0C54"/>
    <w:rsid w:val="29EB2AFB"/>
    <w:rsid w:val="29ED4157"/>
    <w:rsid w:val="29ED6C5C"/>
    <w:rsid w:val="29EE77FA"/>
    <w:rsid w:val="29EE79BF"/>
    <w:rsid w:val="29EF765A"/>
    <w:rsid w:val="29F050DC"/>
    <w:rsid w:val="29F12B5D"/>
    <w:rsid w:val="29F36060"/>
    <w:rsid w:val="29F43A2A"/>
    <w:rsid w:val="29F54404"/>
    <w:rsid w:val="29F63376"/>
    <w:rsid w:val="29F66FE5"/>
    <w:rsid w:val="29F724E8"/>
    <w:rsid w:val="29F870BA"/>
    <w:rsid w:val="29F87F6A"/>
    <w:rsid w:val="29F959EB"/>
    <w:rsid w:val="29FA346D"/>
    <w:rsid w:val="29FC6970"/>
    <w:rsid w:val="29FE32E9"/>
    <w:rsid w:val="29FE7C75"/>
    <w:rsid w:val="29FF3178"/>
    <w:rsid w:val="29FF3CC3"/>
    <w:rsid w:val="29FF7106"/>
    <w:rsid w:val="29FF78F4"/>
    <w:rsid w:val="2A005376"/>
    <w:rsid w:val="2A0061A4"/>
    <w:rsid w:val="2A014ED6"/>
    <w:rsid w:val="2A015918"/>
    <w:rsid w:val="2A01667B"/>
    <w:rsid w:val="2A020879"/>
    <w:rsid w:val="2A031B7E"/>
    <w:rsid w:val="2A0475FF"/>
    <w:rsid w:val="2A050C55"/>
    <w:rsid w:val="2A055081"/>
    <w:rsid w:val="2A0721CE"/>
    <w:rsid w:val="2A074D01"/>
    <w:rsid w:val="2A082782"/>
    <w:rsid w:val="2A090204"/>
    <w:rsid w:val="2A093747"/>
    <w:rsid w:val="2A093A87"/>
    <w:rsid w:val="2A0A1509"/>
    <w:rsid w:val="2A0A5C85"/>
    <w:rsid w:val="2A0B6CFA"/>
    <w:rsid w:val="2A0B6F8A"/>
    <w:rsid w:val="2A0C1188"/>
    <w:rsid w:val="2A0C4A0C"/>
    <w:rsid w:val="2A0C569A"/>
    <w:rsid w:val="2A0D1E04"/>
    <w:rsid w:val="2A0D248D"/>
    <w:rsid w:val="2A0D63FD"/>
    <w:rsid w:val="2A0D6C0A"/>
    <w:rsid w:val="2A0E468C"/>
    <w:rsid w:val="2A0E7F0F"/>
    <w:rsid w:val="2A0F0615"/>
    <w:rsid w:val="2A0F210D"/>
    <w:rsid w:val="2A0F5990"/>
    <w:rsid w:val="2A0F7976"/>
    <w:rsid w:val="2A0F7B8F"/>
    <w:rsid w:val="2A103412"/>
    <w:rsid w:val="2A1074FE"/>
    <w:rsid w:val="2A111A8E"/>
    <w:rsid w:val="2A136595"/>
    <w:rsid w:val="2A141E18"/>
    <w:rsid w:val="2A144016"/>
    <w:rsid w:val="2A1467BC"/>
    <w:rsid w:val="2A151A98"/>
    <w:rsid w:val="2A15789A"/>
    <w:rsid w:val="2A16511E"/>
    <w:rsid w:val="2A16751A"/>
    <w:rsid w:val="2A172D9D"/>
    <w:rsid w:val="2A175CBD"/>
    <w:rsid w:val="2A1862A0"/>
    <w:rsid w:val="2A19049E"/>
    <w:rsid w:val="2A197236"/>
    <w:rsid w:val="2A1A17A3"/>
    <w:rsid w:val="2A1B07AF"/>
    <w:rsid w:val="2A1B7225"/>
    <w:rsid w:val="2A1C3834"/>
    <w:rsid w:val="2A1C4CA6"/>
    <w:rsid w:val="2A1D6EA4"/>
    <w:rsid w:val="2A1E01A9"/>
    <w:rsid w:val="2A1E21FB"/>
    <w:rsid w:val="2A1E4926"/>
    <w:rsid w:val="2A1F23A7"/>
    <w:rsid w:val="2A1F3E3F"/>
    <w:rsid w:val="2A1F5C2B"/>
    <w:rsid w:val="2A2036AC"/>
    <w:rsid w:val="2A207E29"/>
    <w:rsid w:val="2A225F57"/>
    <w:rsid w:val="2A230DAE"/>
    <w:rsid w:val="2A234631"/>
    <w:rsid w:val="2A247694"/>
    <w:rsid w:val="2A2542B1"/>
    <w:rsid w:val="2A257B34"/>
    <w:rsid w:val="2A261D32"/>
    <w:rsid w:val="2A2777B4"/>
    <w:rsid w:val="2A280AB9"/>
    <w:rsid w:val="2A282186"/>
    <w:rsid w:val="2A29653A"/>
    <w:rsid w:val="2A2A61BA"/>
    <w:rsid w:val="2A2A6A53"/>
    <w:rsid w:val="2A2B1A3D"/>
    <w:rsid w:val="2A2B3C3C"/>
    <w:rsid w:val="2A2B40D9"/>
    <w:rsid w:val="2A2B4E3C"/>
    <w:rsid w:val="2A2D4F40"/>
    <w:rsid w:val="2A2E29C2"/>
    <w:rsid w:val="2A2E4BC0"/>
    <w:rsid w:val="2A2F2642"/>
    <w:rsid w:val="2A2F7769"/>
    <w:rsid w:val="2A2F792E"/>
    <w:rsid w:val="2A3000C3"/>
    <w:rsid w:val="2A303947"/>
    <w:rsid w:val="2A305EC5"/>
    <w:rsid w:val="2A3235C6"/>
    <w:rsid w:val="2A326E4A"/>
    <w:rsid w:val="2A331048"/>
    <w:rsid w:val="2A3325E4"/>
    <w:rsid w:val="2A3348CB"/>
    <w:rsid w:val="2A346ACA"/>
    <w:rsid w:val="2A35454B"/>
    <w:rsid w:val="2A357DCE"/>
    <w:rsid w:val="2A361FCD"/>
    <w:rsid w:val="2A364537"/>
    <w:rsid w:val="2A380D53"/>
    <w:rsid w:val="2A3854D0"/>
    <w:rsid w:val="2A3967D5"/>
    <w:rsid w:val="2A3A0118"/>
    <w:rsid w:val="2A3A4256"/>
    <w:rsid w:val="2A3A7521"/>
    <w:rsid w:val="2A3A7D8C"/>
    <w:rsid w:val="2A3B0766"/>
    <w:rsid w:val="2A3B1CD8"/>
    <w:rsid w:val="2A3D1EA3"/>
    <w:rsid w:val="2A3F4E5B"/>
    <w:rsid w:val="2A40035E"/>
    <w:rsid w:val="2A403FBB"/>
    <w:rsid w:val="2A413BE1"/>
    <w:rsid w:val="2A415DDF"/>
    <w:rsid w:val="2A423861"/>
    <w:rsid w:val="2A4312E2"/>
    <w:rsid w:val="2A435F0E"/>
    <w:rsid w:val="2A4370E4"/>
    <w:rsid w:val="2A444B66"/>
    <w:rsid w:val="2A446D64"/>
    <w:rsid w:val="2A452503"/>
    <w:rsid w:val="2A4525E7"/>
    <w:rsid w:val="2A45368C"/>
    <w:rsid w:val="2A460069"/>
    <w:rsid w:val="2A462267"/>
    <w:rsid w:val="2A465E57"/>
    <w:rsid w:val="2A471763"/>
    <w:rsid w:val="2A475AEA"/>
    <w:rsid w:val="2A477CE9"/>
    <w:rsid w:val="2A480FED"/>
    <w:rsid w:val="2A482C60"/>
    <w:rsid w:val="2A48356C"/>
    <w:rsid w:val="2A4C79F4"/>
    <w:rsid w:val="2A4E2EF7"/>
    <w:rsid w:val="2A4E61A8"/>
    <w:rsid w:val="2A4E636C"/>
    <w:rsid w:val="2A505039"/>
    <w:rsid w:val="2A5218FD"/>
    <w:rsid w:val="2A54259B"/>
    <w:rsid w:val="2A544E00"/>
    <w:rsid w:val="2A5644EE"/>
    <w:rsid w:val="2A5646B3"/>
    <w:rsid w:val="2A574846"/>
    <w:rsid w:val="2A575D85"/>
    <w:rsid w:val="2A583058"/>
    <w:rsid w:val="2A583806"/>
    <w:rsid w:val="2A591288"/>
    <w:rsid w:val="2A5A6D09"/>
    <w:rsid w:val="2A5B478B"/>
    <w:rsid w:val="2A5B7D43"/>
    <w:rsid w:val="2A5C220C"/>
    <w:rsid w:val="2A5D7C8E"/>
    <w:rsid w:val="2A5F2835"/>
    <w:rsid w:val="2A5F29FA"/>
    <w:rsid w:val="2A6075D0"/>
    <w:rsid w:val="2A614116"/>
    <w:rsid w:val="2A621B97"/>
    <w:rsid w:val="2A63541A"/>
    <w:rsid w:val="2A637619"/>
    <w:rsid w:val="2A64640A"/>
    <w:rsid w:val="2A646A64"/>
    <w:rsid w:val="2A65091E"/>
    <w:rsid w:val="2A652B1C"/>
    <w:rsid w:val="2A657603"/>
    <w:rsid w:val="2A6578AF"/>
    <w:rsid w:val="2A66059D"/>
    <w:rsid w:val="2A666276"/>
    <w:rsid w:val="2A66639F"/>
    <w:rsid w:val="2A66642C"/>
    <w:rsid w:val="2A666797"/>
    <w:rsid w:val="2A677CA8"/>
    <w:rsid w:val="2A681556"/>
    <w:rsid w:val="2A683AA1"/>
    <w:rsid w:val="2A687324"/>
    <w:rsid w:val="2A6920F5"/>
    <w:rsid w:val="2A6922B9"/>
    <w:rsid w:val="2A694DA5"/>
    <w:rsid w:val="2A6A2827"/>
    <w:rsid w:val="2A6A6FA4"/>
    <w:rsid w:val="2A6B02A8"/>
    <w:rsid w:val="2A6B366E"/>
    <w:rsid w:val="2A6D7F28"/>
    <w:rsid w:val="2A6E122D"/>
    <w:rsid w:val="2A6F6324"/>
    <w:rsid w:val="2A6F6CAF"/>
    <w:rsid w:val="2A700EAD"/>
    <w:rsid w:val="2A7121B2"/>
    <w:rsid w:val="2A71692E"/>
    <w:rsid w:val="2A71789D"/>
    <w:rsid w:val="2A720E15"/>
    <w:rsid w:val="2A7243B0"/>
    <w:rsid w:val="2A727C33"/>
    <w:rsid w:val="2A7319B4"/>
    <w:rsid w:val="2A731E32"/>
    <w:rsid w:val="2A7356B5"/>
    <w:rsid w:val="2A741800"/>
    <w:rsid w:val="2A743136"/>
    <w:rsid w:val="2A7506E8"/>
    <w:rsid w:val="2A752F2D"/>
    <w:rsid w:val="2A755335"/>
    <w:rsid w:val="2A757CA7"/>
    <w:rsid w:val="2A763ACC"/>
    <w:rsid w:val="2A766639"/>
    <w:rsid w:val="2A76793C"/>
    <w:rsid w:val="2A770838"/>
    <w:rsid w:val="2A783D3B"/>
    <w:rsid w:val="2A795BE3"/>
    <w:rsid w:val="2A7975BE"/>
    <w:rsid w:val="2A7A723E"/>
    <w:rsid w:val="2A7B2AC1"/>
    <w:rsid w:val="2A7B4CC0"/>
    <w:rsid w:val="2A7B715C"/>
    <w:rsid w:val="2A7B7321"/>
    <w:rsid w:val="2A7D01C3"/>
    <w:rsid w:val="2A7D5FC4"/>
    <w:rsid w:val="2A7E3A46"/>
    <w:rsid w:val="2A7E5C44"/>
    <w:rsid w:val="2A7F14C7"/>
    <w:rsid w:val="2A7F36C6"/>
    <w:rsid w:val="2A801147"/>
    <w:rsid w:val="2A8049CB"/>
    <w:rsid w:val="2A813D65"/>
    <w:rsid w:val="2A816BC9"/>
    <w:rsid w:val="2A82464A"/>
    <w:rsid w:val="2A827ECE"/>
    <w:rsid w:val="2A8320CC"/>
    <w:rsid w:val="2A842A4D"/>
    <w:rsid w:val="2A8433D1"/>
    <w:rsid w:val="2A850E52"/>
    <w:rsid w:val="2A8555CF"/>
    <w:rsid w:val="2A856BE0"/>
    <w:rsid w:val="2A863051"/>
    <w:rsid w:val="2A8675BA"/>
    <w:rsid w:val="2A870159"/>
    <w:rsid w:val="2A8916D2"/>
    <w:rsid w:val="2A893FD5"/>
    <w:rsid w:val="2A897858"/>
    <w:rsid w:val="2A8A1A57"/>
    <w:rsid w:val="2A8A20AC"/>
    <w:rsid w:val="2A8B2D5C"/>
    <w:rsid w:val="2A8C07DD"/>
    <w:rsid w:val="2A8C4F5A"/>
    <w:rsid w:val="2A8C5B46"/>
    <w:rsid w:val="2A8E045D"/>
    <w:rsid w:val="2A8E3CE0"/>
    <w:rsid w:val="2A9050DC"/>
    <w:rsid w:val="2A9067BA"/>
    <w:rsid w:val="2A9071E3"/>
    <w:rsid w:val="2A9071FF"/>
    <w:rsid w:val="2A916E63"/>
    <w:rsid w:val="2A9248E5"/>
    <w:rsid w:val="2A924AAB"/>
    <w:rsid w:val="2A925337"/>
    <w:rsid w:val="2A930168"/>
    <w:rsid w:val="2A932366"/>
    <w:rsid w:val="2A945BEA"/>
    <w:rsid w:val="2A947DE8"/>
    <w:rsid w:val="2A95250A"/>
    <w:rsid w:val="2A955869"/>
    <w:rsid w:val="2A9610ED"/>
    <w:rsid w:val="2A9630A9"/>
    <w:rsid w:val="2A970D6C"/>
    <w:rsid w:val="2A976B6E"/>
    <w:rsid w:val="2A9845F0"/>
    <w:rsid w:val="2A984622"/>
    <w:rsid w:val="2A9867EE"/>
    <w:rsid w:val="2A994270"/>
    <w:rsid w:val="2A997AF3"/>
    <w:rsid w:val="2A9A5574"/>
    <w:rsid w:val="2A9B72D8"/>
    <w:rsid w:val="2A9B7773"/>
    <w:rsid w:val="2A9C0A77"/>
    <w:rsid w:val="2A9C7924"/>
    <w:rsid w:val="2A9D068C"/>
    <w:rsid w:val="2A9D0851"/>
    <w:rsid w:val="2A9D64F9"/>
    <w:rsid w:val="2A9E122B"/>
    <w:rsid w:val="2A9F0F97"/>
    <w:rsid w:val="2A9F19FC"/>
    <w:rsid w:val="2A9F1DCA"/>
    <w:rsid w:val="2A9F6179"/>
    <w:rsid w:val="2AA027A4"/>
    <w:rsid w:val="2AA0747E"/>
    <w:rsid w:val="2AA0795F"/>
    <w:rsid w:val="2AA14EFF"/>
    <w:rsid w:val="2AA16BB2"/>
    <w:rsid w:val="2AA16D68"/>
    <w:rsid w:val="2AA170D3"/>
    <w:rsid w:val="2AA270FE"/>
    <w:rsid w:val="2AA34B7F"/>
    <w:rsid w:val="2AA42601"/>
    <w:rsid w:val="2AA4545A"/>
    <w:rsid w:val="2AA45E84"/>
    <w:rsid w:val="2AA4785E"/>
    <w:rsid w:val="2AA50082"/>
    <w:rsid w:val="2AA61387"/>
    <w:rsid w:val="2AA65B04"/>
    <w:rsid w:val="2AA9450A"/>
    <w:rsid w:val="2AAA2228"/>
    <w:rsid w:val="2AAA613F"/>
    <w:rsid w:val="2AAA7D8D"/>
    <w:rsid w:val="2AAB2C02"/>
    <w:rsid w:val="2AAB306F"/>
    <w:rsid w:val="2AAB7A0D"/>
    <w:rsid w:val="2AAC3290"/>
    <w:rsid w:val="2AAD417B"/>
    <w:rsid w:val="2AAF1F86"/>
    <w:rsid w:val="2AAF4215"/>
    <w:rsid w:val="2AAF58B8"/>
    <w:rsid w:val="2AB06457"/>
    <w:rsid w:val="2AB22C1B"/>
    <w:rsid w:val="2AB3069D"/>
    <w:rsid w:val="2AB53BA0"/>
    <w:rsid w:val="2AB61621"/>
    <w:rsid w:val="2AB770A3"/>
    <w:rsid w:val="2ABD0FAC"/>
    <w:rsid w:val="2ABD7C6A"/>
    <w:rsid w:val="2ABE32E0"/>
    <w:rsid w:val="2ABE6A2E"/>
    <w:rsid w:val="2ABF44AF"/>
    <w:rsid w:val="2AC01F31"/>
    <w:rsid w:val="2AC12920"/>
    <w:rsid w:val="2AC32EB5"/>
    <w:rsid w:val="2AC55FB0"/>
    <w:rsid w:val="2AC563B9"/>
    <w:rsid w:val="2AC63E3A"/>
    <w:rsid w:val="2AC66B4F"/>
    <w:rsid w:val="2AC718BC"/>
    <w:rsid w:val="2AC8733D"/>
    <w:rsid w:val="2AC90642"/>
    <w:rsid w:val="2AC92840"/>
    <w:rsid w:val="2ACA60C4"/>
    <w:rsid w:val="2ACB21DF"/>
    <w:rsid w:val="2ACB3B45"/>
    <w:rsid w:val="2ACB6F40"/>
    <w:rsid w:val="2ACB72AC"/>
    <w:rsid w:val="2ACB7982"/>
    <w:rsid w:val="2ACD1247"/>
    <w:rsid w:val="2ACF254B"/>
    <w:rsid w:val="2AD07FCD"/>
    <w:rsid w:val="2AD16FAD"/>
    <w:rsid w:val="2AD17C4D"/>
    <w:rsid w:val="2AD256CE"/>
    <w:rsid w:val="2AD33150"/>
    <w:rsid w:val="2AD410C5"/>
    <w:rsid w:val="2AD44C9E"/>
    <w:rsid w:val="2AD56653"/>
    <w:rsid w:val="2AD67958"/>
    <w:rsid w:val="2AD82E5B"/>
    <w:rsid w:val="2AD908DC"/>
    <w:rsid w:val="2AD94591"/>
    <w:rsid w:val="2ADA18D3"/>
    <w:rsid w:val="2ADA635E"/>
    <w:rsid w:val="2ADB055C"/>
    <w:rsid w:val="2ADB3DDF"/>
    <w:rsid w:val="2ADC5FDE"/>
    <w:rsid w:val="2ADC66A8"/>
    <w:rsid w:val="2ADE0984"/>
    <w:rsid w:val="2ADE14E1"/>
    <w:rsid w:val="2ADF07C0"/>
    <w:rsid w:val="2ADF6F62"/>
    <w:rsid w:val="2AE01EFD"/>
    <w:rsid w:val="2AE049E4"/>
    <w:rsid w:val="2AE12465"/>
    <w:rsid w:val="2AE15CE9"/>
    <w:rsid w:val="2AE17EE7"/>
    <w:rsid w:val="2AE25969"/>
    <w:rsid w:val="2AE311EC"/>
    <w:rsid w:val="2AE568ED"/>
    <w:rsid w:val="2AE6612C"/>
    <w:rsid w:val="2AE77BF2"/>
    <w:rsid w:val="2AE90B77"/>
    <w:rsid w:val="2AE930F5"/>
    <w:rsid w:val="2AE9314E"/>
    <w:rsid w:val="2AE952F3"/>
    <w:rsid w:val="2AEA2D75"/>
    <w:rsid w:val="2AEB17BD"/>
    <w:rsid w:val="2AEB407A"/>
    <w:rsid w:val="2AEC1AFB"/>
    <w:rsid w:val="2AEC6278"/>
    <w:rsid w:val="2AED2B71"/>
    <w:rsid w:val="2AED3CFA"/>
    <w:rsid w:val="2AEE177B"/>
    <w:rsid w:val="2AEE4FFE"/>
    <w:rsid w:val="2AEF2A80"/>
    <w:rsid w:val="2AEF71FD"/>
    <w:rsid w:val="2AF000D8"/>
    <w:rsid w:val="2AF00502"/>
    <w:rsid w:val="2AF059EC"/>
    <w:rsid w:val="2AF20181"/>
    <w:rsid w:val="2AF23A05"/>
    <w:rsid w:val="2AF35C03"/>
    <w:rsid w:val="2AF46F08"/>
    <w:rsid w:val="2AF50EB8"/>
    <w:rsid w:val="2AF51106"/>
    <w:rsid w:val="2AF54989"/>
    <w:rsid w:val="2AF66B88"/>
    <w:rsid w:val="2AF725F5"/>
    <w:rsid w:val="2AF75C96"/>
    <w:rsid w:val="2AF7727E"/>
    <w:rsid w:val="2AF8208B"/>
    <w:rsid w:val="2AF8590E"/>
    <w:rsid w:val="2AF93390"/>
    <w:rsid w:val="2AF93B6E"/>
    <w:rsid w:val="2AF9470D"/>
    <w:rsid w:val="2AF97B0C"/>
    <w:rsid w:val="2AFA4548"/>
    <w:rsid w:val="2AFA52AB"/>
    <w:rsid w:val="2AFB6893"/>
    <w:rsid w:val="2AFC4314"/>
    <w:rsid w:val="2AFC6512"/>
    <w:rsid w:val="2AFD1D96"/>
    <w:rsid w:val="2AFE7BD8"/>
    <w:rsid w:val="2AFF093C"/>
    <w:rsid w:val="2AFF5299"/>
    <w:rsid w:val="2AFF7497"/>
    <w:rsid w:val="2B01079C"/>
    <w:rsid w:val="2B01299A"/>
    <w:rsid w:val="2B01621D"/>
    <w:rsid w:val="2B02041C"/>
    <w:rsid w:val="2B023C9F"/>
    <w:rsid w:val="2B035E9D"/>
    <w:rsid w:val="2B04158B"/>
    <w:rsid w:val="2B04391F"/>
    <w:rsid w:val="2B054C24"/>
    <w:rsid w:val="2B067511"/>
    <w:rsid w:val="2B070127"/>
    <w:rsid w:val="2B0748A3"/>
    <w:rsid w:val="2B082325"/>
    <w:rsid w:val="2B097498"/>
    <w:rsid w:val="2B0A0BD5"/>
    <w:rsid w:val="2B0B15B0"/>
    <w:rsid w:val="2B0C45AE"/>
    <w:rsid w:val="2B0D2030"/>
    <w:rsid w:val="2B0D2CED"/>
    <w:rsid w:val="2B0D67AD"/>
    <w:rsid w:val="2B0E422E"/>
    <w:rsid w:val="2B0F1CB0"/>
    <w:rsid w:val="2B0F5533"/>
    <w:rsid w:val="2B110A36"/>
    <w:rsid w:val="2B1159A3"/>
    <w:rsid w:val="2B1164DB"/>
    <w:rsid w:val="2B1206B6"/>
    <w:rsid w:val="2B12637D"/>
    <w:rsid w:val="2B133F39"/>
    <w:rsid w:val="2B136138"/>
    <w:rsid w:val="2B136F1C"/>
    <w:rsid w:val="2B1419BB"/>
    <w:rsid w:val="2B143BB9"/>
    <w:rsid w:val="2B1478F6"/>
    <w:rsid w:val="2B151034"/>
    <w:rsid w:val="2B151462"/>
    <w:rsid w:val="2B160E6F"/>
    <w:rsid w:val="2B1803C1"/>
    <w:rsid w:val="2B1A38C4"/>
    <w:rsid w:val="2B1A44FF"/>
    <w:rsid w:val="2B1A46C4"/>
    <w:rsid w:val="2B1B0B22"/>
    <w:rsid w:val="2B1C4849"/>
    <w:rsid w:val="2B1D22CA"/>
    <w:rsid w:val="2B1E7D4C"/>
    <w:rsid w:val="2B1F57CD"/>
    <w:rsid w:val="2B210CD1"/>
    <w:rsid w:val="2B226752"/>
    <w:rsid w:val="2B232A0B"/>
    <w:rsid w:val="2B241C55"/>
    <w:rsid w:val="2B243F83"/>
    <w:rsid w:val="2B265158"/>
    <w:rsid w:val="2B272BDA"/>
    <w:rsid w:val="2B28065B"/>
    <w:rsid w:val="2B2960DD"/>
    <w:rsid w:val="2B2A3B5F"/>
    <w:rsid w:val="2B2B0B8D"/>
    <w:rsid w:val="2B2B15E0"/>
    <w:rsid w:val="2B2C172B"/>
    <w:rsid w:val="2B2E2565"/>
    <w:rsid w:val="2B2E2E69"/>
    <w:rsid w:val="2B2F3843"/>
    <w:rsid w:val="2B30012B"/>
    <w:rsid w:val="2B300496"/>
    <w:rsid w:val="2B3012EB"/>
    <w:rsid w:val="2B3134E9"/>
    <w:rsid w:val="2B316D6D"/>
    <w:rsid w:val="2B320F6B"/>
    <w:rsid w:val="2B3247EE"/>
    <w:rsid w:val="2B3269EC"/>
    <w:rsid w:val="2B332270"/>
    <w:rsid w:val="2B33446E"/>
    <w:rsid w:val="2B336ED3"/>
    <w:rsid w:val="2B341EF0"/>
    <w:rsid w:val="2B355773"/>
    <w:rsid w:val="2B357971"/>
    <w:rsid w:val="2B3631F4"/>
    <w:rsid w:val="2B3653F3"/>
    <w:rsid w:val="2B372E74"/>
    <w:rsid w:val="2B3808F6"/>
    <w:rsid w:val="2B382728"/>
    <w:rsid w:val="2B3866F7"/>
    <w:rsid w:val="2B392F3E"/>
    <w:rsid w:val="2B394179"/>
    <w:rsid w:val="2B396377"/>
    <w:rsid w:val="2B3A1BFB"/>
    <w:rsid w:val="2B3A3DF9"/>
    <w:rsid w:val="2B3A767C"/>
    <w:rsid w:val="2B3B187A"/>
    <w:rsid w:val="2B3C2B7F"/>
    <w:rsid w:val="2B3D0601"/>
    <w:rsid w:val="2B3E27FF"/>
    <w:rsid w:val="2B3E6082"/>
    <w:rsid w:val="2B3F7ED0"/>
    <w:rsid w:val="2B400DAF"/>
    <w:rsid w:val="2B40163B"/>
    <w:rsid w:val="2B405D02"/>
    <w:rsid w:val="2B411285"/>
    <w:rsid w:val="2B413784"/>
    <w:rsid w:val="2B4140B5"/>
    <w:rsid w:val="2B417007"/>
    <w:rsid w:val="2B421205"/>
    <w:rsid w:val="2B421FE8"/>
    <w:rsid w:val="2B43250A"/>
    <w:rsid w:val="2B4329C2"/>
    <w:rsid w:val="2B447F8C"/>
    <w:rsid w:val="2B45218A"/>
    <w:rsid w:val="2B455A0D"/>
    <w:rsid w:val="2B46348F"/>
    <w:rsid w:val="2B47568D"/>
    <w:rsid w:val="2B486052"/>
    <w:rsid w:val="2B490B90"/>
    <w:rsid w:val="2B492CDC"/>
    <w:rsid w:val="2B494413"/>
    <w:rsid w:val="2B4A4093"/>
    <w:rsid w:val="2B4B1B15"/>
    <w:rsid w:val="2B4B2AFB"/>
    <w:rsid w:val="2B4B7916"/>
    <w:rsid w:val="2B4C5398"/>
    <w:rsid w:val="2B4D2E1A"/>
    <w:rsid w:val="2B4E089B"/>
    <w:rsid w:val="2B4E4183"/>
    <w:rsid w:val="2B4F37FA"/>
    <w:rsid w:val="2B4F631D"/>
    <w:rsid w:val="2B511820"/>
    <w:rsid w:val="2B513A1E"/>
    <w:rsid w:val="2B524D23"/>
    <w:rsid w:val="2B5327A4"/>
    <w:rsid w:val="2B552424"/>
    <w:rsid w:val="2B563729"/>
    <w:rsid w:val="2B5711AB"/>
    <w:rsid w:val="2B58197D"/>
    <w:rsid w:val="2B5833A9"/>
    <w:rsid w:val="2B586C2C"/>
    <w:rsid w:val="2B59251B"/>
    <w:rsid w:val="2B5A3C59"/>
    <w:rsid w:val="2B5A68AC"/>
    <w:rsid w:val="2B5B7BB1"/>
    <w:rsid w:val="2B5C1DAF"/>
    <w:rsid w:val="2B5D5F1F"/>
    <w:rsid w:val="2B5D7831"/>
    <w:rsid w:val="2B5E4A9B"/>
    <w:rsid w:val="2B5E52B2"/>
    <w:rsid w:val="2B5E5327"/>
    <w:rsid w:val="2B5E5693"/>
    <w:rsid w:val="2B5F2D34"/>
    <w:rsid w:val="2B6007B5"/>
    <w:rsid w:val="2B604039"/>
    <w:rsid w:val="2B607E88"/>
    <w:rsid w:val="2B611ABA"/>
    <w:rsid w:val="2B62123C"/>
    <w:rsid w:val="2B62173A"/>
    <w:rsid w:val="2B62753C"/>
    <w:rsid w:val="2B631F9F"/>
    <w:rsid w:val="2B634FBD"/>
    <w:rsid w:val="2B6371BC"/>
    <w:rsid w:val="2B642A3F"/>
    <w:rsid w:val="2B644C3D"/>
    <w:rsid w:val="2B660140"/>
    <w:rsid w:val="2B665F42"/>
    <w:rsid w:val="2B681445"/>
    <w:rsid w:val="2B68600A"/>
    <w:rsid w:val="2B6969E4"/>
    <w:rsid w:val="2B696BA9"/>
    <w:rsid w:val="2B696EC7"/>
    <w:rsid w:val="2B6A4948"/>
    <w:rsid w:val="2B6A6B46"/>
    <w:rsid w:val="2B6B0121"/>
    <w:rsid w:val="2B6B0546"/>
    <w:rsid w:val="2B6B06FC"/>
    <w:rsid w:val="2B6C0AFC"/>
    <w:rsid w:val="2B6C2049"/>
    <w:rsid w:val="2B6C794F"/>
    <w:rsid w:val="2B6E0DD0"/>
    <w:rsid w:val="2B6E554D"/>
    <w:rsid w:val="2B6F2FCE"/>
    <w:rsid w:val="2B6F6851"/>
    <w:rsid w:val="2B700A50"/>
    <w:rsid w:val="2B7042D3"/>
    <w:rsid w:val="2B711D54"/>
    <w:rsid w:val="2B724D2B"/>
    <w:rsid w:val="2B7319D4"/>
    <w:rsid w:val="2B735258"/>
    <w:rsid w:val="2B735A8E"/>
    <w:rsid w:val="2B742CD9"/>
    <w:rsid w:val="2B746468"/>
    <w:rsid w:val="2B747F71"/>
    <w:rsid w:val="2B7703BB"/>
    <w:rsid w:val="2B770F5A"/>
    <w:rsid w:val="2B774C6A"/>
    <w:rsid w:val="2B7816DF"/>
    <w:rsid w:val="2B781AF8"/>
    <w:rsid w:val="2B785E5C"/>
    <w:rsid w:val="2B7924D3"/>
    <w:rsid w:val="2B7938DE"/>
    <w:rsid w:val="2B7A135F"/>
    <w:rsid w:val="2B7A4BE2"/>
    <w:rsid w:val="2B7B4862"/>
    <w:rsid w:val="2B7C00E6"/>
    <w:rsid w:val="2B7C45EA"/>
    <w:rsid w:val="2B7D2B4A"/>
    <w:rsid w:val="2B805868"/>
    <w:rsid w:val="2B806AEC"/>
    <w:rsid w:val="2B820819"/>
    <w:rsid w:val="2B821FEF"/>
    <w:rsid w:val="2B827A70"/>
    <w:rsid w:val="2B8313B8"/>
    <w:rsid w:val="2B8354F2"/>
    <w:rsid w:val="2B842931"/>
    <w:rsid w:val="2B842F73"/>
    <w:rsid w:val="2B8509F5"/>
    <w:rsid w:val="2B866477"/>
    <w:rsid w:val="2B873EF8"/>
    <w:rsid w:val="2B8760F7"/>
    <w:rsid w:val="2B885D8C"/>
    <w:rsid w:val="2B894ABF"/>
    <w:rsid w:val="2B8A3D12"/>
    <w:rsid w:val="2B8A4E7D"/>
    <w:rsid w:val="2B8D0C77"/>
    <w:rsid w:val="2B8D5E01"/>
    <w:rsid w:val="2B8E1652"/>
    <w:rsid w:val="2B8E1816"/>
    <w:rsid w:val="2B8F1305"/>
    <w:rsid w:val="2B906D86"/>
    <w:rsid w:val="2B913769"/>
    <w:rsid w:val="2B914808"/>
    <w:rsid w:val="2B922289"/>
    <w:rsid w:val="2B9327F9"/>
    <w:rsid w:val="2B935881"/>
    <w:rsid w:val="2B94578C"/>
    <w:rsid w:val="2B95320E"/>
    <w:rsid w:val="2B960C8F"/>
    <w:rsid w:val="2B964513"/>
    <w:rsid w:val="2B967998"/>
    <w:rsid w:val="2B971F94"/>
    <w:rsid w:val="2B976711"/>
    <w:rsid w:val="2B977B28"/>
    <w:rsid w:val="2B980D20"/>
    <w:rsid w:val="2B9810D6"/>
    <w:rsid w:val="2B984192"/>
    <w:rsid w:val="2B987A16"/>
    <w:rsid w:val="2B9A2F19"/>
    <w:rsid w:val="2B9A7696"/>
    <w:rsid w:val="2B9B099A"/>
    <w:rsid w:val="2B9B2B99"/>
    <w:rsid w:val="2B9B5117"/>
    <w:rsid w:val="2B9C4B6B"/>
    <w:rsid w:val="2B9D3E9D"/>
    <w:rsid w:val="2B9D609C"/>
    <w:rsid w:val="2B9F159F"/>
    <w:rsid w:val="2BA066B9"/>
    <w:rsid w:val="2BA207D1"/>
    <w:rsid w:val="2BA33828"/>
    <w:rsid w:val="2BA35DA7"/>
    <w:rsid w:val="2BA412AA"/>
    <w:rsid w:val="2BA45A27"/>
    <w:rsid w:val="2BA534A8"/>
    <w:rsid w:val="2BA56D2B"/>
    <w:rsid w:val="2BA60F2A"/>
    <w:rsid w:val="2BA611ED"/>
    <w:rsid w:val="2BA7222F"/>
    <w:rsid w:val="2BA769AB"/>
    <w:rsid w:val="2BA87CB0"/>
    <w:rsid w:val="2BA91EAE"/>
    <w:rsid w:val="2BA936A8"/>
    <w:rsid w:val="2BAA5F79"/>
    <w:rsid w:val="2BAA613D"/>
    <w:rsid w:val="2BAA6202"/>
    <w:rsid w:val="2BAB0C35"/>
    <w:rsid w:val="2BAB53B1"/>
    <w:rsid w:val="2BAC76B6"/>
    <w:rsid w:val="2BAD08B5"/>
    <w:rsid w:val="2BAD4138"/>
    <w:rsid w:val="2BAE1BB9"/>
    <w:rsid w:val="2BAF5489"/>
    <w:rsid w:val="2BB01839"/>
    <w:rsid w:val="2BB12B3E"/>
    <w:rsid w:val="2BB172BB"/>
    <w:rsid w:val="2BB205C0"/>
    <w:rsid w:val="2BB248C1"/>
    <w:rsid w:val="2BB24D3C"/>
    <w:rsid w:val="2BB327BE"/>
    <w:rsid w:val="2BB34E4D"/>
    <w:rsid w:val="2BB35003"/>
    <w:rsid w:val="2BB36041"/>
    <w:rsid w:val="2BB45CC1"/>
    <w:rsid w:val="2BB51544"/>
    <w:rsid w:val="2BB53743"/>
    <w:rsid w:val="2BB563D7"/>
    <w:rsid w:val="2BB72B78"/>
    <w:rsid w:val="2BB77950"/>
    <w:rsid w:val="2BB77B14"/>
    <w:rsid w:val="2BB804EE"/>
    <w:rsid w:val="2BB806B3"/>
    <w:rsid w:val="2BB824C9"/>
    <w:rsid w:val="2BBA7BCA"/>
    <w:rsid w:val="2BBB31A5"/>
    <w:rsid w:val="2BBB344E"/>
    <w:rsid w:val="2BBB564C"/>
    <w:rsid w:val="2BBC30CD"/>
    <w:rsid w:val="2BBC3D43"/>
    <w:rsid w:val="2BBC6951"/>
    <w:rsid w:val="2BBD43D2"/>
    <w:rsid w:val="2BBE1E54"/>
    <w:rsid w:val="2BBE65D0"/>
    <w:rsid w:val="2BBF5E5B"/>
    <w:rsid w:val="2BC01AD4"/>
    <w:rsid w:val="2BC17555"/>
    <w:rsid w:val="2BC24FD7"/>
    <w:rsid w:val="2BC32A58"/>
    <w:rsid w:val="2BC35E3C"/>
    <w:rsid w:val="2BC362DB"/>
    <w:rsid w:val="2BC43D5D"/>
    <w:rsid w:val="2BC55F5B"/>
    <w:rsid w:val="2BC67260"/>
    <w:rsid w:val="2BC7145E"/>
    <w:rsid w:val="2BC74CE2"/>
    <w:rsid w:val="2BC901E5"/>
    <w:rsid w:val="2BCA23E3"/>
    <w:rsid w:val="2BCA5C66"/>
    <w:rsid w:val="2BCA60F5"/>
    <w:rsid w:val="2BCB7E65"/>
    <w:rsid w:val="2BCC3368"/>
    <w:rsid w:val="2BCD0DE9"/>
    <w:rsid w:val="2BCD6BEB"/>
    <w:rsid w:val="2BCF42EC"/>
    <w:rsid w:val="2BD03982"/>
    <w:rsid w:val="2BD07B70"/>
    <w:rsid w:val="2BD10CEF"/>
    <w:rsid w:val="2BD177EF"/>
    <w:rsid w:val="2BD30AF4"/>
    <w:rsid w:val="2BD3734B"/>
    <w:rsid w:val="2BD43FF7"/>
    <w:rsid w:val="2BD63C77"/>
    <w:rsid w:val="2BD670F1"/>
    <w:rsid w:val="2BD74F7C"/>
    <w:rsid w:val="2BD8066A"/>
    <w:rsid w:val="2BD829FE"/>
    <w:rsid w:val="2BD8717A"/>
    <w:rsid w:val="2BD9047F"/>
    <w:rsid w:val="2BD91045"/>
    <w:rsid w:val="2BDA7216"/>
    <w:rsid w:val="2BDB00FF"/>
    <w:rsid w:val="2BDB3982"/>
    <w:rsid w:val="2BDC5B80"/>
    <w:rsid w:val="2BDD6E85"/>
    <w:rsid w:val="2BDE1084"/>
    <w:rsid w:val="2BDE46D5"/>
    <w:rsid w:val="2BDE4899"/>
    <w:rsid w:val="2BDE4907"/>
    <w:rsid w:val="2BDF3837"/>
    <w:rsid w:val="2BDF6B05"/>
    <w:rsid w:val="2BE121FF"/>
    <w:rsid w:val="2BE1588C"/>
    <w:rsid w:val="2BE2738B"/>
    <w:rsid w:val="2BE27A8A"/>
    <w:rsid w:val="2BE30D8F"/>
    <w:rsid w:val="2BE46810"/>
    <w:rsid w:val="2BE61D13"/>
    <w:rsid w:val="2BE83F94"/>
    <w:rsid w:val="2BE85216"/>
    <w:rsid w:val="2BE92C98"/>
    <w:rsid w:val="2BEB3C1D"/>
    <w:rsid w:val="2BEC169E"/>
    <w:rsid w:val="2BED66EB"/>
    <w:rsid w:val="2BED77E9"/>
    <w:rsid w:val="2BEE4BA1"/>
    <w:rsid w:val="2BEF2623"/>
    <w:rsid w:val="2BEF49DC"/>
    <w:rsid w:val="2BF000A4"/>
    <w:rsid w:val="2BF23854"/>
    <w:rsid w:val="2BF3422E"/>
    <w:rsid w:val="2BF343F3"/>
    <w:rsid w:val="2BF5452C"/>
    <w:rsid w:val="2BF61FAE"/>
    <w:rsid w:val="2BF76EE4"/>
    <w:rsid w:val="2BF77A2F"/>
    <w:rsid w:val="2BF854B1"/>
    <w:rsid w:val="2BF92F32"/>
    <w:rsid w:val="2BFA09B4"/>
    <w:rsid w:val="2BFA11C0"/>
    <w:rsid w:val="2BFB1CB9"/>
    <w:rsid w:val="2BFC07F2"/>
    <w:rsid w:val="2BFC3EB7"/>
    <w:rsid w:val="2BFC773A"/>
    <w:rsid w:val="2BFD7DB0"/>
    <w:rsid w:val="2BFE3CB2"/>
    <w:rsid w:val="2BFF522B"/>
    <w:rsid w:val="2C006140"/>
    <w:rsid w:val="2C01033F"/>
    <w:rsid w:val="2C021643"/>
    <w:rsid w:val="2C025DC0"/>
    <w:rsid w:val="2C033842"/>
    <w:rsid w:val="2C0370C5"/>
    <w:rsid w:val="2C040A80"/>
    <w:rsid w:val="2C0547C6"/>
    <w:rsid w:val="2C077CC9"/>
    <w:rsid w:val="2C083572"/>
    <w:rsid w:val="2C08574B"/>
    <w:rsid w:val="2C090FCE"/>
    <w:rsid w:val="2C0931CD"/>
    <w:rsid w:val="2C0A0C4E"/>
    <w:rsid w:val="2C0A4AEB"/>
    <w:rsid w:val="2C0B2743"/>
    <w:rsid w:val="2C0C4151"/>
    <w:rsid w:val="2C0D77A1"/>
    <w:rsid w:val="2C0F0959"/>
    <w:rsid w:val="2C102B57"/>
    <w:rsid w:val="2C113E5C"/>
    <w:rsid w:val="2C12605B"/>
    <w:rsid w:val="2C133ADC"/>
    <w:rsid w:val="2C13735F"/>
    <w:rsid w:val="2C1443AA"/>
    <w:rsid w:val="2C152862"/>
    <w:rsid w:val="2C1602E4"/>
    <w:rsid w:val="2C164A61"/>
    <w:rsid w:val="2C165923"/>
    <w:rsid w:val="2C1724E2"/>
    <w:rsid w:val="2C1837E7"/>
    <w:rsid w:val="2C187060"/>
    <w:rsid w:val="2C191269"/>
    <w:rsid w:val="2C195441"/>
    <w:rsid w:val="2C1957AC"/>
    <w:rsid w:val="2C197A3A"/>
    <w:rsid w:val="2C1B357C"/>
    <w:rsid w:val="2C1C21ED"/>
    <w:rsid w:val="2C1C43EC"/>
    <w:rsid w:val="2C1C696A"/>
    <w:rsid w:val="2C1D7C6F"/>
    <w:rsid w:val="2C1E56F0"/>
    <w:rsid w:val="2C1E78EF"/>
    <w:rsid w:val="2C1F3172"/>
    <w:rsid w:val="2C202DF2"/>
    <w:rsid w:val="2C210873"/>
    <w:rsid w:val="2C215D81"/>
    <w:rsid w:val="2C216675"/>
    <w:rsid w:val="2C2240F7"/>
    <w:rsid w:val="2C226920"/>
    <w:rsid w:val="2C233D76"/>
    <w:rsid w:val="2C2374BE"/>
    <w:rsid w:val="2C2417F8"/>
    <w:rsid w:val="2C2475FA"/>
    <w:rsid w:val="2C250873"/>
    <w:rsid w:val="2C25727A"/>
    <w:rsid w:val="2C264CFB"/>
    <w:rsid w:val="2C271FB0"/>
    <w:rsid w:val="2C276000"/>
    <w:rsid w:val="2C277A68"/>
    <w:rsid w:val="2C283529"/>
    <w:rsid w:val="2C283A81"/>
    <w:rsid w:val="2C291503"/>
    <w:rsid w:val="2C293F03"/>
    <w:rsid w:val="2C2940C8"/>
    <w:rsid w:val="2C2959EE"/>
    <w:rsid w:val="2C2960C4"/>
    <w:rsid w:val="2C2D4686"/>
    <w:rsid w:val="2C2D6BBA"/>
    <w:rsid w:val="2C2D7F09"/>
    <w:rsid w:val="2C2E2107"/>
    <w:rsid w:val="2C2E7758"/>
    <w:rsid w:val="2C2F0132"/>
    <w:rsid w:val="2C300CD1"/>
    <w:rsid w:val="2C300E8E"/>
    <w:rsid w:val="2C31308C"/>
    <w:rsid w:val="2C315A5A"/>
    <w:rsid w:val="2C31690F"/>
    <w:rsid w:val="2C32224A"/>
    <w:rsid w:val="2C331E12"/>
    <w:rsid w:val="2C33658F"/>
    <w:rsid w:val="2C341A92"/>
    <w:rsid w:val="2C347894"/>
    <w:rsid w:val="2C355316"/>
    <w:rsid w:val="2C357514"/>
    <w:rsid w:val="2C362D97"/>
    <w:rsid w:val="2C372A17"/>
    <w:rsid w:val="2C373FA2"/>
    <w:rsid w:val="2C3758DA"/>
    <w:rsid w:val="2C3801CB"/>
    <w:rsid w:val="2C38629A"/>
    <w:rsid w:val="2C395F1A"/>
    <w:rsid w:val="2C3A399C"/>
    <w:rsid w:val="2C3B141D"/>
    <w:rsid w:val="2C3B721F"/>
    <w:rsid w:val="2C3D26A8"/>
    <w:rsid w:val="2C3D4920"/>
    <w:rsid w:val="2C3E154E"/>
    <w:rsid w:val="2C3F36A7"/>
    <w:rsid w:val="2C3F3C21"/>
    <w:rsid w:val="2C401128"/>
    <w:rsid w:val="2C4058A5"/>
    <w:rsid w:val="2C416BAA"/>
    <w:rsid w:val="2C420DA8"/>
    <w:rsid w:val="2C4237D4"/>
    <w:rsid w:val="2C42462B"/>
    <w:rsid w:val="2C425D39"/>
    <w:rsid w:val="2C4320AD"/>
    <w:rsid w:val="2C436713"/>
    <w:rsid w:val="2C43682A"/>
    <w:rsid w:val="2C43690C"/>
    <w:rsid w:val="2C4442AB"/>
    <w:rsid w:val="2C44486D"/>
    <w:rsid w:val="2C447B2E"/>
    <w:rsid w:val="2C447E50"/>
    <w:rsid w:val="2C451D2D"/>
    <w:rsid w:val="2C4555B0"/>
    <w:rsid w:val="2C4627F2"/>
    <w:rsid w:val="2C4629A8"/>
    <w:rsid w:val="2C462B5E"/>
    <w:rsid w:val="2C462EC9"/>
    <w:rsid w:val="2C4677AE"/>
    <w:rsid w:val="2C47211C"/>
    <w:rsid w:val="2C4722D2"/>
    <w:rsid w:val="2C493FB6"/>
    <w:rsid w:val="2C4A579D"/>
    <w:rsid w:val="2C4A7F23"/>
    <w:rsid w:val="2C4B1C25"/>
    <w:rsid w:val="2C4C4F3B"/>
    <w:rsid w:val="2C4C55F8"/>
    <w:rsid w:val="2C4D29BC"/>
    <w:rsid w:val="2C4D6197"/>
    <w:rsid w:val="2C50779E"/>
    <w:rsid w:val="2C5113C3"/>
    <w:rsid w:val="2C5348C6"/>
    <w:rsid w:val="2C536453"/>
    <w:rsid w:val="2C5408D6"/>
    <w:rsid w:val="2C542347"/>
    <w:rsid w:val="2C547DC9"/>
    <w:rsid w:val="2C570D4D"/>
    <w:rsid w:val="2C575892"/>
    <w:rsid w:val="2C5867CF"/>
    <w:rsid w:val="2C594250"/>
    <w:rsid w:val="2C5A1CD2"/>
    <w:rsid w:val="2C5B0548"/>
    <w:rsid w:val="2C5B070C"/>
    <w:rsid w:val="2C5B6C5B"/>
    <w:rsid w:val="2C5B7754"/>
    <w:rsid w:val="2C5C10E7"/>
    <w:rsid w:val="2C5D7445"/>
    <w:rsid w:val="2C5E06D8"/>
    <w:rsid w:val="2C5E2660"/>
    <w:rsid w:val="2C5E2824"/>
    <w:rsid w:val="2C5F615A"/>
    <w:rsid w:val="2C610F9B"/>
    <w:rsid w:val="2C614EE0"/>
    <w:rsid w:val="2C620039"/>
    <w:rsid w:val="2C622962"/>
    <w:rsid w:val="2C6270DE"/>
    <w:rsid w:val="2C6303E3"/>
    <w:rsid w:val="2C634B60"/>
    <w:rsid w:val="2C63688F"/>
    <w:rsid w:val="2C637B18"/>
    <w:rsid w:val="2C645E65"/>
    <w:rsid w:val="2C646BB5"/>
    <w:rsid w:val="2C665AE5"/>
    <w:rsid w:val="2C671380"/>
    <w:rsid w:val="2C673566"/>
    <w:rsid w:val="2C676DE9"/>
    <w:rsid w:val="2C681F1F"/>
    <w:rsid w:val="2C6820E3"/>
    <w:rsid w:val="2C68486B"/>
    <w:rsid w:val="2C697D08"/>
    <w:rsid w:val="2C6A7D6E"/>
    <w:rsid w:val="2C6B57F0"/>
    <w:rsid w:val="2C6C3271"/>
    <w:rsid w:val="2C6C4A11"/>
    <w:rsid w:val="2C6C546F"/>
    <w:rsid w:val="2C6C79EE"/>
    <w:rsid w:val="2C6D2EF1"/>
    <w:rsid w:val="2C6E0973"/>
    <w:rsid w:val="2C6E6774"/>
    <w:rsid w:val="2C6E6CED"/>
    <w:rsid w:val="2C6F41F6"/>
    <w:rsid w:val="2C6F63F4"/>
    <w:rsid w:val="2C6F788B"/>
    <w:rsid w:val="2C701C77"/>
    <w:rsid w:val="2C703E76"/>
    <w:rsid w:val="2C712816"/>
    <w:rsid w:val="2C7217DF"/>
    <w:rsid w:val="2C72517A"/>
    <w:rsid w:val="2C727379"/>
    <w:rsid w:val="2C732BFC"/>
    <w:rsid w:val="2C74067E"/>
    <w:rsid w:val="2C74287C"/>
    <w:rsid w:val="2C753B81"/>
    <w:rsid w:val="2C761602"/>
    <w:rsid w:val="2C76358B"/>
    <w:rsid w:val="2C765D7F"/>
    <w:rsid w:val="2C773801"/>
    <w:rsid w:val="2C774E6F"/>
    <w:rsid w:val="2C775033"/>
    <w:rsid w:val="2C777084"/>
    <w:rsid w:val="2C781282"/>
    <w:rsid w:val="2C792587"/>
    <w:rsid w:val="2C7A714B"/>
    <w:rsid w:val="2C7B2207"/>
    <w:rsid w:val="2C7B5A8A"/>
    <w:rsid w:val="2C7C109E"/>
    <w:rsid w:val="2C7C1263"/>
    <w:rsid w:val="2C7C6E78"/>
    <w:rsid w:val="2C7C7C88"/>
    <w:rsid w:val="2C7D0F8D"/>
    <w:rsid w:val="2C7D1A78"/>
    <w:rsid w:val="2C7D1C3D"/>
    <w:rsid w:val="2C7F4490"/>
    <w:rsid w:val="2C801F12"/>
    <w:rsid w:val="2C802A45"/>
    <w:rsid w:val="2C817993"/>
    <w:rsid w:val="2C821B92"/>
    <w:rsid w:val="2C832715"/>
    <w:rsid w:val="2C832E96"/>
    <w:rsid w:val="2C835E6C"/>
    <w:rsid w:val="2C837613"/>
    <w:rsid w:val="2C840918"/>
    <w:rsid w:val="2C846A0A"/>
    <w:rsid w:val="2C850598"/>
    <w:rsid w:val="2C852B16"/>
    <w:rsid w:val="2C856399"/>
    <w:rsid w:val="2C866019"/>
    <w:rsid w:val="2C867F83"/>
    <w:rsid w:val="2C88031F"/>
    <w:rsid w:val="2C8814FC"/>
    <w:rsid w:val="2C88731E"/>
    <w:rsid w:val="2C8A2821"/>
    <w:rsid w:val="2C8C5D24"/>
    <w:rsid w:val="2C8C7F23"/>
    <w:rsid w:val="2C8D37A6"/>
    <w:rsid w:val="2C8D572B"/>
    <w:rsid w:val="2C8E6CA9"/>
    <w:rsid w:val="2C8F0EA7"/>
    <w:rsid w:val="2C8F472B"/>
    <w:rsid w:val="2C9021AC"/>
    <w:rsid w:val="2C906929"/>
    <w:rsid w:val="2C9139C3"/>
    <w:rsid w:val="2C9143AA"/>
    <w:rsid w:val="2C917C2E"/>
    <w:rsid w:val="2C921E2C"/>
    <w:rsid w:val="2C9378AD"/>
    <w:rsid w:val="2C952D0F"/>
    <w:rsid w:val="2C952DB1"/>
    <w:rsid w:val="2C9640B5"/>
    <w:rsid w:val="2C971B37"/>
    <w:rsid w:val="2C974E26"/>
    <w:rsid w:val="2C9762B4"/>
    <w:rsid w:val="2C9917B7"/>
    <w:rsid w:val="2C99503A"/>
    <w:rsid w:val="2C9A4B66"/>
    <w:rsid w:val="2C9A6F3E"/>
    <w:rsid w:val="2C9A7102"/>
    <w:rsid w:val="2C9A7238"/>
    <w:rsid w:val="2C9B4CBA"/>
    <w:rsid w:val="2C9C5FBF"/>
    <w:rsid w:val="2C9D1056"/>
    <w:rsid w:val="2C9D5C3F"/>
    <w:rsid w:val="2C9E1BF4"/>
    <w:rsid w:val="2C9E36C0"/>
    <w:rsid w:val="2C9F1142"/>
    <w:rsid w:val="2C9F2793"/>
    <w:rsid w:val="2C9F6F43"/>
    <w:rsid w:val="2CA049C5"/>
    <w:rsid w:val="2CA06BC3"/>
    <w:rsid w:val="2CA12446"/>
    <w:rsid w:val="2CA14645"/>
    <w:rsid w:val="2CA14E8E"/>
    <w:rsid w:val="2CA27EC8"/>
    <w:rsid w:val="2CA3594A"/>
    <w:rsid w:val="2CA64350"/>
    <w:rsid w:val="2CA67F3B"/>
    <w:rsid w:val="2CA70915"/>
    <w:rsid w:val="2CA70AD9"/>
    <w:rsid w:val="2CA71DD1"/>
    <w:rsid w:val="2CA83FD0"/>
    <w:rsid w:val="2CA91E8E"/>
    <w:rsid w:val="2CA92052"/>
    <w:rsid w:val="2CAA23A2"/>
    <w:rsid w:val="2CAA2A2D"/>
    <w:rsid w:val="2CAA2D56"/>
    <w:rsid w:val="2CAA45D4"/>
    <w:rsid w:val="2CAB07D7"/>
    <w:rsid w:val="2CAB4F54"/>
    <w:rsid w:val="2CAC29D6"/>
    <w:rsid w:val="2CAC3307"/>
    <w:rsid w:val="2CAC416A"/>
    <w:rsid w:val="2CAC6259"/>
    <w:rsid w:val="2CAD0457"/>
    <w:rsid w:val="2CAE175C"/>
    <w:rsid w:val="2CAF60BD"/>
    <w:rsid w:val="2CB10399"/>
    <w:rsid w:val="2CB17636"/>
    <w:rsid w:val="2CB3174D"/>
    <w:rsid w:val="2CB52E8B"/>
    <w:rsid w:val="2CB63A29"/>
    <w:rsid w:val="2CB66B69"/>
    <w:rsid w:val="2CB745EA"/>
    <w:rsid w:val="2CB8206C"/>
    <w:rsid w:val="2CB9711D"/>
    <w:rsid w:val="2CB97AED"/>
    <w:rsid w:val="2CBA556F"/>
    <w:rsid w:val="2CBA5C99"/>
    <w:rsid w:val="2CBB2FF0"/>
    <w:rsid w:val="2CBB4816"/>
    <w:rsid w:val="2CBD0633"/>
    <w:rsid w:val="2CBE11D1"/>
    <w:rsid w:val="2CBE19F6"/>
    <w:rsid w:val="2CBF1BAC"/>
    <w:rsid w:val="2CBF274A"/>
    <w:rsid w:val="2CBF3DCB"/>
    <w:rsid w:val="2CC1297B"/>
    <w:rsid w:val="2CC2469D"/>
    <w:rsid w:val="2CC35400"/>
    <w:rsid w:val="2CC51381"/>
    <w:rsid w:val="2CC66E03"/>
    <w:rsid w:val="2CC70108"/>
    <w:rsid w:val="2CC713D9"/>
    <w:rsid w:val="2CC74884"/>
    <w:rsid w:val="2CC755FB"/>
    <w:rsid w:val="2CC77EF2"/>
    <w:rsid w:val="2CC80997"/>
    <w:rsid w:val="2CC80D03"/>
    <w:rsid w:val="2CC85B89"/>
    <w:rsid w:val="2CC9146B"/>
    <w:rsid w:val="2CC91630"/>
    <w:rsid w:val="2CCA108C"/>
    <w:rsid w:val="2CCA5809"/>
    <w:rsid w:val="2CCB29E4"/>
    <w:rsid w:val="2CCB328B"/>
    <w:rsid w:val="2CCB6B0E"/>
    <w:rsid w:val="2CCC458F"/>
    <w:rsid w:val="2CCD678E"/>
    <w:rsid w:val="2CCE420F"/>
    <w:rsid w:val="2CCE7A93"/>
    <w:rsid w:val="2CCF1C91"/>
    <w:rsid w:val="2CCF5514"/>
    <w:rsid w:val="2CD02F96"/>
    <w:rsid w:val="2CD06CD5"/>
    <w:rsid w:val="2CD10A17"/>
    <w:rsid w:val="2CD15194"/>
    <w:rsid w:val="2CD26499"/>
    <w:rsid w:val="2CD30697"/>
    <w:rsid w:val="2CD30D2B"/>
    <w:rsid w:val="2CD435DF"/>
    <w:rsid w:val="2CD46119"/>
    <w:rsid w:val="2CD5161C"/>
    <w:rsid w:val="2CD522A4"/>
    <w:rsid w:val="2CD53B9A"/>
    <w:rsid w:val="2CD5741D"/>
    <w:rsid w:val="2CD62E42"/>
    <w:rsid w:val="2CD6709D"/>
    <w:rsid w:val="2CD723C8"/>
    <w:rsid w:val="2CD7381C"/>
    <w:rsid w:val="2CD74B1F"/>
    <w:rsid w:val="2CD803A2"/>
    <w:rsid w:val="2CDA38A5"/>
    <w:rsid w:val="2CDA5AA3"/>
    <w:rsid w:val="2CDA5AF8"/>
    <w:rsid w:val="2CDA6697"/>
    <w:rsid w:val="2CDA7095"/>
    <w:rsid w:val="2CDB3525"/>
    <w:rsid w:val="2CDB7071"/>
    <w:rsid w:val="2CDC0FA6"/>
    <w:rsid w:val="2CDC6DA8"/>
    <w:rsid w:val="2CDD6A28"/>
    <w:rsid w:val="2CE03230"/>
    <w:rsid w:val="2CE079AD"/>
    <w:rsid w:val="2CE22EB0"/>
    <w:rsid w:val="2CE341B5"/>
    <w:rsid w:val="2CE412D1"/>
    <w:rsid w:val="2CE463B3"/>
    <w:rsid w:val="2CE53E34"/>
    <w:rsid w:val="2CE576B8"/>
    <w:rsid w:val="2CE618B6"/>
    <w:rsid w:val="2CE72BBB"/>
    <w:rsid w:val="2CE7730B"/>
    <w:rsid w:val="2CE8063C"/>
    <w:rsid w:val="2CEA1FC1"/>
    <w:rsid w:val="2CEA3B3F"/>
    <w:rsid w:val="2CEB15C1"/>
    <w:rsid w:val="2CEB25AB"/>
    <w:rsid w:val="2CEB5D3E"/>
    <w:rsid w:val="2CEC7043"/>
    <w:rsid w:val="2CED1241"/>
    <w:rsid w:val="2CEE2546"/>
    <w:rsid w:val="2CEE4744"/>
    <w:rsid w:val="2CEE4C77"/>
    <w:rsid w:val="2CEE6CC2"/>
    <w:rsid w:val="2CEF21C5"/>
    <w:rsid w:val="2CEF5652"/>
    <w:rsid w:val="2CEF7FC7"/>
    <w:rsid w:val="2CF07C47"/>
    <w:rsid w:val="2CF134CA"/>
    <w:rsid w:val="2CF156C9"/>
    <w:rsid w:val="2CF20F4C"/>
    <w:rsid w:val="2CF2314A"/>
    <w:rsid w:val="2CF30BCC"/>
    <w:rsid w:val="2CF34D78"/>
    <w:rsid w:val="2CF369CD"/>
    <w:rsid w:val="2CF37DC3"/>
    <w:rsid w:val="2CF40EA6"/>
    <w:rsid w:val="2CF4664D"/>
    <w:rsid w:val="2CF47382"/>
    <w:rsid w:val="2CF540CF"/>
    <w:rsid w:val="2CF5678B"/>
    <w:rsid w:val="2CF653D4"/>
    <w:rsid w:val="2CF72E55"/>
    <w:rsid w:val="2CF775D2"/>
    <w:rsid w:val="2CF96358"/>
    <w:rsid w:val="2CFA0557"/>
    <w:rsid w:val="2CFA3DDA"/>
    <w:rsid w:val="2CFA5AB0"/>
    <w:rsid w:val="2CFB185B"/>
    <w:rsid w:val="2CFB5FD8"/>
    <w:rsid w:val="2CFC72DD"/>
    <w:rsid w:val="2CFD14DB"/>
    <w:rsid w:val="2CFD4D5E"/>
    <w:rsid w:val="2CFD7BC7"/>
    <w:rsid w:val="2CFE0766"/>
    <w:rsid w:val="2CFF0262"/>
    <w:rsid w:val="2D002460"/>
    <w:rsid w:val="2D005CE3"/>
    <w:rsid w:val="2D012AC1"/>
    <w:rsid w:val="2D013765"/>
    <w:rsid w:val="2D017EE1"/>
    <w:rsid w:val="2D034995"/>
    <w:rsid w:val="2D036C68"/>
    <w:rsid w:val="2D040E66"/>
    <w:rsid w:val="2D055D4A"/>
    <w:rsid w:val="2D0568E8"/>
    <w:rsid w:val="2D061DEB"/>
    <w:rsid w:val="2D064369"/>
    <w:rsid w:val="2D067BEC"/>
    <w:rsid w:val="2D0706BD"/>
    <w:rsid w:val="2D07786C"/>
    <w:rsid w:val="2D090B71"/>
    <w:rsid w:val="2D092D6F"/>
    <w:rsid w:val="2D0A13DA"/>
    <w:rsid w:val="2D0A65F3"/>
    <w:rsid w:val="2D0B1F79"/>
    <w:rsid w:val="2D0B6272"/>
    <w:rsid w:val="2D0C1AF6"/>
    <w:rsid w:val="2D0C2F66"/>
    <w:rsid w:val="2D0D1776"/>
    <w:rsid w:val="2D0E2A7A"/>
    <w:rsid w:val="2D0E4090"/>
    <w:rsid w:val="2D0E4FF9"/>
    <w:rsid w:val="2D0F04FC"/>
    <w:rsid w:val="2D0F4C2F"/>
    <w:rsid w:val="2D104A12"/>
    <w:rsid w:val="2D1057CD"/>
    <w:rsid w:val="2D1073FE"/>
    <w:rsid w:val="2D113745"/>
    <w:rsid w:val="2D114186"/>
    <w:rsid w:val="2D1278E5"/>
    <w:rsid w:val="2D132E1F"/>
    <w:rsid w:val="2D13367F"/>
    <w:rsid w:val="2D136F02"/>
    <w:rsid w:val="2D137721"/>
    <w:rsid w:val="2D140C99"/>
    <w:rsid w:val="2D141100"/>
    <w:rsid w:val="2D1623D7"/>
    <w:rsid w:val="2D167E87"/>
    <w:rsid w:val="2D172F75"/>
    <w:rsid w:val="2D18338A"/>
    <w:rsid w:val="2D19235F"/>
    <w:rsid w:val="2D1A4EC9"/>
    <w:rsid w:val="2D1A688D"/>
    <w:rsid w:val="2D1B430E"/>
    <w:rsid w:val="2D1D7812"/>
    <w:rsid w:val="2D205F22"/>
    <w:rsid w:val="2D20628D"/>
    <w:rsid w:val="2D23171B"/>
    <w:rsid w:val="2D233DAE"/>
    <w:rsid w:val="2D244788"/>
    <w:rsid w:val="2D24494D"/>
    <w:rsid w:val="2D24719C"/>
    <w:rsid w:val="2D247E3D"/>
    <w:rsid w:val="2D254C1E"/>
    <w:rsid w:val="2D2626A0"/>
    <w:rsid w:val="2D265EC5"/>
    <w:rsid w:val="2D283624"/>
    <w:rsid w:val="2D2C202A"/>
    <w:rsid w:val="2D2D7AAC"/>
    <w:rsid w:val="2D2E332F"/>
    <w:rsid w:val="2D2E420C"/>
    <w:rsid w:val="2D2F2FAF"/>
    <w:rsid w:val="2D2F7B08"/>
    <w:rsid w:val="2D300A31"/>
    <w:rsid w:val="2D3055C0"/>
    <w:rsid w:val="2D305785"/>
    <w:rsid w:val="2D311D35"/>
    <w:rsid w:val="2D31615F"/>
    <w:rsid w:val="2D3164B2"/>
    <w:rsid w:val="2D3277B7"/>
    <w:rsid w:val="2D3319B5"/>
    <w:rsid w:val="2D33789C"/>
    <w:rsid w:val="2D340277"/>
    <w:rsid w:val="2D347437"/>
    <w:rsid w:val="2D354EB8"/>
    <w:rsid w:val="2D3661BD"/>
    <w:rsid w:val="2D372553"/>
    <w:rsid w:val="2D373C3F"/>
    <w:rsid w:val="2D3816C0"/>
    <w:rsid w:val="2D3A1340"/>
    <w:rsid w:val="2D3A4BC3"/>
    <w:rsid w:val="2D3C00C6"/>
    <w:rsid w:val="2D3D22E5"/>
    <w:rsid w:val="2D3E35CA"/>
    <w:rsid w:val="2D3E57C8"/>
    <w:rsid w:val="2D3E7CFB"/>
    <w:rsid w:val="2D3E7D46"/>
    <w:rsid w:val="2D3F104B"/>
    <w:rsid w:val="2D400CCB"/>
    <w:rsid w:val="2D403277"/>
    <w:rsid w:val="2D406ACD"/>
    <w:rsid w:val="2D4106A3"/>
    <w:rsid w:val="2D411E12"/>
    <w:rsid w:val="2D41454E"/>
    <w:rsid w:val="2D41674C"/>
    <w:rsid w:val="2D421FD0"/>
    <w:rsid w:val="2D4241CE"/>
    <w:rsid w:val="2D4454D3"/>
    <w:rsid w:val="2D4476D1"/>
    <w:rsid w:val="2D452F54"/>
    <w:rsid w:val="2D454904"/>
    <w:rsid w:val="2D455153"/>
    <w:rsid w:val="2D462BD4"/>
    <w:rsid w:val="2D46604D"/>
    <w:rsid w:val="2D466457"/>
    <w:rsid w:val="2D473ED9"/>
    <w:rsid w:val="2D48195B"/>
    <w:rsid w:val="2D486A1B"/>
    <w:rsid w:val="2D4875BA"/>
    <w:rsid w:val="2D4A096F"/>
    <w:rsid w:val="2D4B705C"/>
    <w:rsid w:val="2D4C0361"/>
    <w:rsid w:val="2D4C1EE7"/>
    <w:rsid w:val="2D4C4ADE"/>
    <w:rsid w:val="2D4D255F"/>
    <w:rsid w:val="2D4F12E5"/>
    <w:rsid w:val="2D4F3FFF"/>
    <w:rsid w:val="2D4F5A62"/>
    <w:rsid w:val="2D5034E4"/>
    <w:rsid w:val="2D506D67"/>
    <w:rsid w:val="2D510F65"/>
    <w:rsid w:val="2D52226A"/>
    <w:rsid w:val="2D5235A3"/>
    <w:rsid w:val="2D526117"/>
    <w:rsid w:val="2D5269E7"/>
    <w:rsid w:val="2D536E7A"/>
    <w:rsid w:val="2D541EEA"/>
    <w:rsid w:val="2D54576D"/>
    <w:rsid w:val="2D5531EF"/>
    <w:rsid w:val="2D55796B"/>
    <w:rsid w:val="2D562E6F"/>
    <w:rsid w:val="2D5653ED"/>
    <w:rsid w:val="2D5708F0"/>
    <w:rsid w:val="2D5766F2"/>
    <w:rsid w:val="2D586372"/>
    <w:rsid w:val="2D591BF5"/>
    <w:rsid w:val="2D5938BF"/>
    <w:rsid w:val="2D593DF3"/>
    <w:rsid w:val="2D5A77C0"/>
    <w:rsid w:val="2D5B4FFC"/>
    <w:rsid w:val="2D5B50F8"/>
    <w:rsid w:val="2D5B72F6"/>
    <w:rsid w:val="2D5C4D78"/>
    <w:rsid w:val="2D5D05FB"/>
    <w:rsid w:val="2D5D27F9"/>
    <w:rsid w:val="2D5E027B"/>
    <w:rsid w:val="2D5E3AFE"/>
    <w:rsid w:val="2D5E607D"/>
    <w:rsid w:val="2D5F4233"/>
    <w:rsid w:val="2D5F5CFD"/>
    <w:rsid w:val="2D60377E"/>
    <w:rsid w:val="2D607001"/>
    <w:rsid w:val="2D614A83"/>
    <w:rsid w:val="2D626C81"/>
    <w:rsid w:val="2D634703"/>
    <w:rsid w:val="2D637F86"/>
    <w:rsid w:val="2D643EE1"/>
    <w:rsid w:val="2D645A08"/>
    <w:rsid w:val="2D653D1D"/>
    <w:rsid w:val="2D657C06"/>
    <w:rsid w:val="2D660F0B"/>
    <w:rsid w:val="2D66545A"/>
    <w:rsid w:val="2D665687"/>
    <w:rsid w:val="2D673109"/>
    <w:rsid w:val="2D675E34"/>
    <w:rsid w:val="2D67698C"/>
    <w:rsid w:val="2D682829"/>
    <w:rsid w:val="2D6A05F9"/>
    <w:rsid w:val="2D6A408E"/>
    <w:rsid w:val="2D6B5392"/>
    <w:rsid w:val="2D6C2E14"/>
    <w:rsid w:val="2D6D0895"/>
    <w:rsid w:val="2D6D5012"/>
    <w:rsid w:val="2D6E2A94"/>
    <w:rsid w:val="2D6E2C02"/>
    <w:rsid w:val="2D6E6317"/>
    <w:rsid w:val="2D6F37A1"/>
    <w:rsid w:val="2D6F3D99"/>
    <w:rsid w:val="2D70181A"/>
    <w:rsid w:val="2D714B55"/>
    <w:rsid w:val="2D726F1C"/>
    <w:rsid w:val="2D73279F"/>
    <w:rsid w:val="2D73499D"/>
    <w:rsid w:val="2D736C6D"/>
    <w:rsid w:val="2D74241F"/>
    <w:rsid w:val="2D7479D0"/>
    <w:rsid w:val="2D7503AA"/>
    <w:rsid w:val="2D763723"/>
    <w:rsid w:val="2D765006"/>
    <w:rsid w:val="2D765922"/>
    <w:rsid w:val="2D7711A5"/>
    <w:rsid w:val="2D7733A3"/>
    <w:rsid w:val="2D780E25"/>
    <w:rsid w:val="2D7846A8"/>
    <w:rsid w:val="2D7968A6"/>
    <w:rsid w:val="2D7A4328"/>
    <w:rsid w:val="2D7A7BAB"/>
    <w:rsid w:val="2D7B562D"/>
    <w:rsid w:val="2D7C30AE"/>
    <w:rsid w:val="2D7C63FC"/>
    <w:rsid w:val="2D7D0B30"/>
    <w:rsid w:val="2D801AB4"/>
    <w:rsid w:val="2D824FB8"/>
    <w:rsid w:val="2D832920"/>
    <w:rsid w:val="2D832A39"/>
    <w:rsid w:val="2D8404BB"/>
    <w:rsid w:val="2D8432FA"/>
    <w:rsid w:val="2D84762D"/>
    <w:rsid w:val="2D8639BE"/>
    <w:rsid w:val="2D864873"/>
    <w:rsid w:val="2D866360"/>
    <w:rsid w:val="2D87143F"/>
    <w:rsid w:val="2D875092"/>
    <w:rsid w:val="2D885FB0"/>
    <w:rsid w:val="2D886EC1"/>
    <w:rsid w:val="2D894942"/>
    <w:rsid w:val="2D8A23C4"/>
    <w:rsid w:val="2D8A7365"/>
    <w:rsid w:val="2D8B7F03"/>
    <w:rsid w:val="2D8C58C7"/>
    <w:rsid w:val="2D8D1641"/>
    <w:rsid w:val="2D8D21DF"/>
    <w:rsid w:val="2D8D3349"/>
    <w:rsid w:val="2D8E0DCA"/>
    <w:rsid w:val="2D8F684C"/>
    <w:rsid w:val="2D901D4F"/>
    <w:rsid w:val="2D915EEA"/>
    <w:rsid w:val="2D9177D0"/>
    <w:rsid w:val="2D925252"/>
    <w:rsid w:val="2D925870"/>
    <w:rsid w:val="2D932CD3"/>
    <w:rsid w:val="2D940EA8"/>
    <w:rsid w:val="2D946557"/>
    <w:rsid w:val="2D946DE9"/>
    <w:rsid w:val="2D9500FB"/>
    <w:rsid w:val="2D953FD8"/>
    <w:rsid w:val="2D9561D7"/>
    <w:rsid w:val="2D961A5A"/>
    <w:rsid w:val="2D965464"/>
    <w:rsid w:val="2D9716DA"/>
    <w:rsid w:val="2D974F5D"/>
    <w:rsid w:val="2D9829DE"/>
    <w:rsid w:val="2D9A5EE2"/>
    <w:rsid w:val="2D9B00E0"/>
    <w:rsid w:val="2D9B4590"/>
    <w:rsid w:val="2D9C13E5"/>
    <w:rsid w:val="2D9C512F"/>
    <w:rsid w:val="2D9D6E66"/>
    <w:rsid w:val="2D9E1065"/>
    <w:rsid w:val="2D9E48E8"/>
    <w:rsid w:val="2D9E56F5"/>
    <w:rsid w:val="2D9E64E4"/>
    <w:rsid w:val="2D9F180A"/>
    <w:rsid w:val="2D9F6AE6"/>
    <w:rsid w:val="2D9F7082"/>
    <w:rsid w:val="2D9F7247"/>
    <w:rsid w:val="2DA04568"/>
    <w:rsid w:val="2DA059AB"/>
    <w:rsid w:val="2DA07DEB"/>
    <w:rsid w:val="2DA11FE9"/>
    <w:rsid w:val="2DA1586C"/>
    <w:rsid w:val="2DA2135E"/>
    <w:rsid w:val="2DA23D5C"/>
    <w:rsid w:val="2DA27A6B"/>
    <w:rsid w:val="2DA30D70"/>
    <w:rsid w:val="2DA31D38"/>
    <w:rsid w:val="2DA354EC"/>
    <w:rsid w:val="2DA42F6E"/>
    <w:rsid w:val="2DA467F1"/>
    <w:rsid w:val="2DA47D6E"/>
    <w:rsid w:val="2DA5292E"/>
    <w:rsid w:val="2DA532B1"/>
    <w:rsid w:val="2DA53476"/>
    <w:rsid w:val="2DA57B8D"/>
    <w:rsid w:val="2DA73EF2"/>
    <w:rsid w:val="2DA7482A"/>
    <w:rsid w:val="2DA77776"/>
    <w:rsid w:val="2DA851F7"/>
    <w:rsid w:val="2DA92C79"/>
    <w:rsid w:val="2DAA28F9"/>
    <w:rsid w:val="2DAB037A"/>
    <w:rsid w:val="2DAB617C"/>
    <w:rsid w:val="2DAB7EBB"/>
    <w:rsid w:val="2DAC3BFD"/>
    <w:rsid w:val="2DAD15F8"/>
    <w:rsid w:val="2DAD387D"/>
    <w:rsid w:val="2DAD50ED"/>
    <w:rsid w:val="2DAE12FF"/>
    <w:rsid w:val="2DAE1C1A"/>
    <w:rsid w:val="2DAE7101"/>
    <w:rsid w:val="2DAF6D80"/>
    <w:rsid w:val="2DB12284"/>
    <w:rsid w:val="2DB15421"/>
    <w:rsid w:val="2DB1578C"/>
    <w:rsid w:val="2DB15B07"/>
    <w:rsid w:val="2DB24153"/>
    <w:rsid w:val="2DB2578B"/>
    <w:rsid w:val="2DB27D05"/>
    <w:rsid w:val="2DB43208"/>
    <w:rsid w:val="2DB70EB7"/>
    <w:rsid w:val="2DB77A10"/>
    <w:rsid w:val="2DB92F13"/>
    <w:rsid w:val="2DBA0995"/>
    <w:rsid w:val="2DBA2E0B"/>
    <w:rsid w:val="2DBA5111"/>
    <w:rsid w:val="2DBB2B93"/>
    <w:rsid w:val="2DBC0615"/>
    <w:rsid w:val="2DBC10FE"/>
    <w:rsid w:val="2DBC3E98"/>
    <w:rsid w:val="2DBD6096"/>
    <w:rsid w:val="2DBE739B"/>
    <w:rsid w:val="2DBF09AB"/>
    <w:rsid w:val="2DBF701B"/>
    <w:rsid w:val="2DC076DD"/>
    <w:rsid w:val="2DC07893"/>
    <w:rsid w:val="2DC10320"/>
    <w:rsid w:val="2DC17BD8"/>
    <w:rsid w:val="2DC20777"/>
    <w:rsid w:val="2DC25DA1"/>
    <w:rsid w:val="2DC33823"/>
    <w:rsid w:val="2DC35A21"/>
    <w:rsid w:val="2DC412A4"/>
    <w:rsid w:val="2DC41CF0"/>
    <w:rsid w:val="2DC4288F"/>
    <w:rsid w:val="2DC434A2"/>
    <w:rsid w:val="2DC50F24"/>
    <w:rsid w:val="2DC526CA"/>
    <w:rsid w:val="2DC56D26"/>
    <w:rsid w:val="2DC647A7"/>
    <w:rsid w:val="2DC669A6"/>
    <w:rsid w:val="2DC72229"/>
    <w:rsid w:val="2DC77CAA"/>
    <w:rsid w:val="2DC8572C"/>
    <w:rsid w:val="2DCA0C2F"/>
    <w:rsid w:val="2DCB2E2D"/>
    <w:rsid w:val="2DCB66B1"/>
    <w:rsid w:val="2DCC08AF"/>
    <w:rsid w:val="2DCC4132"/>
    <w:rsid w:val="2DCD6330"/>
    <w:rsid w:val="2DCE15AF"/>
    <w:rsid w:val="2DCE3DB2"/>
    <w:rsid w:val="2DCF0BED"/>
    <w:rsid w:val="2DCF1834"/>
    <w:rsid w:val="2DCF214E"/>
    <w:rsid w:val="2DD240A1"/>
    <w:rsid w:val="2DD2603B"/>
    <w:rsid w:val="2DD3023A"/>
    <w:rsid w:val="2DD33ABD"/>
    <w:rsid w:val="2DD4153F"/>
    <w:rsid w:val="2DD5373D"/>
    <w:rsid w:val="2DD56FC0"/>
    <w:rsid w:val="2DD611BE"/>
    <w:rsid w:val="2DD64A42"/>
    <w:rsid w:val="2DD702D0"/>
    <w:rsid w:val="2DD724C3"/>
    <w:rsid w:val="2DD76C40"/>
    <w:rsid w:val="2DD846C1"/>
    <w:rsid w:val="2DD87F45"/>
    <w:rsid w:val="2DD959C6"/>
    <w:rsid w:val="2DD97BC5"/>
    <w:rsid w:val="2DDA5646"/>
    <w:rsid w:val="2DDB0EC9"/>
    <w:rsid w:val="2DDB30C8"/>
    <w:rsid w:val="2DDC694B"/>
    <w:rsid w:val="2DDD44FF"/>
    <w:rsid w:val="2DDE1E4E"/>
    <w:rsid w:val="2DDE2EA9"/>
    <w:rsid w:val="2DDE404C"/>
    <w:rsid w:val="2DDF67DB"/>
    <w:rsid w:val="2DE02DD3"/>
    <w:rsid w:val="2DE071B6"/>
    <w:rsid w:val="2DE10854"/>
    <w:rsid w:val="2DE16FF1"/>
    <w:rsid w:val="2DE262D6"/>
    <w:rsid w:val="2DE312CD"/>
    <w:rsid w:val="2DE33D57"/>
    <w:rsid w:val="2DE41E6C"/>
    <w:rsid w:val="2DE5725A"/>
    <w:rsid w:val="2DE64CDC"/>
    <w:rsid w:val="2DE801DF"/>
    <w:rsid w:val="2DE95C61"/>
    <w:rsid w:val="2DEA36E2"/>
    <w:rsid w:val="2DEB68B1"/>
    <w:rsid w:val="2DEC5D5C"/>
    <w:rsid w:val="2DEC6433"/>
    <w:rsid w:val="2DEC7614"/>
    <w:rsid w:val="2DED4667"/>
    <w:rsid w:val="2DEF2105"/>
    <w:rsid w:val="2DEF7B6A"/>
    <w:rsid w:val="2DF02CA4"/>
    <w:rsid w:val="2DF055EB"/>
    <w:rsid w:val="2DF1306D"/>
    <w:rsid w:val="2DF45796"/>
    <w:rsid w:val="2DF74F76"/>
    <w:rsid w:val="2DF778AD"/>
    <w:rsid w:val="2DF80479"/>
    <w:rsid w:val="2DF829F8"/>
    <w:rsid w:val="2DF90E26"/>
    <w:rsid w:val="2DF919BD"/>
    <w:rsid w:val="2DFA177E"/>
    <w:rsid w:val="2DFB01CE"/>
    <w:rsid w:val="2DFB0384"/>
    <w:rsid w:val="2DFB14DA"/>
    <w:rsid w:val="2DFB2564"/>
    <w:rsid w:val="2DFB7200"/>
    <w:rsid w:val="2DFB7E63"/>
    <w:rsid w:val="2DFC3ADD"/>
    <w:rsid w:val="2DFC4C81"/>
    <w:rsid w:val="2DFC6E80"/>
    <w:rsid w:val="2DFD44B7"/>
    <w:rsid w:val="2DFD467B"/>
    <w:rsid w:val="2DFD4901"/>
    <w:rsid w:val="2DFE2383"/>
    <w:rsid w:val="2DFE521A"/>
    <w:rsid w:val="2DFF5C06"/>
    <w:rsid w:val="2E003688"/>
    <w:rsid w:val="2E005886"/>
    <w:rsid w:val="2E006793"/>
    <w:rsid w:val="2E013307"/>
    <w:rsid w:val="2E016B8B"/>
    <w:rsid w:val="2E02460C"/>
    <w:rsid w:val="2E03208E"/>
    <w:rsid w:val="2E047B0F"/>
    <w:rsid w:val="2E051D0E"/>
    <w:rsid w:val="2E055591"/>
    <w:rsid w:val="2E060932"/>
    <w:rsid w:val="2E063012"/>
    <w:rsid w:val="2E075211"/>
    <w:rsid w:val="2E082C92"/>
    <w:rsid w:val="2E084AD9"/>
    <w:rsid w:val="2E086516"/>
    <w:rsid w:val="2E090714"/>
    <w:rsid w:val="2E0B3C17"/>
    <w:rsid w:val="2E0B6A2C"/>
    <w:rsid w:val="2E0B749A"/>
    <w:rsid w:val="2E0C1698"/>
    <w:rsid w:val="2E0C75CB"/>
    <w:rsid w:val="2E0E4B9C"/>
    <w:rsid w:val="2E0F261D"/>
    <w:rsid w:val="2E10009F"/>
    <w:rsid w:val="2E105B20"/>
    <w:rsid w:val="2E1113A3"/>
    <w:rsid w:val="2E121023"/>
    <w:rsid w:val="2E123636"/>
    <w:rsid w:val="2E126E25"/>
    <w:rsid w:val="2E142328"/>
    <w:rsid w:val="2E144526"/>
    <w:rsid w:val="2E151FA8"/>
    <w:rsid w:val="2E15574D"/>
    <w:rsid w:val="2E155912"/>
    <w:rsid w:val="2E157DAA"/>
    <w:rsid w:val="2E167A29"/>
    <w:rsid w:val="2E176445"/>
    <w:rsid w:val="2E176E8B"/>
    <w:rsid w:val="2E180404"/>
    <w:rsid w:val="2E180D2E"/>
    <w:rsid w:val="2E184747"/>
    <w:rsid w:val="2E1867B0"/>
    <w:rsid w:val="2E1909AE"/>
    <w:rsid w:val="2E194231"/>
    <w:rsid w:val="2E1B3EB1"/>
    <w:rsid w:val="2E1B7734"/>
    <w:rsid w:val="2E1C2EF5"/>
    <w:rsid w:val="2E1E06B9"/>
    <w:rsid w:val="2E1F28B7"/>
    <w:rsid w:val="2E205BAC"/>
    <w:rsid w:val="2E2312BE"/>
    <w:rsid w:val="2E241400"/>
    <w:rsid w:val="2E2547C1"/>
    <w:rsid w:val="2E257E86"/>
    <w:rsid w:val="2E262242"/>
    <w:rsid w:val="2E265AC6"/>
    <w:rsid w:val="2E2677B0"/>
    <w:rsid w:val="2E273353"/>
    <w:rsid w:val="2E273547"/>
    <w:rsid w:val="2E277CC4"/>
    <w:rsid w:val="2E280FC9"/>
    <w:rsid w:val="2E283EF2"/>
    <w:rsid w:val="2E285745"/>
    <w:rsid w:val="2E290C48"/>
    <w:rsid w:val="2E296A4A"/>
    <w:rsid w:val="2E2A66CA"/>
    <w:rsid w:val="2E2B1F4D"/>
    <w:rsid w:val="2E2B414C"/>
    <w:rsid w:val="2E2B600A"/>
    <w:rsid w:val="2E2D5450"/>
    <w:rsid w:val="2E2D7583"/>
    <w:rsid w:val="2E2D764F"/>
    <w:rsid w:val="2E2E1B4B"/>
    <w:rsid w:val="2E2E2ED2"/>
    <w:rsid w:val="2E2E50D0"/>
    <w:rsid w:val="2E2F0953"/>
    <w:rsid w:val="2E2F0CC0"/>
    <w:rsid w:val="2E2F2B52"/>
    <w:rsid w:val="2E3014D6"/>
    <w:rsid w:val="2E303E57"/>
    <w:rsid w:val="2E321FE3"/>
    <w:rsid w:val="2E323AD6"/>
    <w:rsid w:val="2E32735A"/>
    <w:rsid w:val="2E33325B"/>
    <w:rsid w:val="2E33418C"/>
    <w:rsid w:val="2E354A5B"/>
    <w:rsid w:val="2E355705"/>
    <w:rsid w:val="2E3558C9"/>
    <w:rsid w:val="2E3624DD"/>
    <w:rsid w:val="2E3662A3"/>
    <w:rsid w:val="2E3737E1"/>
    <w:rsid w:val="2E377F5E"/>
    <w:rsid w:val="2E396CE5"/>
    <w:rsid w:val="2E3A4766"/>
    <w:rsid w:val="2E3B1934"/>
    <w:rsid w:val="2E3B1AF8"/>
    <w:rsid w:val="2E3C7C69"/>
    <w:rsid w:val="2E3D1E67"/>
    <w:rsid w:val="2E3E316C"/>
    <w:rsid w:val="2E3F0BEE"/>
    <w:rsid w:val="2E3F45EA"/>
    <w:rsid w:val="2E3F536B"/>
    <w:rsid w:val="2E40086E"/>
    <w:rsid w:val="2E405189"/>
    <w:rsid w:val="2E40666F"/>
    <w:rsid w:val="2E4140F1"/>
    <w:rsid w:val="2E415B63"/>
    <w:rsid w:val="2E421B72"/>
    <w:rsid w:val="2E4317F2"/>
    <w:rsid w:val="2E4375F4"/>
    <w:rsid w:val="2E440655"/>
    <w:rsid w:val="2E447274"/>
    <w:rsid w:val="2E452AF7"/>
    <w:rsid w:val="2E4814FD"/>
    <w:rsid w:val="2E48330B"/>
    <w:rsid w:val="2E493EAA"/>
    <w:rsid w:val="2E496F7F"/>
    <w:rsid w:val="2E4A4A00"/>
    <w:rsid w:val="2E4B5422"/>
    <w:rsid w:val="2E4B55E7"/>
    <w:rsid w:val="2E4D4120"/>
    <w:rsid w:val="2E4E3407"/>
    <w:rsid w:val="2E4F0AB3"/>
    <w:rsid w:val="2E4F0E88"/>
    <w:rsid w:val="2E501652"/>
    <w:rsid w:val="2E50690A"/>
    <w:rsid w:val="2E5121F0"/>
    <w:rsid w:val="2E516BDC"/>
    <w:rsid w:val="2E521E0D"/>
    <w:rsid w:val="2E545310"/>
    <w:rsid w:val="2E57625B"/>
    <w:rsid w:val="2E591798"/>
    <w:rsid w:val="2E5A7219"/>
    <w:rsid w:val="2E5C264E"/>
    <w:rsid w:val="2E5C271C"/>
    <w:rsid w:val="2E5D019E"/>
    <w:rsid w:val="2E5D3029"/>
    <w:rsid w:val="2E5D38F8"/>
    <w:rsid w:val="2E5E5C1F"/>
    <w:rsid w:val="2E5F45A1"/>
    <w:rsid w:val="2E5F4766"/>
    <w:rsid w:val="2E6049A6"/>
    <w:rsid w:val="2E614626"/>
    <w:rsid w:val="2E627EA9"/>
    <w:rsid w:val="2E65302C"/>
    <w:rsid w:val="2E66136F"/>
    <w:rsid w:val="2E667F96"/>
    <w:rsid w:val="2E671D49"/>
    <w:rsid w:val="2E67652F"/>
    <w:rsid w:val="2E6828E8"/>
    <w:rsid w:val="2E683FB0"/>
    <w:rsid w:val="2E690493"/>
    <w:rsid w:val="2E6952B5"/>
    <w:rsid w:val="2E697834"/>
    <w:rsid w:val="2E6A2D37"/>
    <w:rsid w:val="2E6A3E61"/>
    <w:rsid w:val="2E6A74B4"/>
    <w:rsid w:val="2E6B4F35"/>
    <w:rsid w:val="2E6C29B7"/>
    <w:rsid w:val="2E6D0438"/>
    <w:rsid w:val="2E6D478D"/>
    <w:rsid w:val="2E6E34C0"/>
    <w:rsid w:val="2E6E5EBA"/>
    <w:rsid w:val="2E6F2F9F"/>
    <w:rsid w:val="2E6F71BF"/>
    <w:rsid w:val="2E7013BD"/>
    <w:rsid w:val="2E704C40"/>
    <w:rsid w:val="2E7126C2"/>
    <w:rsid w:val="2E716E3E"/>
    <w:rsid w:val="2E732342"/>
    <w:rsid w:val="2E7510C8"/>
    <w:rsid w:val="2E7542BF"/>
    <w:rsid w:val="2E7632C6"/>
    <w:rsid w:val="2E766B49"/>
    <w:rsid w:val="2E770D48"/>
    <w:rsid w:val="2E791CCC"/>
    <w:rsid w:val="2E79424B"/>
    <w:rsid w:val="2E797ACE"/>
    <w:rsid w:val="2E7A04EE"/>
    <w:rsid w:val="2E7A5550"/>
    <w:rsid w:val="2E7A774E"/>
    <w:rsid w:val="2E7B2FD1"/>
    <w:rsid w:val="2E7C2C51"/>
    <w:rsid w:val="2E7C66DE"/>
    <w:rsid w:val="2E7D5295"/>
    <w:rsid w:val="2E7D5411"/>
    <w:rsid w:val="2E7D64D4"/>
    <w:rsid w:val="2E7E2FE0"/>
    <w:rsid w:val="2E7E47CD"/>
    <w:rsid w:val="2E7E6154"/>
    <w:rsid w:val="2E7F3BD6"/>
    <w:rsid w:val="2E801657"/>
    <w:rsid w:val="2E81295C"/>
    <w:rsid w:val="2E812AB8"/>
    <w:rsid w:val="2E814EDA"/>
    <w:rsid w:val="2E8170D9"/>
    <w:rsid w:val="2E8203DE"/>
    <w:rsid w:val="2E8226AB"/>
    <w:rsid w:val="2E8361EB"/>
    <w:rsid w:val="2E8438E1"/>
    <w:rsid w:val="2E851362"/>
    <w:rsid w:val="2E863561"/>
    <w:rsid w:val="2E866DE4"/>
    <w:rsid w:val="2E870FE2"/>
    <w:rsid w:val="2E873255"/>
    <w:rsid w:val="2E874865"/>
    <w:rsid w:val="2E8822E7"/>
    <w:rsid w:val="2E886A64"/>
    <w:rsid w:val="2E8944E5"/>
    <w:rsid w:val="2E8A1747"/>
    <w:rsid w:val="2E8A1F67"/>
    <w:rsid w:val="2E8A57EA"/>
    <w:rsid w:val="2E8B49B7"/>
    <w:rsid w:val="2E8B79E8"/>
    <w:rsid w:val="2E8B7F59"/>
    <w:rsid w:val="2E8C546A"/>
    <w:rsid w:val="2E8C7A38"/>
    <w:rsid w:val="2E8D2EEB"/>
    <w:rsid w:val="2E8D5F30"/>
    <w:rsid w:val="2E8D60F4"/>
    <w:rsid w:val="2E8E6ACF"/>
    <w:rsid w:val="2E8F1C72"/>
    <w:rsid w:val="2E8F3DE9"/>
    <w:rsid w:val="2E8F63EE"/>
    <w:rsid w:val="2E900048"/>
    <w:rsid w:val="2E9076F3"/>
    <w:rsid w:val="2E9118F2"/>
    <w:rsid w:val="2E915175"/>
    <w:rsid w:val="2E917373"/>
    <w:rsid w:val="2E922324"/>
    <w:rsid w:val="2E922BF6"/>
    <w:rsid w:val="2E9279E9"/>
    <w:rsid w:val="2E930678"/>
    <w:rsid w:val="2E932876"/>
    <w:rsid w:val="2E932CFE"/>
    <w:rsid w:val="2E9402F8"/>
    <w:rsid w:val="2E9460F9"/>
    <w:rsid w:val="2E953B7B"/>
    <w:rsid w:val="2E955D79"/>
    <w:rsid w:val="2E97127C"/>
    <w:rsid w:val="2E9757EF"/>
    <w:rsid w:val="2E97707E"/>
    <w:rsid w:val="2E984B00"/>
    <w:rsid w:val="2E986CFE"/>
    <w:rsid w:val="2E993699"/>
    <w:rsid w:val="2E994780"/>
    <w:rsid w:val="2E996D68"/>
    <w:rsid w:val="2E9A1EAA"/>
    <w:rsid w:val="2E9A2201"/>
    <w:rsid w:val="2E9A2736"/>
    <w:rsid w:val="2E9B04A6"/>
    <w:rsid w:val="2E9B3506"/>
    <w:rsid w:val="2E9B7C83"/>
    <w:rsid w:val="2E9C0F87"/>
    <w:rsid w:val="2E9D6A09"/>
    <w:rsid w:val="2E9E23F9"/>
    <w:rsid w:val="2E9E25BD"/>
    <w:rsid w:val="2E9E448B"/>
    <w:rsid w:val="2E9F1F0C"/>
    <w:rsid w:val="2E9F315C"/>
    <w:rsid w:val="2E9F6689"/>
    <w:rsid w:val="2EA0410A"/>
    <w:rsid w:val="2EA0798E"/>
    <w:rsid w:val="2EA14510"/>
    <w:rsid w:val="2EA150AF"/>
    <w:rsid w:val="2EA1540F"/>
    <w:rsid w:val="2EA22E91"/>
    <w:rsid w:val="2EA27D69"/>
    <w:rsid w:val="2EA30912"/>
    <w:rsid w:val="2EA3508F"/>
    <w:rsid w:val="2EA4738B"/>
    <w:rsid w:val="2EA50592"/>
    <w:rsid w:val="2EA63495"/>
    <w:rsid w:val="2EA66014"/>
    <w:rsid w:val="2EA73A95"/>
    <w:rsid w:val="2EA81517"/>
    <w:rsid w:val="2EA84D5E"/>
    <w:rsid w:val="2EA84D9A"/>
    <w:rsid w:val="2EA85434"/>
    <w:rsid w:val="2EA9281C"/>
    <w:rsid w:val="2EA944D2"/>
    <w:rsid w:val="2EA94A1A"/>
    <w:rsid w:val="2EA96F98"/>
    <w:rsid w:val="2EAB5D1F"/>
    <w:rsid w:val="2EAB7F1D"/>
    <w:rsid w:val="2EAC496F"/>
    <w:rsid w:val="2EAD234C"/>
    <w:rsid w:val="2EAE60AC"/>
    <w:rsid w:val="2EAE6CA3"/>
    <w:rsid w:val="2EAF4725"/>
    <w:rsid w:val="2EAF7625"/>
    <w:rsid w:val="2EB17C28"/>
    <w:rsid w:val="2EB2173C"/>
    <w:rsid w:val="2EB2312B"/>
    <w:rsid w:val="2EB30BAD"/>
    <w:rsid w:val="2EB61B31"/>
    <w:rsid w:val="2EB7753B"/>
    <w:rsid w:val="2EB775B3"/>
    <w:rsid w:val="2EB85034"/>
    <w:rsid w:val="2EB8596B"/>
    <w:rsid w:val="2EB8678E"/>
    <w:rsid w:val="2EB92AB6"/>
    <w:rsid w:val="2EBA0537"/>
    <w:rsid w:val="2EBB5FB9"/>
    <w:rsid w:val="2EBC0FFC"/>
    <w:rsid w:val="2EBC3A3B"/>
    <w:rsid w:val="2EBD0E37"/>
    <w:rsid w:val="2EBD14BC"/>
    <w:rsid w:val="2EBD19D6"/>
    <w:rsid w:val="2EBE6F3E"/>
    <w:rsid w:val="2EC03AEE"/>
    <w:rsid w:val="2EC17EC2"/>
    <w:rsid w:val="2EC25944"/>
    <w:rsid w:val="2EC35C05"/>
    <w:rsid w:val="2EC467A4"/>
    <w:rsid w:val="2EC52083"/>
    <w:rsid w:val="2EC568C9"/>
    <w:rsid w:val="2EC60C00"/>
    <w:rsid w:val="2EC71DCC"/>
    <w:rsid w:val="2EC7564F"/>
    <w:rsid w:val="2EC929D3"/>
    <w:rsid w:val="2EC92D50"/>
    <w:rsid w:val="2ECA07D2"/>
    <w:rsid w:val="2ECB4055"/>
    <w:rsid w:val="2ECB6253"/>
    <w:rsid w:val="2ECC3CD5"/>
    <w:rsid w:val="2ECC4AEA"/>
    <w:rsid w:val="2ECD1756"/>
    <w:rsid w:val="2ECE4FDA"/>
    <w:rsid w:val="2ECE6063"/>
    <w:rsid w:val="2ECF2A5B"/>
    <w:rsid w:val="2ECF4C5A"/>
    <w:rsid w:val="2ECF6A3D"/>
    <w:rsid w:val="2ED004DD"/>
    <w:rsid w:val="2ED026DB"/>
    <w:rsid w:val="2ED1015D"/>
    <w:rsid w:val="2ED139E0"/>
    <w:rsid w:val="2ED21461"/>
    <w:rsid w:val="2ED33660"/>
    <w:rsid w:val="2ED420CE"/>
    <w:rsid w:val="2ED52630"/>
    <w:rsid w:val="2ED52C6D"/>
    <w:rsid w:val="2ED56B63"/>
    <w:rsid w:val="2ED645E4"/>
    <w:rsid w:val="2ED67E68"/>
    <w:rsid w:val="2ED72066"/>
    <w:rsid w:val="2ED741E5"/>
    <w:rsid w:val="2ED743AA"/>
    <w:rsid w:val="2ED758E9"/>
    <w:rsid w:val="2ED962FD"/>
    <w:rsid w:val="2ED97CB8"/>
    <w:rsid w:val="2EDA2FEB"/>
    <w:rsid w:val="2EDA686E"/>
    <w:rsid w:val="2EDB42EF"/>
    <w:rsid w:val="2EDC0415"/>
    <w:rsid w:val="2EDD77F3"/>
    <w:rsid w:val="2EDE198D"/>
    <w:rsid w:val="2EDE4B41"/>
    <w:rsid w:val="2EDE5274"/>
    <w:rsid w:val="2EDF252C"/>
    <w:rsid w:val="2EDF7472"/>
    <w:rsid w:val="2EE030CB"/>
    <w:rsid w:val="2EE23C7A"/>
    <w:rsid w:val="2EE26E88"/>
    <w:rsid w:val="2EE338FA"/>
    <w:rsid w:val="2EE3501E"/>
    <w:rsid w:val="2EE3584F"/>
    <w:rsid w:val="2EE4137C"/>
    <w:rsid w:val="2EE45BBD"/>
    <w:rsid w:val="2EE45D81"/>
    <w:rsid w:val="2EE4717D"/>
    <w:rsid w:val="2EE54BFF"/>
    <w:rsid w:val="2EE56DFD"/>
    <w:rsid w:val="2EE6487F"/>
    <w:rsid w:val="2EE70102"/>
    <w:rsid w:val="2EE72300"/>
    <w:rsid w:val="2EE87D82"/>
    <w:rsid w:val="2EE93605"/>
    <w:rsid w:val="2EE95803"/>
    <w:rsid w:val="2EEA1087"/>
    <w:rsid w:val="2EEA3285"/>
    <w:rsid w:val="2EEB0D06"/>
    <w:rsid w:val="2EEC200B"/>
    <w:rsid w:val="2EEE547C"/>
    <w:rsid w:val="2EEF2F90"/>
    <w:rsid w:val="2EF0518E"/>
    <w:rsid w:val="2EF10F8E"/>
    <w:rsid w:val="2EF12C10"/>
    <w:rsid w:val="2EF16493"/>
    <w:rsid w:val="2EF17594"/>
    <w:rsid w:val="2EF17758"/>
    <w:rsid w:val="2EF20132"/>
    <w:rsid w:val="2EF30CD1"/>
    <w:rsid w:val="2EF43B94"/>
    <w:rsid w:val="2EF51616"/>
    <w:rsid w:val="2EF54E99"/>
    <w:rsid w:val="2EF56FF0"/>
    <w:rsid w:val="2EF67098"/>
    <w:rsid w:val="2EF7039C"/>
    <w:rsid w:val="2EF8259B"/>
    <w:rsid w:val="2EF84D3C"/>
    <w:rsid w:val="2EF84F00"/>
    <w:rsid w:val="2EF85E1E"/>
    <w:rsid w:val="2EF9001C"/>
    <w:rsid w:val="2EF9389F"/>
    <w:rsid w:val="2EFA1321"/>
    <w:rsid w:val="2EFA351F"/>
    <w:rsid w:val="2EFA6479"/>
    <w:rsid w:val="2EFC4824"/>
    <w:rsid w:val="2EFC79F2"/>
    <w:rsid w:val="2EFD22A6"/>
    <w:rsid w:val="2EFE1F25"/>
    <w:rsid w:val="2EFE7D27"/>
    <w:rsid w:val="2EFF1945"/>
    <w:rsid w:val="2EFF57A9"/>
    <w:rsid w:val="2EFF79A7"/>
    <w:rsid w:val="2F002653"/>
    <w:rsid w:val="2F010CAC"/>
    <w:rsid w:val="2F012EAA"/>
    <w:rsid w:val="2F0241AF"/>
    <w:rsid w:val="2F031C30"/>
    <w:rsid w:val="2F0363AD"/>
    <w:rsid w:val="2F043E2F"/>
    <w:rsid w:val="2F0476B2"/>
    <w:rsid w:val="2F055134"/>
    <w:rsid w:val="2F062BB5"/>
    <w:rsid w:val="2F070637"/>
    <w:rsid w:val="2F074DB3"/>
    <w:rsid w:val="2F077E50"/>
    <w:rsid w:val="2F0809EF"/>
    <w:rsid w:val="2F082835"/>
    <w:rsid w:val="2F0860B8"/>
    <w:rsid w:val="2F0A1DA3"/>
    <w:rsid w:val="2F0A1F67"/>
    <w:rsid w:val="2F0B37BA"/>
    <w:rsid w:val="2F0C4ABE"/>
    <w:rsid w:val="2F0D2540"/>
    <w:rsid w:val="2F0D661F"/>
    <w:rsid w:val="2F0D6CBD"/>
    <w:rsid w:val="2F0E56BC"/>
    <w:rsid w:val="2F0F21C0"/>
    <w:rsid w:val="2F0F5433"/>
    <w:rsid w:val="2F0F5A43"/>
    <w:rsid w:val="2F1039AD"/>
    <w:rsid w:val="2F107C41"/>
    <w:rsid w:val="2F11754B"/>
    <w:rsid w:val="2F1200EA"/>
    <w:rsid w:val="2F120BC6"/>
    <w:rsid w:val="2F123144"/>
    <w:rsid w:val="2F134449"/>
    <w:rsid w:val="2F141ECB"/>
    <w:rsid w:val="2F15794C"/>
    <w:rsid w:val="2F1653CE"/>
    <w:rsid w:val="2F1808D1"/>
    <w:rsid w:val="2F196353"/>
    <w:rsid w:val="2F1A1856"/>
    <w:rsid w:val="2F1A3DD4"/>
    <w:rsid w:val="2F1A5892"/>
    <w:rsid w:val="2F1C4D59"/>
    <w:rsid w:val="2F1D2C30"/>
    <w:rsid w:val="2F1D72A2"/>
    <w:rsid w:val="2F1D7458"/>
    <w:rsid w:val="2F1D79A9"/>
    <w:rsid w:val="2F1E268B"/>
    <w:rsid w:val="2F1E6340"/>
    <w:rsid w:val="2F1E64F6"/>
    <w:rsid w:val="2F1E6861"/>
    <w:rsid w:val="2F1F5CDD"/>
    <w:rsid w:val="2F226C62"/>
    <w:rsid w:val="2F2345B2"/>
    <w:rsid w:val="2F234777"/>
    <w:rsid w:val="2F242165"/>
    <w:rsid w:val="2F257BE7"/>
    <w:rsid w:val="2F265668"/>
    <w:rsid w:val="2F280B6B"/>
    <w:rsid w:val="2F287C43"/>
    <w:rsid w:val="2F287E07"/>
    <w:rsid w:val="2F2909A6"/>
    <w:rsid w:val="2F2965ED"/>
    <w:rsid w:val="2F2A1380"/>
    <w:rsid w:val="2F2A1F1F"/>
    <w:rsid w:val="2F2A406E"/>
    <w:rsid w:val="2F2B1AF0"/>
    <w:rsid w:val="2F2B28F9"/>
    <w:rsid w:val="2F2C2DF5"/>
    <w:rsid w:val="2F2D4FF3"/>
    <w:rsid w:val="2F2E1CE2"/>
    <w:rsid w:val="2F2E2A75"/>
    <w:rsid w:val="2F2F3D79"/>
    <w:rsid w:val="2F3017FB"/>
    <w:rsid w:val="2F305F78"/>
    <w:rsid w:val="2F3139F9"/>
    <w:rsid w:val="2F31727D"/>
    <w:rsid w:val="2F33497E"/>
    <w:rsid w:val="2F342400"/>
    <w:rsid w:val="2F3517DE"/>
    <w:rsid w:val="2F371186"/>
    <w:rsid w:val="2F373384"/>
    <w:rsid w:val="2F394689"/>
    <w:rsid w:val="2F3A210B"/>
    <w:rsid w:val="2F3A381B"/>
    <w:rsid w:val="2F3A4309"/>
    <w:rsid w:val="2F3A5A0E"/>
    <w:rsid w:val="2F3C308F"/>
    <w:rsid w:val="2F3C780C"/>
    <w:rsid w:val="2F3D0B11"/>
    <w:rsid w:val="2F3E04FF"/>
    <w:rsid w:val="2F3F109E"/>
    <w:rsid w:val="2F401A95"/>
    <w:rsid w:val="2F401C3D"/>
    <w:rsid w:val="2F406212"/>
    <w:rsid w:val="2F412617"/>
    <w:rsid w:val="2F421715"/>
    <w:rsid w:val="2F44049C"/>
    <w:rsid w:val="2F44456A"/>
    <w:rsid w:val="2F44472E"/>
    <w:rsid w:val="2F444C18"/>
    <w:rsid w:val="2F447837"/>
    <w:rsid w:val="2F46399F"/>
    <w:rsid w:val="2F471420"/>
    <w:rsid w:val="2F475B9D"/>
    <w:rsid w:val="2F48361F"/>
    <w:rsid w:val="2F486EA2"/>
    <w:rsid w:val="2F487DBF"/>
    <w:rsid w:val="2F4910A0"/>
    <w:rsid w:val="2F4A6B22"/>
    <w:rsid w:val="2F4B2025"/>
    <w:rsid w:val="2F4B7E26"/>
    <w:rsid w:val="2F4C28B1"/>
    <w:rsid w:val="2F4C2A75"/>
    <w:rsid w:val="2F4C58A8"/>
    <w:rsid w:val="2F4D332A"/>
    <w:rsid w:val="2F4F682D"/>
    <w:rsid w:val="2F5042AE"/>
    <w:rsid w:val="2F5064AC"/>
    <w:rsid w:val="2F511D30"/>
    <w:rsid w:val="2F513F2E"/>
    <w:rsid w:val="2F5219B0"/>
    <w:rsid w:val="2F525233"/>
    <w:rsid w:val="2F5277B1"/>
    <w:rsid w:val="2F537431"/>
    <w:rsid w:val="2F53767E"/>
    <w:rsid w:val="2F540059"/>
    <w:rsid w:val="2F540736"/>
    <w:rsid w:val="2F540DBC"/>
    <w:rsid w:val="2F542EF1"/>
    <w:rsid w:val="2F544EB3"/>
    <w:rsid w:val="2F552934"/>
    <w:rsid w:val="2F5561B7"/>
    <w:rsid w:val="2F5603B6"/>
    <w:rsid w:val="2F562335"/>
    <w:rsid w:val="2F563C39"/>
    <w:rsid w:val="2F575E37"/>
    <w:rsid w:val="2F5838B9"/>
    <w:rsid w:val="2F58713C"/>
    <w:rsid w:val="2F59133A"/>
    <w:rsid w:val="2F5B00C1"/>
    <w:rsid w:val="2F5C22BF"/>
    <w:rsid w:val="2F5C5B42"/>
    <w:rsid w:val="2F5C639F"/>
    <w:rsid w:val="2F5E1045"/>
    <w:rsid w:val="2F5F3244"/>
    <w:rsid w:val="2F5F6AC7"/>
    <w:rsid w:val="2F604549"/>
    <w:rsid w:val="2F611FCA"/>
    <w:rsid w:val="2F616747"/>
    <w:rsid w:val="2F6241C8"/>
    <w:rsid w:val="2F627A4C"/>
    <w:rsid w:val="2F631C4A"/>
    <w:rsid w:val="2F633B47"/>
    <w:rsid w:val="2F633D0C"/>
    <w:rsid w:val="2F636EC1"/>
    <w:rsid w:val="2F643F15"/>
    <w:rsid w:val="2F64514D"/>
    <w:rsid w:val="2F660650"/>
    <w:rsid w:val="2F666452"/>
    <w:rsid w:val="2F673ED3"/>
    <w:rsid w:val="2F6760D2"/>
    <w:rsid w:val="2F6767FD"/>
    <w:rsid w:val="2F683B53"/>
    <w:rsid w:val="2F6915D5"/>
    <w:rsid w:val="2F6A4E58"/>
    <w:rsid w:val="2F6A7056"/>
    <w:rsid w:val="2F6B035B"/>
    <w:rsid w:val="2F6B12EF"/>
    <w:rsid w:val="2F6B28DA"/>
    <w:rsid w:val="2F6C2559"/>
    <w:rsid w:val="2F6C5DDD"/>
    <w:rsid w:val="2F6D385E"/>
    <w:rsid w:val="2F6D7FDB"/>
    <w:rsid w:val="2F6E12E0"/>
    <w:rsid w:val="2F6E5A5D"/>
    <w:rsid w:val="2F6F4B44"/>
    <w:rsid w:val="2F7047E3"/>
    <w:rsid w:val="2F7160BD"/>
    <w:rsid w:val="2F724463"/>
    <w:rsid w:val="2F731EE4"/>
    <w:rsid w:val="2F735E66"/>
    <w:rsid w:val="2F745424"/>
    <w:rsid w:val="2F745945"/>
    <w:rsid w:val="2F747966"/>
    <w:rsid w:val="2F762E69"/>
    <w:rsid w:val="2F77416E"/>
    <w:rsid w:val="2F782E8B"/>
    <w:rsid w:val="2F78636C"/>
    <w:rsid w:val="2F793DEE"/>
    <w:rsid w:val="2F7A4403"/>
    <w:rsid w:val="2F7B2B74"/>
    <w:rsid w:val="2F7E3AF9"/>
    <w:rsid w:val="2F7F34D2"/>
    <w:rsid w:val="2F8224FF"/>
    <w:rsid w:val="2F827A5E"/>
    <w:rsid w:val="2F835A02"/>
    <w:rsid w:val="2F843483"/>
    <w:rsid w:val="2F843CC3"/>
    <w:rsid w:val="2F850F05"/>
    <w:rsid w:val="2F874408"/>
    <w:rsid w:val="2F875DDB"/>
    <w:rsid w:val="2F881E8A"/>
    <w:rsid w:val="2F8867B5"/>
    <w:rsid w:val="2F89790B"/>
    <w:rsid w:val="2F8B2E0E"/>
    <w:rsid w:val="2F8C0890"/>
    <w:rsid w:val="2F8C1E45"/>
    <w:rsid w:val="2F8D6311"/>
    <w:rsid w:val="2F8E3D93"/>
    <w:rsid w:val="2F8F3C58"/>
    <w:rsid w:val="2F8F3F5D"/>
    <w:rsid w:val="2F904AFB"/>
    <w:rsid w:val="2F907296"/>
    <w:rsid w:val="2F920BF0"/>
    <w:rsid w:val="2F92601C"/>
    <w:rsid w:val="2F926239"/>
    <w:rsid w:val="2F945C9C"/>
    <w:rsid w:val="2F95371E"/>
    <w:rsid w:val="2F956FA1"/>
    <w:rsid w:val="2F964A23"/>
    <w:rsid w:val="2F9822A3"/>
    <w:rsid w:val="2F992124"/>
    <w:rsid w:val="2F992C7E"/>
    <w:rsid w:val="2F9A3429"/>
    <w:rsid w:val="2F9A43BB"/>
    <w:rsid w:val="2F9B0EAA"/>
    <w:rsid w:val="2F9B4D95"/>
    <w:rsid w:val="2F9B5627"/>
    <w:rsid w:val="2F9C0B2A"/>
    <w:rsid w:val="2F9D43AD"/>
    <w:rsid w:val="2F9D630E"/>
    <w:rsid w:val="2F9D65AC"/>
    <w:rsid w:val="2F9E402D"/>
    <w:rsid w:val="2F9F5447"/>
    <w:rsid w:val="2FA05332"/>
    <w:rsid w:val="2FA07530"/>
    <w:rsid w:val="2FA12DB4"/>
    <w:rsid w:val="2FA14FB2"/>
    <w:rsid w:val="2FA22A33"/>
    <w:rsid w:val="2FA304B5"/>
    <w:rsid w:val="2FA32702"/>
    <w:rsid w:val="2FA33D38"/>
    <w:rsid w:val="2FA362B7"/>
    <w:rsid w:val="2FA417BA"/>
    <w:rsid w:val="2FA5723B"/>
    <w:rsid w:val="2FA60605"/>
    <w:rsid w:val="2FA6143A"/>
    <w:rsid w:val="2FA64CBD"/>
    <w:rsid w:val="2FA7273E"/>
    <w:rsid w:val="2FA76EBB"/>
    <w:rsid w:val="2FA801C0"/>
    <w:rsid w:val="2FA8493D"/>
    <w:rsid w:val="2FA923BE"/>
    <w:rsid w:val="2FA9730B"/>
    <w:rsid w:val="2FAA7E40"/>
    <w:rsid w:val="2FAB1145"/>
    <w:rsid w:val="2FAB58C1"/>
    <w:rsid w:val="2FAC3343"/>
    <w:rsid w:val="2FAD4648"/>
    <w:rsid w:val="2FAD7704"/>
    <w:rsid w:val="2FAE20C9"/>
    <w:rsid w:val="2FAE2B60"/>
    <w:rsid w:val="2FAE6846"/>
    <w:rsid w:val="2FAE6957"/>
    <w:rsid w:val="2FAF353A"/>
    <w:rsid w:val="2FAF5153"/>
    <w:rsid w:val="2FAF5BAA"/>
    <w:rsid w:val="2FB01D49"/>
    <w:rsid w:val="2FB1304E"/>
    <w:rsid w:val="2FB177CB"/>
    <w:rsid w:val="2FB20AD0"/>
    <w:rsid w:val="2FB2524C"/>
    <w:rsid w:val="2FB2548D"/>
    <w:rsid w:val="2FB25651"/>
    <w:rsid w:val="2FB36551"/>
    <w:rsid w:val="2FB43FD3"/>
    <w:rsid w:val="2FB4573E"/>
    <w:rsid w:val="2FB50308"/>
    <w:rsid w:val="2FB51A54"/>
    <w:rsid w:val="2FB60CE2"/>
    <w:rsid w:val="2FB8241F"/>
    <w:rsid w:val="2FB9045A"/>
    <w:rsid w:val="2FB92659"/>
    <w:rsid w:val="2FBA00DA"/>
    <w:rsid w:val="2FBA5EDC"/>
    <w:rsid w:val="2FBB395D"/>
    <w:rsid w:val="2FBB5B5C"/>
    <w:rsid w:val="2FBD105F"/>
    <w:rsid w:val="2FBD1134"/>
    <w:rsid w:val="2FBD48E2"/>
    <w:rsid w:val="2FBE18E4"/>
    <w:rsid w:val="2FBE6AE0"/>
    <w:rsid w:val="2FBF6E64"/>
    <w:rsid w:val="2FC01FE3"/>
    <w:rsid w:val="2FC20D6A"/>
    <w:rsid w:val="2FC254E7"/>
    <w:rsid w:val="2FC367EB"/>
    <w:rsid w:val="2FC409EA"/>
    <w:rsid w:val="2FC43258"/>
    <w:rsid w:val="2FC4426D"/>
    <w:rsid w:val="2FC51CEF"/>
    <w:rsid w:val="2FC53C32"/>
    <w:rsid w:val="2FC5646B"/>
    <w:rsid w:val="2FC67A85"/>
    <w:rsid w:val="2FC72478"/>
    <w:rsid w:val="2FC751F2"/>
    <w:rsid w:val="2FC873F0"/>
    <w:rsid w:val="2FC94E71"/>
    <w:rsid w:val="2FCA28F3"/>
    <w:rsid w:val="2FCA3FE7"/>
    <w:rsid w:val="2FCA6176"/>
    <w:rsid w:val="2FCB0375"/>
    <w:rsid w:val="2FCB3BF8"/>
    <w:rsid w:val="2FCC1679"/>
    <w:rsid w:val="2FCC3878"/>
    <w:rsid w:val="2FCD159E"/>
    <w:rsid w:val="2FCE1DB4"/>
    <w:rsid w:val="2FCE4B7C"/>
    <w:rsid w:val="2FCE6D7B"/>
    <w:rsid w:val="2FD0227E"/>
    <w:rsid w:val="2FD02D60"/>
    <w:rsid w:val="2FD04090"/>
    <w:rsid w:val="2FD065E6"/>
    <w:rsid w:val="2FD23583"/>
    <w:rsid w:val="2FD25781"/>
    <w:rsid w:val="2FD31004"/>
    <w:rsid w:val="2FD40C84"/>
    <w:rsid w:val="2FD44507"/>
    <w:rsid w:val="2FD46A86"/>
    <w:rsid w:val="2FD56706"/>
    <w:rsid w:val="2FD64187"/>
    <w:rsid w:val="2FD67A0A"/>
    <w:rsid w:val="2FD71C09"/>
    <w:rsid w:val="2FD873C0"/>
    <w:rsid w:val="2FD8768A"/>
    <w:rsid w:val="2FD9098F"/>
    <w:rsid w:val="2FD9660F"/>
    <w:rsid w:val="2FD96870"/>
    <w:rsid w:val="2FD96B30"/>
    <w:rsid w:val="2FDA2DB1"/>
    <w:rsid w:val="2FDA6411"/>
    <w:rsid w:val="2FDB060F"/>
    <w:rsid w:val="2FDB3E92"/>
    <w:rsid w:val="2FDB4C6B"/>
    <w:rsid w:val="2FDC1914"/>
    <w:rsid w:val="2FDC6090"/>
    <w:rsid w:val="2FDD7395"/>
    <w:rsid w:val="2FDE1594"/>
    <w:rsid w:val="2FDE58A3"/>
    <w:rsid w:val="2FDE6606"/>
    <w:rsid w:val="2FDF2898"/>
    <w:rsid w:val="2FDF7015"/>
    <w:rsid w:val="2FE0031A"/>
    <w:rsid w:val="2FE079BA"/>
    <w:rsid w:val="2FE07B7F"/>
    <w:rsid w:val="2FE1071D"/>
    <w:rsid w:val="2FE31C96"/>
    <w:rsid w:val="2FE5320F"/>
    <w:rsid w:val="2FE547A2"/>
    <w:rsid w:val="2FE62223"/>
    <w:rsid w:val="2FE77CA5"/>
    <w:rsid w:val="2FE801F5"/>
    <w:rsid w:val="2FE85327"/>
    <w:rsid w:val="2FE85726"/>
    <w:rsid w:val="2FE87E8A"/>
    <w:rsid w:val="2FE931A8"/>
    <w:rsid w:val="2FE96F27"/>
    <w:rsid w:val="2FE970DD"/>
    <w:rsid w:val="2FE97B1E"/>
    <w:rsid w:val="2FEA0C29"/>
    <w:rsid w:val="2FEB7E18"/>
    <w:rsid w:val="2FEC412C"/>
    <w:rsid w:val="2FED1391"/>
    <w:rsid w:val="2FED7630"/>
    <w:rsid w:val="2FEE50B1"/>
    <w:rsid w:val="2FEF2ACF"/>
    <w:rsid w:val="2FF005B4"/>
    <w:rsid w:val="2FF14047"/>
    <w:rsid w:val="2FF16036"/>
    <w:rsid w:val="2FF23AB7"/>
    <w:rsid w:val="2FF56B39"/>
    <w:rsid w:val="2FF722FC"/>
    <w:rsid w:val="2FF7281C"/>
    <w:rsid w:val="2FF77F3F"/>
    <w:rsid w:val="2FF80E15"/>
    <w:rsid w:val="2FF811E4"/>
    <w:rsid w:val="2FF81244"/>
    <w:rsid w:val="2FF859C1"/>
    <w:rsid w:val="2FF9238E"/>
    <w:rsid w:val="2FFA0EC4"/>
    <w:rsid w:val="2FFA4747"/>
    <w:rsid w:val="2FFB21C9"/>
    <w:rsid w:val="2FFB6945"/>
    <w:rsid w:val="2FFC43C7"/>
    <w:rsid w:val="2FFC7C4A"/>
    <w:rsid w:val="2FFD1E48"/>
    <w:rsid w:val="2FFE314D"/>
    <w:rsid w:val="2FFE78CA"/>
    <w:rsid w:val="2FFF0BCF"/>
    <w:rsid w:val="2FFF534B"/>
    <w:rsid w:val="2FFF63F9"/>
    <w:rsid w:val="30002DCD"/>
    <w:rsid w:val="30006650"/>
    <w:rsid w:val="3001084F"/>
    <w:rsid w:val="300140D2"/>
    <w:rsid w:val="300310AF"/>
    <w:rsid w:val="30033D52"/>
    <w:rsid w:val="300375D5"/>
    <w:rsid w:val="300417D3"/>
    <w:rsid w:val="30041C4E"/>
    <w:rsid w:val="30045A3B"/>
    <w:rsid w:val="30047255"/>
    <w:rsid w:val="30052AD8"/>
    <w:rsid w:val="3005551A"/>
    <w:rsid w:val="30062758"/>
    <w:rsid w:val="30063D65"/>
    <w:rsid w:val="30074904"/>
    <w:rsid w:val="30083A5D"/>
    <w:rsid w:val="30085C5B"/>
    <w:rsid w:val="300A6F60"/>
    <w:rsid w:val="300B49E1"/>
    <w:rsid w:val="300C2463"/>
    <w:rsid w:val="300D5966"/>
    <w:rsid w:val="300E7B64"/>
    <w:rsid w:val="300F0E69"/>
    <w:rsid w:val="300F55E6"/>
    <w:rsid w:val="30102A86"/>
    <w:rsid w:val="30113460"/>
    <w:rsid w:val="3012656A"/>
    <w:rsid w:val="30133FEC"/>
    <w:rsid w:val="301349D9"/>
    <w:rsid w:val="30134B9E"/>
    <w:rsid w:val="3013786F"/>
    <w:rsid w:val="30141A6E"/>
    <w:rsid w:val="301452F1"/>
    <w:rsid w:val="30146F4B"/>
    <w:rsid w:val="301472B6"/>
    <w:rsid w:val="30152D72"/>
    <w:rsid w:val="301533B0"/>
    <w:rsid w:val="3015575C"/>
    <w:rsid w:val="301574EF"/>
    <w:rsid w:val="301607F4"/>
    <w:rsid w:val="30164F71"/>
    <w:rsid w:val="3016768F"/>
    <w:rsid w:val="30167854"/>
    <w:rsid w:val="30176275"/>
    <w:rsid w:val="30180474"/>
    <w:rsid w:val="30180C08"/>
    <w:rsid w:val="30180DCD"/>
    <w:rsid w:val="30191779"/>
    <w:rsid w:val="301917A7"/>
    <w:rsid w:val="30195EF5"/>
    <w:rsid w:val="301A3977"/>
    <w:rsid w:val="301A71FA"/>
    <w:rsid w:val="301C26FD"/>
    <w:rsid w:val="301C3A83"/>
    <w:rsid w:val="301C48FC"/>
    <w:rsid w:val="301C6E7A"/>
    <w:rsid w:val="301D017F"/>
    <w:rsid w:val="301D32E3"/>
    <w:rsid w:val="301E5C00"/>
    <w:rsid w:val="301F59D6"/>
    <w:rsid w:val="30201103"/>
    <w:rsid w:val="30203302"/>
    <w:rsid w:val="30210D83"/>
    <w:rsid w:val="30212840"/>
    <w:rsid w:val="30216B85"/>
    <w:rsid w:val="302204C8"/>
    <w:rsid w:val="30221FB4"/>
    <w:rsid w:val="30224607"/>
    <w:rsid w:val="30227AED"/>
    <w:rsid w:val="30232088"/>
    <w:rsid w:val="3024558B"/>
    <w:rsid w:val="3025300D"/>
    <w:rsid w:val="30257789"/>
    <w:rsid w:val="30260A8E"/>
    <w:rsid w:val="30272C8D"/>
    <w:rsid w:val="30276510"/>
    <w:rsid w:val="302846F7"/>
    <w:rsid w:val="302A7494"/>
    <w:rsid w:val="302B1693"/>
    <w:rsid w:val="302C2998"/>
    <w:rsid w:val="302C7114"/>
    <w:rsid w:val="302D0419"/>
    <w:rsid w:val="302F391C"/>
    <w:rsid w:val="30301E9F"/>
    <w:rsid w:val="30304791"/>
    <w:rsid w:val="30304946"/>
    <w:rsid w:val="30305B1B"/>
    <w:rsid w:val="30313158"/>
    <w:rsid w:val="30313418"/>
    <w:rsid w:val="3031359C"/>
    <w:rsid w:val="3032101E"/>
    <w:rsid w:val="303231AC"/>
    <w:rsid w:val="30323FB6"/>
    <w:rsid w:val="303248A1"/>
    <w:rsid w:val="30332322"/>
    <w:rsid w:val="30334B55"/>
    <w:rsid w:val="30344521"/>
    <w:rsid w:val="30347DA4"/>
    <w:rsid w:val="30351FA2"/>
    <w:rsid w:val="30357A24"/>
    <w:rsid w:val="303632A7"/>
    <w:rsid w:val="30372F27"/>
    <w:rsid w:val="303809A8"/>
    <w:rsid w:val="303867AA"/>
    <w:rsid w:val="30390D84"/>
    <w:rsid w:val="3039422C"/>
    <w:rsid w:val="3039642A"/>
    <w:rsid w:val="303A1CAD"/>
    <w:rsid w:val="303B24C1"/>
    <w:rsid w:val="303B772F"/>
    <w:rsid w:val="303C73AF"/>
    <w:rsid w:val="303D06B3"/>
    <w:rsid w:val="303E28B2"/>
    <w:rsid w:val="303E6135"/>
    <w:rsid w:val="303F598D"/>
    <w:rsid w:val="303F652C"/>
    <w:rsid w:val="30401638"/>
    <w:rsid w:val="30405DB5"/>
    <w:rsid w:val="30413836"/>
    <w:rsid w:val="304170BA"/>
    <w:rsid w:val="304212B8"/>
    <w:rsid w:val="304325BD"/>
    <w:rsid w:val="30436D3A"/>
    <w:rsid w:val="3044101E"/>
    <w:rsid w:val="30443C64"/>
    <w:rsid w:val="304447BB"/>
    <w:rsid w:val="3045258A"/>
    <w:rsid w:val="30455AC0"/>
    <w:rsid w:val="3046275B"/>
    <w:rsid w:val="30463541"/>
    <w:rsid w:val="304732FA"/>
    <w:rsid w:val="304944C6"/>
    <w:rsid w:val="304C544B"/>
    <w:rsid w:val="304D174B"/>
    <w:rsid w:val="304F7365"/>
    <w:rsid w:val="30523594"/>
    <w:rsid w:val="30527354"/>
    <w:rsid w:val="30530F4B"/>
    <w:rsid w:val="30534132"/>
    <w:rsid w:val="30534DD6"/>
    <w:rsid w:val="30542857"/>
    <w:rsid w:val="305556AB"/>
    <w:rsid w:val="305637DC"/>
    <w:rsid w:val="3057125D"/>
    <w:rsid w:val="30580BC9"/>
    <w:rsid w:val="3059019D"/>
    <w:rsid w:val="30590D3B"/>
    <w:rsid w:val="30594760"/>
    <w:rsid w:val="305A21E2"/>
    <w:rsid w:val="305B22B4"/>
    <w:rsid w:val="305B7C64"/>
    <w:rsid w:val="305C317B"/>
    <w:rsid w:val="305C56E5"/>
    <w:rsid w:val="305D69EA"/>
    <w:rsid w:val="305E0BE8"/>
    <w:rsid w:val="306040EB"/>
    <w:rsid w:val="306153F0"/>
    <w:rsid w:val="30622E72"/>
    <w:rsid w:val="30626EBE"/>
    <w:rsid w:val="30642AF1"/>
    <w:rsid w:val="30646375"/>
    <w:rsid w:val="30653DF6"/>
    <w:rsid w:val="30665FF5"/>
    <w:rsid w:val="30673A76"/>
    <w:rsid w:val="306772F9"/>
    <w:rsid w:val="306814F8"/>
    <w:rsid w:val="30684D7B"/>
    <w:rsid w:val="306A027E"/>
    <w:rsid w:val="306A49FB"/>
    <w:rsid w:val="306B247C"/>
    <w:rsid w:val="306B4F17"/>
    <w:rsid w:val="306B5282"/>
    <w:rsid w:val="306C3781"/>
    <w:rsid w:val="306C7EFE"/>
    <w:rsid w:val="306D1203"/>
    <w:rsid w:val="306D3401"/>
    <w:rsid w:val="306E6C84"/>
    <w:rsid w:val="306F4706"/>
    <w:rsid w:val="3072568A"/>
    <w:rsid w:val="30727889"/>
    <w:rsid w:val="3073530A"/>
    <w:rsid w:val="30742D8C"/>
    <w:rsid w:val="307440EA"/>
    <w:rsid w:val="3075660F"/>
    <w:rsid w:val="3076628F"/>
    <w:rsid w:val="30766E97"/>
    <w:rsid w:val="30776BDB"/>
    <w:rsid w:val="30777594"/>
    <w:rsid w:val="30780656"/>
    <w:rsid w:val="30781792"/>
    <w:rsid w:val="307856A7"/>
    <w:rsid w:val="30797214"/>
    <w:rsid w:val="307A3BB2"/>
    <w:rsid w:val="307A4C95"/>
    <w:rsid w:val="307A6E68"/>
    <w:rsid w:val="307A7389"/>
    <w:rsid w:val="307B1892"/>
    <w:rsid w:val="307B2717"/>
    <w:rsid w:val="307C2430"/>
    <w:rsid w:val="307C3A1B"/>
    <w:rsid w:val="307D149D"/>
    <w:rsid w:val="307D5C1A"/>
    <w:rsid w:val="307E369B"/>
    <w:rsid w:val="307E39A9"/>
    <w:rsid w:val="307E6F1F"/>
    <w:rsid w:val="30802422"/>
    <w:rsid w:val="30806B9E"/>
    <w:rsid w:val="30814620"/>
    <w:rsid w:val="308220A2"/>
    <w:rsid w:val="30825925"/>
    <w:rsid w:val="308333A6"/>
    <w:rsid w:val="30837A14"/>
    <w:rsid w:val="30840E28"/>
    <w:rsid w:val="308455A5"/>
    <w:rsid w:val="30850AA8"/>
    <w:rsid w:val="30871DAD"/>
    <w:rsid w:val="3087288E"/>
    <w:rsid w:val="30881A2C"/>
    <w:rsid w:val="3088782E"/>
    <w:rsid w:val="30891124"/>
    <w:rsid w:val="308952B0"/>
    <w:rsid w:val="308974AE"/>
    <w:rsid w:val="308A4F2F"/>
    <w:rsid w:val="308B29B1"/>
    <w:rsid w:val="308C5F1F"/>
    <w:rsid w:val="308D1737"/>
    <w:rsid w:val="308D3CB6"/>
    <w:rsid w:val="308D5EB4"/>
    <w:rsid w:val="308E3936"/>
    <w:rsid w:val="308E71B9"/>
    <w:rsid w:val="308E72D3"/>
    <w:rsid w:val="308E7498"/>
    <w:rsid w:val="308F4C3A"/>
    <w:rsid w:val="309015AF"/>
    <w:rsid w:val="30906E39"/>
    <w:rsid w:val="3091013E"/>
    <w:rsid w:val="309148BA"/>
    <w:rsid w:val="3092233C"/>
    <w:rsid w:val="30922964"/>
    <w:rsid w:val="30925BBF"/>
    <w:rsid w:val="30933641"/>
    <w:rsid w:val="30937DBD"/>
    <w:rsid w:val="3094583F"/>
    <w:rsid w:val="30954A7B"/>
    <w:rsid w:val="30954C40"/>
    <w:rsid w:val="30956B44"/>
    <w:rsid w:val="30960D42"/>
    <w:rsid w:val="309645C5"/>
    <w:rsid w:val="309646AE"/>
    <w:rsid w:val="30964BCF"/>
    <w:rsid w:val="3096561A"/>
    <w:rsid w:val="30972047"/>
    <w:rsid w:val="30973E22"/>
    <w:rsid w:val="309767C4"/>
    <w:rsid w:val="30982634"/>
    <w:rsid w:val="30984245"/>
    <w:rsid w:val="30986B93"/>
    <w:rsid w:val="30987AC8"/>
    <w:rsid w:val="30997731"/>
    <w:rsid w:val="309A7748"/>
    <w:rsid w:val="309B0A4D"/>
    <w:rsid w:val="309B5550"/>
    <w:rsid w:val="309C1A0D"/>
    <w:rsid w:val="309D06CD"/>
    <w:rsid w:val="309D2F86"/>
    <w:rsid w:val="309D614E"/>
    <w:rsid w:val="309E3BD0"/>
    <w:rsid w:val="309F44FF"/>
    <w:rsid w:val="309F7453"/>
    <w:rsid w:val="30A02989"/>
    <w:rsid w:val="30A070D3"/>
    <w:rsid w:val="30A12956"/>
    <w:rsid w:val="30A225D6"/>
    <w:rsid w:val="30A26452"/>
    <w:rsid w:val="30A30058"/>
    <w:rsid w:val="30A36FF1"/>
    <w:rsid w:val="30A371B5"/>
    <w:rsid w:val="30A438DB"/>
    <w:rsid w:val="30A471F6"/>
    <w:rsid w:val="30A5056A"/>
    <w:rsid w:val="30A5135D"/>
    <w:rsid w:val="30A567B5"/>
    <w:rsid w:val="30A65D73"/>
    <w:rsid w:val="30A76A5E"/>
    <w:rsid w:val="30A82681"/>
    <w:rsid w:val="30A844DF"/>
    <w:rsid w:val="30A87D63"/>
    <w:rsid w:val="30A957E4"/>
    <w:rsid w:val="30AA3266"/>
    <w:rsid w:val="30AA79E3"/>
    <w:rsid w:val="30AB5338"/>
    <w:rsid w:val="30AB577E"/>
    <w:rsid w:val="30AD68B0"/>
    <w:rsid w:val="30AE1C6C"/>
    <w:rsid w:val="30AF76EE"/>
    <w:rsid w:val="30B00B8C"/>
    <w:rsid w:val="30B0516F"/>
    <w:rsid w:val="30B20672"/>
    <w:rsid w:val="30B21F41"/>
    <w:rsid w:val="30B401E5"/>
    <w:rsid w:val="30B4367E"/>
    <w:rsid w:val="30B43B75"/>
    <w:rsid w:val="30B515F7"/>
    <w:rsid w:val="30B54058"/>
    <w:rsid w:val="30B57959"/>
    <w:rsid w:val="30BA044C"/>
    <w:rsid w:val="30BA5A7F"/>
    <w:rsid w:val="30BB3500"/>
    <w:rsid w:val="30BC0F82"/>
    <w:rsid w:val="30BC19C5"/>
    <w:rsid w:val="30BD6A03"/>
    <w:rsid w:val="30BE1F06"/>
    <w:rsid w:val="30BE2F3E"/>
    <w:rsid w:val="30BF7988"/>
    <w:rsid w:val="30C044B7"/>
    <w:rsid w:val="30C14E91"/>
    <w:rsid w:val="30C15055"/>
    <w:rsid w:val="30C2090D"/>
    <w:rsid w:val="30C23ADA"/>
    <w:rsid w:val="30C41C15"/>
    <w:rsid w:val="30C51891"/>
    <w:rsid w:val="30C57D0B"/>
    <w:rsid w:val="30C60521"/>
    <w:rsid w:val="30C606E6"/>
    <w:rsid w:val="30C62B96"/>
    <w:rsid w:val="30C67313"/>
    <w:rsid w:val="30C70618"/>
    <w:rsid w:val="30C90297"/>
    <w:rsid w:val="30C93B1B"/>
    <w:rsid w:val="30CC121C"/>
    <w:rsid w:val="30CC52EF"/>
    <w:rsid w:val="30CD6C9E"/>
    <w:rsid w:val="30CE471F"/>
    <w:rsid w:val="30CE7FA2"/>
    <w:rsid w:val="30CF21A1"/>
    <w:rsid w:val="30D034A6"/>
    <w:rsid w:val="30D0646D"/>
    <w:rsid w:val="30D1097F"/>
    <w:rsid w:val="30D23125"/>
    <w:rsid w:val="30D2549E"/>
    <w:rsid w:val="30D269A9"/>
    <w:rsid w:val="30D30BA7"/>
    <w:rsid w:val="30D31EF8"/>
    <w:rsid w:val="30D3442A"/>
    <w:rsid w:val="30D46628"/>
    <w:rsid w:val="30D540AA"/>
    <w:rsid w:val="30D5792D"/>
    <w:rsid w:val="30D64BAF"/>
    <w:rsid w:val="30D64D73"/>
    <w:rsid w:val="30D675AD"/>
    <w:rsid w:val="30D7502F"/>
    <w:rsid w:val="30D7574D"/>
    <w:rsid w:val="30D808B2"/>
    <w:rsid w:val="30D82AB0"/>
    <w:rsid w:val="30D83F84"/>
    <w:rsid w:val="30D96334"/>
    <w:rsid w:val="30DA5FB3"/>
    <w:rsid w:val="30DB1837"/>
    <w:rsid w:val="30DB3A35"/>
    <w:rsid w:val="30DC72B8"/>
    <w:rsid w:val="30DD17B8"/>
    <w:rsid w:val="30DD197C"/>
    <w:rsid w:val="30DD4D3A"/>
    <w:rsid w:val="30DD6F38"/>
    <w:rsid w:val="30DE27BB"/>
    <w:rsid w:val="30DE6686"/>
    <w:rsid w:val="30DF243B"/>
    <w:rsid w:val="30DF5CBE"/>
    <w:rsid w:val="30DF7E9D"/>
    <w:rsid w:val="30E03740"/>
    <w:rsid w:val="30E038CF"/>
    <w:rsid w:val="30E06BCF"/>
    <w:rsid w:val="30E16343"/>
    <w:rsid w:val="30E346C5"/>
    <w:rsid w:val="30E359E7"/>
    <w:rsid w:val="30E42146"/>
    <w:rsid w:val="30E468C3"/>
    <w:rsid w:val="30E47124"/>
    <w:rsid w:val="30E54344"/>
    <w:rsid w:val="30E57BC8"/>
    <w:rsid w:val="30E57CC3"/>
    <w:rsid w:val="30E65649"/>
    <w:rsid w:val="30E71077"/>
    <w:rsid w:val="30E730CB"/>
    <w:rsid w:val="30E852C9"/>
    <w:rsid w:val="30E965CE"/>
    <w:rsid w:val="30EA404F"/>
    <w:rsid w:val="30EB1AD1"/>
    <w:rsid w:val="30EB3D2E"/>
    <w:rsid w:val="30EB3EF2"/>
    <w:rsid w:val="30EB624E"/>
    <w:rsid w:val="30EC4708"/>
    <w:rsid w:val="30EC7553"/>
    <w:rsid w:val="30ED2F06"/>
    <w:rsid w:val="30EE2A56"/>
    <w:rsid w:val="30EE4C54"/>
    <w:rsid w:val="30EE71D2"/>
    <w:rsid w:val="30EF0E8C"/>
    <w:rsid w:val="30EF26D5"/>
    <w:rsid w:val="30EF681F"/>
    <w:rsid w:val="30EF69E4"/>
    <w:rsid w:val="30F00157"/>
    <w:rsid w:val="30F05F59"/>
    <w:rsid w:val="30F139DA"/>
    <w:rsid w:val="30F2145C"/>
    <w:rsid w:val="30F2365A"/>
    <w:rsid w:val="30F42A4E"/>
    <w:rsid w:val="30F46B5D"/>
    <w:rsid w:val="30F5164D"/>
    <w:rsid w:val="30F523E0"/>
    <w:rsid w:val="30F535ED"/>
    <w:rsid w:val="30F545DF"/>
    <w:rsid w:val="30F63FC7"/>
    <w:rsid w:val="30F67E62"/>
    <w:rsid w:val="30F73365"/>
    <w:rsid w:val="30F77AE2"/>
    <w:rsid w:val="30F92FE5"/>
    <w:rsid w:val="30F93D50"/>
    <w:rsid w:val="30F962A3"/>
    <w:rsid w:val="30F96868"/>
    <w:rsid w:val="30FA0A66"/>
    <w:rsid w:val="30FB1D6B"/>
    <w:rsid w:val="30FB552D"/>
    <w:rsid w:val="30FC4781"/>
    <w:rsid w:val="30FC4AEC"/>
    <w:rsid w:val="30FC51C2"/>
    <w:rsid w:val="30FD0607"/>
    <w:rsid w:val="30FD19EB"/>
    <w:rsid w:val="30FD3EF5"/>
    <w:rsid w:val="30FE230E"/>
    <w:rsid w:val="30FE2A72"/>
    <w:rsid w:val="30FE2CF0"/>
    <w:rsid w:val="30FF0771"/>
    <w:rsid w:val="30FF4EEE"/>
    <w:rsid w:val="31003887"/>
    <w:rsid w:val="310061F3"/>
    <w:rsid w:val="310103F1"/>
    <w:rsid w:val="31013C75"/>
    <w:rsid w:val="310338F4"/>
    <w:rsid w:val="3103706A"/>
    <w:rsid w:val="31037178"/>
    <w:rsid w:val="31041376"/>
    <w:rsid w:val="31044BF9"/>
    <w:rsid w:val="31056DF8"/>
    <w:rsid w:val="310600FC"/>
    <w:rsid w:val="310622FB"/>
    <w:rsid w:val="31077D7C"/>
    <w:rsid w:val="310811F3"/>
    <w:rsid w:val="310857FE"/>
    <w:rsid w:val="3109327F"/>
    <w:rsid w:val="310A276C"/>
    <w:rsid w:val="310B3EA9"/>
    <w:rsid w:val="310B4584"/>
    <w:rsid w:val="310C2006"/>
    <w:rsid w:val="310D1C85"/>
    <w:rsid w:val="310D5422"/>
    <w:rsid w:val="310D7A87"/>
    <w:rsid w:val="310E2F8A"/>
    <w:rsid w:val="310E5509"/>
    <w:rsid w:val="310E5DFD"/>
    <w:rsid w:val="310E7707"/>
    <w:rsid w:val="310F5189"/>
    <w:rsid w:val="31102C0A"/>
    <w:rsid w:val="31137412"/>
    <w:rsid w:val="31152915"/>
    <w:rsid w:val="31152A06"/>
    <w:rsid w:val="31160397"/>
    <w:rsid w:val="311635A4"/>
    <w:rsid w:val="31175E18"/>
    <w:rsid w:val="3118389A"/>
    <w:rsid w:val="31191C5C"/>
    <w:rsid w:val="31192501"/>
    <w:rsid w:val="311A0623"/>
    <w:rsid w:val="311A07D9"/>
    <w:rsid w:val="311A6D9D"/>
    <w:rsid w:val="311B7355"/>
    <w:rsid w:val="311C22A0"/>
    <w:rsid w:val="311D7D22"/>
    <w:rsid w:val="311E2ED7"/>
    <w:rsid w:val="311F22C5"/>
    <w:rsid w:val="311F3225"/>
    <w:rsid w:val="31202E64"/>
    <w:rsid w:val="31216728"/>
    <w:rsid w:val="3122386B"/>
    <w:rsid w:val="31231C2B"/>
    <w:rsid w:val="3125512E"/>
    <w:rsid w:val="312566B9"/>
    <w:rsid w:val="312760B3"/>
    <w:rsid w:val="31283B34"/>
    <w:rsid w:val="31283BAD"/>
    <w:rsid w:val="312915B6"/>
    <w:rsid w:val="31291B85"/>
    <w:rsid w:val="31291E9E"/>
    <w:rsid w:val="312A4E39"/>
    <w:rsid w:val="312B28BA"/>
    <w:rsid w:val="312B4AB9"/>
    <w:rsid w:val="312C3C9C"/>
    <w:rsid w:val="312D5DBE"/>
    <w:rsid w:val="312F6D42"/>
    <w:rsid w:val="31306953"/>
    <w:rsid w:val="31312245"/>
    <w:rsid w:val="313169C2"/>
    <w:rsid w:val="31327CC7"/>
    <w:rsid w:val="31327ECB"/>
    <w:rsid w:val="31330A6A"/>
    <w:rsid w:val="31335748"/>
    <w:rsid w:val="313421A7"/>
    <w:rsid w:val="313431CA"/>
    <w:rsid w:val="31347947"/>
    <w:rsid w:val="31350C4C"/>
    <w:rsid w:val="31352B82"/>
    <w:rsid w:val="313553C8"/>
    <w:rsid w:val="31362E4A"/>
    <w:rsid w:val="3136355C"/>
    <w:rsid w:val="3136601F"/>
    <w:rsid w:val="313708CB"/>
    <w:rsid w:val="3137414F"/>
    <w:rsid w:val="31375428"/>
    <w:rsid w:val="31383DEF"/>
    <w:rsid w:val="31384C99"/>
    <w:rsid w:val="3138634D"/>
    <w:rsid w:val="31393DCE"/>
    <w:rsid w:val="31395673"/>
    <w:rsid w:val="31397652"/>
    <w:rsid w:val="313A1850"/>
    <w:rsid w:val="313B6BEC"/>
    <w:rsid w:val="313C05D6"/>
    <w:rsid w:val="313E0D04"/>
    <w:rsid w:val="314011DB"/>
    <w:rsid w:val="31406FDD"/>
    <w:rsid w:val="31414A5E"/>
    <w:rsid w:val="314224E0"/>
    <w:rsid w:val="314239BA"/>
    <w:rsid w:val="314246DE"/>
    <w:rsid w:val="31437F61"/>
    <w:rsid w:val="31460CCA"/>
    <w:rsid w:val="31460EE6"/>
    <w:rsid w:val="314630E4"/>
    <w:rsid w:val="31466937"/>
    <w:rsid w:val="3146704B"/>
    <w:rsid w:val="31467379"/>
    <w:rsid w:val="314676E4"/>
    <w:rsid w:val="3147219B"/>
    <w:rsid w:val="31480788"/>
    <w:rsid w:val="31481E6B"/>
    <w:rsid w:val="31491162"/>
    <w:rsid w:val="314A1AEA"/>
    <w:rsid w:val="314A536E"/>
    <w:rsid w:val="314B756C"/>
    <w:rsid w:val="314C0871"/>
    <w:rsid w:val="314C4FED"/>
    <w:rsid w:val="314D2A6F"/>
    <w:rsid w:val="314D3E18"/>
    <w:rsid w:val="314E3D74"/>
    <w:rsid w:val="3150690A"/>
    <w:rsid w:val="31514CF8"/>
    <w:rsid w:val="315174A9"/>
    <w:rsid w:val="3152277A"/>
    <w:rsid w:val="31530A22"/>
    <w:rsid w:val="31532AB8"/>
    <w:rsid w:val="31534978"/>
    <w:rsid w:val="315415C0"/>
    <w:rsid w:val="315536FF"/>
    <w:rsid w:val="31561929"/>
    <w:rsid w:val="315619EE"/>
    <w:rsid w:val="31562B39"/>
    <w:rsid w:val="315658FD"/>
    <w:rsid w:val="31570E00"/>
    <w:rsid w:val="3157337F"/>
    <w:rsid w:val="315840B2"/>
    <w:rsid w:val="31584683"/>
    <w:rsid w:val="315869BA"/>
    <w:rsid w:val="315A562B"/>
    <w:rsid w:val="315A57EF"/>
    <w:rsid w:val="315B7806"/>
    <w:rsid w:val="315C308A"/>
    <w:rsid w:val="315C449C"/>
    <w:rsid w:val="315C5288"/>
    <w:rsid w:val="315D0B0B"/>
    <w:rsid w:val="315E078B"/>
    <w:rsid w:val="315E0E80"/>
    <w:rsid w:val="315E658D"/>
    <w:rsid w:val="315F1A90"/>
    <w:rsid w:val="316025BD"/>
    <w:rsid w:val="31607511"/>
    <w:rsid w:val="31612F97"/>
    <w:rsid w:val="31622A14"/>
    <w:rsid w:val="31623972"/>
    <w:rsid w:val="31627191"/>
    <w:rsid w:val="31634C13"/>
    <w:rsid w:val="31642694"/>
    <w:rsid w:val="31653999"/>
    <w:rsid w:val="31665B97"/>
    <w:rsid w:val="31666628"/>
    <w:rsid w:val="31687D65"/>
    <w:rsid w:val="31696B1C"/>
    <w:rsid w:val="316B62D0"/>
    <w:rsid w:val="316C3324"/>
    <w:rsid w:val="316C7AA1"/>
    <w:rsid w:val="316D0DA5"/>
    <w:rsid w:val="316D3DD0"/>
    <w:rsid w:val="316D5522"/>
    <w:rsid w:val="316E496E"/>
    <w:rsid w:val="316F0A25"/>
    <w:rsid w:val="316F5349"/>
    <w:rsid w:val="31701D2A"/>
    <w:rsid w:val="31703F28"/>
    <w:rsid w:val="31705EE7"/>
    <w:rsid w:val="31707C28"/>
    <w:rsid w:val="317119AA"/>
    <w:rsid w:val="31716A86"/>
    <w:rsid w:val="317177AC"/>
    <w:rsid w:val="3172522D"/>
    <w:rsid w:val="3172742B"/>
    <w:rsid w:val="31727460"/>
    <w:rsid w:val="31732CAF"/>
    <w:rsid w:val="31740730"/>
    <w:rsid w:val="317409D9"/>
    <w:rsid w:val="3174292F"/>
    <w:rsid w:val="31751578"/>
    <w:rsid w:val="31765E32"/>
    <w:rsid w:val="31772CB5"/>
    <w:rsid w:val="31794069"/>
    <w:rsid w:val="317A063D"/>
    <w:rsid w:val="317B5B3D"/>
    <w:rsid w:val="317B6345"/>
    <w:rsid w:val="317C6EE4"/>
    <w:rsid w:val="317E6AC1"/>
    <w:rsid w:val="317F0FFC"/>
    <w:rsid w:val="317F180E"/>
    <w:rsid w:val="317F4543"/>
    <w:rsid w:val="31800A61"/>
    <w:rsid w:val="31817A46"/>
    <w:rsid w:val="31822F4F"/>
    <w:rsid w:val="318254C8"/>
    <w:rsid w:val="31832F49"/>
    <w:rsid w:val="318409CB"/>
    <w:rsid w:val="3184468C"/>
    <w:rsid w:val="3185644C"/>
    <w:rsid w:val="31865C05"/>
    <w:rsid w:val="3187194F"/>
    <w:rsid w:val="31887D1C"/>
    <w:rsid w:val="31894E52"/>
    <w:rsid w:val="318A10D1"/>
    <w:rsid w:val="318A28D4"/>
    <w:rsid w:val="318B0355"/>
    <w:rsid w:val="318D33AD"/>
    <w:rsid w:val="318E12DA"/>
    <w:rsid w:val="318E3ACA"/>
    <w:rsid w:val="31900060"/>
    <w:rsid w:val="3190225F"/>
    <w:rsid w:val="31923564"/>
    <w:rsid w:val="31925762"/>
    <w:rsid w:val="319331E3"/>
    <w:rsid w:val="319375DC"/>
    <w:rsid w:val="31940C65"/>
    <w:rsid w:val="31950990"/>
    <w:rsid w:val="3195152F"/>
    <w:rsid w:val="319516F4"/>
    <w:rsid w:val="319544E8"/>
    <w:rsid w:val="319566E7"/>
    <w:rsid w:val="31961F6A"/>
    <w:rsid w:val="3196684B"/>
    <w:rsid w:val="31972AA8"/>
    <w:rsid w:val="31972C6C"/>
    <w:rsid w:val="3197546D"/>
    <w:rsid w:val="31982EEE"/>
    <w:rsid w:val="31983647"/>
    <w:rsid w:val="3198380B"/>
    <w:rsid w:val="31990970"/>
    <w:rsid w:val="319A4BC0"/>
    <w:rsid w:val="319B05F0"/>
    <w:rsid w:val="319C18F5"/>
    <w:rsid w:val="319D7376"/>
    <w:rsid w:val="319E4598"/>
    <w:rsid w:val="319F2879"/>
    <w:rsid w:val="319F6FF6"/>
    <w:rsid w:val="31A002FB"/>
    <w:rsid w:val="31A04A78"/>
    <w:rsid w:val="31A06F23"/>
    <w:rsid w:val="31A1198D"/>
    <w:rsid w:val="31A124F9"/>
    <w:rsid w:val="31A15D7C"/>
    <w:rsid w:val="31A22367"/>
    <w:rsid w:val="31A2252C"/>
    <w:rsid w:val="31A237FE"/>
    <w:rsid w:val="31A27F7B"/>
    <w:rsid w:val="31A32F06"/>
    <w:rsid w:val="31A41E31"/>
    <w:rsid w:val="31A4347E"/>
    <w:rsid w:val="31A46D01"/>
    <w:rsid w:val="31A50EFF"/>
    <w:rsid w:val="31A551E2"/>
    <w:rsid w:val="31A62204"/>
    <w:rsid w:val="31A74402"/>
    <w:rsid w:val="31A77C86"/>
    <w:rsid w:val="31A81E84"/>
    <w:rsid w:val="31A87524"/>
    <w:rsid w:val="31A93189"/>
    <w:rsid w:val="31AA2E09"/>
    <w:rsid w:val="31AC1DEB"/>
    <w:rsid w:val="31AC410D"/>
    <w:rsid w:val="31AC796C"/>
    <w:rsid w:val="31AD1B8F"/>
    <w:rsid w:val="31AD669F"/>
    <w:rsid w:val="31AE7611"/>
    <w:rsid w:val="31B00595"/>
    <w:rsid w:val="31B0547C"/>
    <w:rsid w:val="31B12793"/>
    <w:rsid w:val="31B15E56"/>
    <w:rsid w:val="31B16017"/>
    <w:rsid w:val="31B20D48"/>
    <w:rsid w:val="31B23A98"/>
    <w:rsid w:val="31B269F5"/>
    <w:rsid w:val="31B3766D"/>
    <w:rsid w:val="31B46F9B"/>
    <w:rsid w:val="31B47F6E"/>
    <w:rsid w:val="31B54A1D"/>
    <w:rsid w:val="31B6249E"/>
    <w:rsid w:val="31B66C1B"/>
    <w:rsid w:val="31B72085"/>
    <w:rsid w:val="31B77F20"/>
    <w:rsid w:val="31B82709"/>
    <w:rsid w:val="31B859A2"/>
    <w:rsid w:val="31B935FE"/>
    <w:rsid w:val="31B97BA0"/>
    <w:rsid w:val="31BA18BD"/>
    <w:rsid w:val="31BA5621"/>
    <w:rsid w:val="31BB30A3"/>
    <w:rsid w:val="31BC5716"/>
    <w:rsid w:val="31BD23A5"/>
    <w:rsid w:val="31BE4028"/>
    <w:rsid w:val="31BF1021"/>
    <w:rsid w:val="31BF1AA9"/>
    <w:rsid w:val="31C04FAC"/>
    <w:rsid w:val="31C0752B"/>
    <w:rsid w:val="31C11945"/>
    <w:rsid w:val="31C12A2E"/>
    <w:rsid w:val="31C262B1"/>
    <w:rsid w:val="31C33D33"/>
    <w:rsid w:val="31C417B4"/>
    <w:rsid w:val="31C43A5C"/>
    <w:rsid w:val="31C51434"/>
    <w:rsid w:val="31C545FB"/>
    <w:rsid w:val="31C57236"/>
    <w:rsid w:val="31C64CB7"/>
    <w:rsid w:val="31C64FD5"/>
    <w:rsid w:val="31C6519A"/>
    <w:rsid w:val="31C66EB6"/>
    <w:rsid w:val="31C72739"/>
    <w:rsid w:val="31C801BA"/>
    <w:rsid w:val="31C823B9"/>
    <w:rsid w:val="31C85C3C"/>
    <w:rsid w:val="31C9409A"/>
    <w:rsid w:val="31C97E3A"/>
    <w:rsid w:val="31CA58BC"/>
    <w:rsid w:val="31CB0666"/>
    <w:rsid w:val="31CB333D"/>
    <w:rsid w:val="31CC0DBF"/>
    <w:rsid w:val="31CC1DA3"/>
    <w:rsid w:val="31CC4642"/>
    <w:rsid w:val="31CD20C4"/>
    <w:rsid w:val="31CD277D"/>
    <w:rsid w:val="31CE7B45"/>
    <w:rsid w:val="31D03048"/>
    <w:rsid w:val="31D05482"/>
    <w:rsid w:val="31D10ACA"/>
    <w:rsid w:val="31D15247"/>
    <w:rsid w:val="31D22CC8"/>
    <w:rsid w:val="31D2654B"/>
    <w:rsid w:val="31D3074A"/>
    <w:rsid w:val="31D33FCD"/>
    <w:rsid w:val="31D350D8"/>
    <w:rsid w:val="31D4754B"/>
    <w:rsid w:val="31D53C4D"/>
    <w:rsid w:val="31D574D0"/>
    <w:rsid w:val="31D64F52"/>
    <w:rsid w:val="31D729D3"/>
    <w:rsid w:val="31D77150"/>
    <w:rsid w:val="31D82653"/>
    <w:rsid w:val="31D84BD1"/>
    <w:rsid w:val="31D95ED6"/>
    <w:rsid w:val="31DA3958"/>
    <w:rsid w:val="31DA4319"/>
    <w:rsid w:val="31DA5B56"/>
    <w:rsid w:val="31DC1059"/>
    <w:rsid w:val="31DC56CD"/>
    <w:rsid w:val="31DC5891"/>
    <w:rsid w:val="31DD48DC"/>
    <w:rsid w:val="31DE235E"/>
    <w:rsid w:val="31DF79A9"/>
    <w:rsid w:val="31DF7DE0"/>
    <w:rsid w:val="31E00548"/>
    <w:rsid w:val="31E032E3"/>
    <w:rsid w:val="31E267E6"/>
    <w:rsid w:val="31E41239"/>
    <w:rsid w:val="31E42E75"/>
    <w:rsid w:val="31E5776A"/>
    <w:rsid w:val="31E645B2"/>
    <w:rsid w:val="31E651EC"/>
    <w:rsid w:val="31E72C6D"/>
    <w:rsid w:val="31E74F8D"/>
    <w:rsid w:val="31EB1674"/>
    <w:rsid w:val="31EC11BC"/>
    <w:rsid w:val="31EE28F9"/>
    <w:rsid w:val="31EF007A"/>
    <w:rsid w:val="31EF3881"/>
    <w:rsid w:val="31F05AFB"/>
    <w:rsid w:val="31F1357D"/>
    <w:rsid w:val="31F1484C"/>
    <w:rsid w:val="31F14A11"/>
    <w:rsid w:val="31F20FFF"/>
    <w:rsid w:val="31F340BE"/>
    <w:rsid w:val="31F3494A"/>
    <w:rsid w:val="31F36A80"/>
    <w:rsid w:val="31F43311"/>
    <w:rsid w:val="31F44502"/>
    <w:rsid w:val="31F4557C"/>
    <w:rsid w:val="31F51F83"/>
    <w:rsid w:val="31F63288"/>
    <w:rsid w:val="31F67A05"/>
    <w:rsid w:val="31F80989"/>
    <w:rsid w:val="31F82F08"/>
    <w:rsid w:val="31F8678B"/>
    <w:rsid w:val="31F9640B"/>
    <w:rsid w:val="31FA1C8E"/>
    <w:rsid w:val="31FB7710"/>
    <w:rsid w:val="31FC7390"/>
    <w:rsid w:val="31FE3C23"/>
    <w:rsid w:val="31FF0314"/>
    <w:rsid w:val="32003B98"/>
    <w:rsid w:val="32005D96"/>
    <w:rsid w:val="3201033B"/>
    <w:rsid w:val="32013817"/>
    <w:rsid w:val="32016F71"/>
    <w:rsid w:val="32021299"/>
    <w:rsid w:val="32021A78"/>
    <w:rsid w:val="320318B4"/>
    <w:rsid w:val="32035AEE"/>
    <w:rsid w:val="3204001F"/>
    <w:rsid w:val="32055AA1"/>
    <w:rsid w:val="32063522"/>
    <w:rsid w:val="3206472E"/>
    <w:rsid w:val="32067C9F"/>
    <w:rsid w:val="320831A2"/>
    <w:rsid w:val="32090C24"/>
    <w:rsid w:val="320944A7"/>
    <w:rsid w:val="320A66A5"/>
    <w:rsid w:val="320B4127"/>
    <w:rsid w:val="320C542C"/>
    <w:rsid w:val="320D2EAD"/>
    <w:rsid w:val="320E1ED6"/>
    <w:rsid w:val="320E50AB"/>
    <w:rsid w:val="320E6283"/>
    <w:rsid w:val="320F2B2D"/>
    <w:rsid w:val="32106030"/>
    <w:rsid w:val="32113E29"/>
    <w:rsid w:val="321149C8"/>
    <w:rsid w:val="321150C9"/>
    <w:rsid w:val="32120641"/>
    <w:rsid w:val="32127335"/>
    <w:rsid w:val="32144A36"/>
    <w:rsid w:val="32146ADF"/>
    <w:rsid w:val="3215767E"/>
    <w:rsid w:val="32166D38"/>
    <w:rsid w:val="32167F39"/>
    <w:rsid w:val="321759BB"/>
    <w:rsid w:val="321815D1"/>
    <w:rsid w:val="3218343D"/>
    <w:rsid w:val="32186CC0"/>
    <w:rsid w:val="32194741"/>
    <w:rsid w:val="321A21C3"/>
    <w:rsid w:val="321A2B4A"/>
    <w:rsid w:val="321A6940"/>
    <w:rsid w:val="321B38AD"/>
    <w:rsid w:val="321C4287"/>
    <w:rsid w:val="321C56C6"/>
    <w:rsid w:val="321D3148"/>
    <w:rsid w:val="321D78C4"/>
    <w:rsid w:val="321E0BC9"/>
    <w:rsid w:val="321E639F"/>
    <w:rsid w:val="321F2DC7"/>
    <w:rsid w:val="321F3334"/>
    <w:rsid w:val="321F664B"/>
    <w:rsid w:val="321F6F3E"/>
    <w:rsid w:val="32201990"/>
    <w:rsid w:val="32211B4E"/>
    <w:rsid w:val="322162CA"/>
    <w:rsid w:val="32223D4C"/>
    <w:rsid w:val="322275CF"/>
    <w:rsid w:val="32231A2F"/>
    <w:rsid w:val="32235051"/>
    <w:rsid w:val="32242AD2"/>
    <w:rsid w:val="3224724F"/>
    <w:rsid w:val="32250554"/>
    <w:rsid w:val="32262752"/>
    <w:rsid w:val="32273A57"/>
    <w:rsid w:val="32274521"/>
    <w:rsid w:val="32291158"/>
    <w:rsid w:val="322936D7"/>
    <w:rsid w:val="32295C5F"/>
    <w:rsid w:val="322A49DC"/>
    <w:rsid w:val="322A6639"/>
    <w:rsid w:val="322A67FD"/>
    <w:rsid w:val="322A6BDA"/>
    <w:rsid w:val="322B7D76"/>
    <w:rsid w:val="322C0750"/>
    <w:rsid w:val="322C20DD"/>
    <w:rsid w:val="322C7BB2"/>
    <w:rsid w:val="322D7B5F"/>
    <w:rsid w:val="322E55E0"/>
    <w:rsid w:val="322F0E63"/>
    <w:rsid w:val="32300AE3"/>
    <w:rsid w:val="32311DE8"/>
    <w:rsid w:val="32314367"/>
    <w:rsid w:val="32316565"/>
    <w:rsid w:val="32331A68"/>
    <w:rsid w:val="32342D6D"/>
    <w:rsid w:val="323474E9"/>
    <w:rsid w:val="323507EE"/>
    <w:rsid w:val="32356A97"/>
    <w:rsid w:val="323629ED"/>
    <w:rsid w:val="32367471"/>
    <w:rsid w:val="3237046E"/>
    <w:rsid w:val="32380BAE"/>
    <w:rsid w:val="32381773"/>
    <w:rsid w:val="32385EF0"/>
    <w:rsid w:val="323922EC"/>
    <w:rsid w:val="323971F4"/>
    <w:rsid w:val="323A4C76"/>
    <w:rsid w:val="323B0659"/>
    <w:rsid w:val="323B2B02"/>
    <w:rsid w:val="323C0179"/>
    <w:rsid w:val="323C48F6"/>
    <w:rsid w:val="323C7542"/>
    <w:rsid w:val="323C76F7"/>
    <w:rsid w:val="323D2377"/>
    <w:rsid w:val="323D4C19"/>
    <w:rsid w:val="323D5BFB"/>
    <w:rsid w:val="323E367C"/>
    <w:rsid w:val="323E7DF9"/>
    <w:rsid w:val="323F10FE"/>
    <w:rsid w:val="32400B34"/>
    <w:rsid w:val="324032FC"/>
    <w:rsid w:val="32406EF5"/>
    <w:rsid w:val="32410D7E"/>
    <w:rsid w:val="32414601"/>
    <w:rsid w:val="32422082"/>
    <w:rsid w:val="32424281"/>
    <w:rsid w:val="3243091B"/>
    <w:rsid w:val="3243100D"/>
    <w:rsid w:val="32437B04"/>
    <w:rsid w:val="32453007"/>
    <w:rsid w:val="32460A89"/>
    <w:rsid w:val="3247650A"/>
    <w:rsid w:val="324814E0"/>
    <w:rsid w:val="32483F8C"/>
    <w:rsid w:val="32485077"/>
    <w:rsid w:val="324A4F10"/>
    <w:rsid w:val="324A65F0"/>
    <w:rsid w:val="324A67B5"/>
    <w:rsid w:val="324B2992"/>
    <w:rsid w:val="324C037B"/>
    <w:rsid w:val="324C0413"/>
    <w:rsid w:val="324D0708"/>
    <w:rsid w:val="324D5E95"/>
    <w:rsid w:val="324E146B"/>
    <w:rsid w:val="324E704B"/>
    <w:rsid w:val="324F1398"/>
    <w:rsid w:val="3252231D"/>
    <w:rsid w:val="32523D98"/>
    <w:rsid w:val="325454D5"/>
    <w:rsid w:val="32545820"/>
    <w:rsid w:val="325532A1"/>
    <w:rsid w:val="32555EB0"/>
    <w:rsid w:val="32556A4E"/>
    <w:rsid w:val="325675ED"/>
    <w:rsid w:val="32580B66"/>
    <w:rsid w:val="32591CA8"/>
    <w:rsid w:val="325A3ABA"/>
    <w:rsid w:val="325B51AB"/>
    <w:rsid w:val="325C2C2C"/>
    <w:rsid w:val="325C381C"/>
    <w:rsid w:val="325C64B0"/>
    <w:rsid w:val="325D06AE"/>
    <w:rsid w:val="325D3F31"/>
    <w:rsid w:val="325D43BB"/>
    <w:rsid w:val="325D6EB5"/>
    <w:rsid w:val="325F7434"/>
    <w:rsid w:val="326064D2"/>
    <w:rsid w:val="32614B36"/>
    <w:rsid w:val="326170B4"/>
    <w:rsid w:val="326205EA"/>
    <w:rsid w:val="32640E00"/>
    <w:rsid w:val="32660FBD"/>
    <w:rsid w:val="32662F17"/>
    <w:rsid w:val="326630DC"/>
    <w:rsid w:val="32666DBF"/>
    <w:rsid w:val="32674841"/>
    <w:rsid w:val="32676A3F"/>
    <w:rsid w:val="326773AF"/>
    <w:rsid w:val="326822C2"/>
    <w:rsid w:val="326844C0"/>
    <w:rsid w:val="326867B8"/>
    <w:rsid w:val="326951F3"/>
    <w:rsid w:val="326957C5"/>
    <w:rsid w:val="326A3247"/>
    <w:rsid w:val="326B5445"/>
    <w:rsid w:val="326B7E18"/>
    <w:rsid w:val="326C2EC7"/>
    <w:rsid w:val="326C674A"/>
    <w:rsid w:val="326C730B"/>
    <w:rsid w:val="326D0948"/>
    <w:rsid w:val="326E6078"/>
    <w:rsid w:val="326E63CA"/>
    <w:rsid w:val="327018CD"/>
    <w:rsid w:val="3270299B"/>
    <w:rsid w:val="32705150"/>
    <w:rsid w:val="32712BD2"/>
    <w:rsid w:val="32713375"/>
    <w:rsid w:val="32720653"/>
    <w:rsid w:val="32724DD0"/>
    <w:rsid w:val="327348EE"/>
    <w:rsid w:val="327360D5"/>
    <w:rsid w:val="32743B56"/>
    <w:rsid w:val="32751B8C"/>
    <w:rsid w:val="32755D55"/>
    <w:rsid w:val="3276166B"/>
    <w:rsid w:val="327637D6"/>
    <w:rsid w:val="32767059"/>
    <w:rsid w:val="32771258"/>
    <w:rsid w:val="327775A4"/>
    <w:rsid w:val="327834C8"/>
    <w:rsid w:val="32787B12"/>
    <w:rsid w:val="327921DC"/>
    <w:rsid w:val="3279475B"/>
    <w:rsid w:val="32797FDE"/>
    <w:rsid w:val="327A5A60"/>
    <w:rsid w:val="327A7C5E"/>
    <w:rsid w:val="327B34E1"/>
    <w:rsid w:val="327C0F63"/>
    <w:rsid w:val="327C2DF9"/>
    <w:rsid w:val="327C3161"/>
    <w:rsid w:val="327D37D4"/>
    <w:rsid w:val="327E41AE"/>
    <w:rsid w:val="327E4466"/>
    <w:rsid w:val="327E4F11"/>
    <w:rsid w:val="327F40E6"/>
    <w:rsid w:val="327F58EB"/>
    <w:rsid w:val="32801B67"/>
    <w:rsid w:val="32807969"/>
    <w:rsid w:val="32812E6C"/>
    <w:rsid w:val="328175E9"/>
    <w:rsid w:val="328208EE"/>
    <w:rsid w:val="3282506A"/>
    <w:rsid w:val="32827A03"/>
    <w:rsid w:val="32832AEC"/>
    <w:rsid w:val="3283636F"/>
    <w:rsid w:val="3284056D"/>
    <w:rsid w:val="32843928"/>
    <w:rsid w:val="32843DF1"/>
    <w:rsid w:val="3285185B"/>
    <w:rsid w:val="32851872"/>
    <w:rsid w:val="328622EF"/>
    <w:rsid w:val="32863A70"/>
    <w:rsid w:val="328714F2"/>
    <w:rsid w:val="32874D75"/>
    <w:rsid w:val="328827F7"/>
    <w:rsid w:val="32886F74"/>
    <w:rsid w:val="32890278"/>
    <w:rsid w:val="3289460C"/>
    <w:rsid w:val="328947D0"/>
    <w:rsid w:val="328B7EF8"/>
    <w:rsid w:val="328D6C7F"/>
    <w:rsid w:val="328E0E7D"/>
    <w:rsid w:val="328E4700"/>
    <w:rsid w:val="328F13DA"/>
    <w:rsid w:val="328F68FE"/>
    <w:rsid w:val="32904380"/>
    <w:rsid w:val="32912953"/>
    <w:rsid w:val="32915685"/>
    <w:rsid w:val="32923106"/>
    <w:rsid w:val="3292332D"/>
    <w:rsid w:val="329234F1"/>
    <w:rsid w:val="32925305"/>
    <w:rsid w:val="32927883"/>
    <w:rsid w:val="32930B88"/>
    <w:rsid w:val="32932D86"/>
    <w:rsid w:val="32934410"/>
    <w:rsid w:val="32940808"/>
    <w:rsid w:val="32944C82"/>
    <w:rsid w:val="32955444"/>
    <w:rsid w:val="32956289"/>
    <w:rsid w:val="32961B0D"/>
    <w:rsid w:val="3297178C"/>
    <w:rsid w:val="3298504C"/>
    <w:rsid w:val="329900FB"/>
    <w:rsid w:val="32990513"/>
    <w:rsid w:val="32994C8F"/>
    <w:rsid w:val="329A1673"/>
    <w:rsid w:val="329A2711"/>
    <w:rsid w:val="329A5F94"/>
    <w:rsid w:val="329B0193"/>
    <w:rsid w:val="329C1497"/>
    <w:rsid w:val="329D6F19"/>
    <w:rsid w:val="329E4165"/>
    <w:rsid w:val="329E6876"/>
    <w:rsid w:val="329F241C"/>
    <w:rsid w:val="329F6B99"/>
    <w:rsid w:val="32A07E9E"/>
    <w:rsid w:val="32A1591F"/>
    <w:rsid w:val="32A233A1"/>
    <w:rsid w:val="32A26E1B"/>
    <w:rsid w:val="32A27B1D"/>
    <w:rsid w:val="32A36868"/>
    <w:rsid w:val="32A468A4"/>
    <w:rsid w:val="32A50AA2"/>
    <w:rsid w:val="32A54325"/>
    <w:rsid w:val="32A66524"/>
    <w:rsid w:val="32A724AC"/>
    <w:rsid w:val="32A73FA5"/>
    <w:rsid w:val="32A74A94"/>
    <w:rsid w:val="32A81A27"/>
    <w:rsid w:val="32A852AA"/>
    <w:rsid w:val="32A974A8"/>
    <w:rsid w:val="32AA07AD"/>
    <w:rsid w:val="32AB12E7"/>
    <w:rsid w:val="32AC3CB0"/>
    <w:rsid w:val="32AD1732"/>
    <w:rsid w:val="32AE71B3"/>
    <w:rsid w:val="32AF09B7"/>
    <w:rsid w:val="32B10138"/>
    <w:rsid w:val="32B118D1"/>
    <w:rsid w:val="32B11FA7"/>
    <w:rsid w:val="32B25BB9"/>
    <w:rsid w:val="32B43E83"/>
    <w:rsid w:val="32B46B3E"/>
    <w:rsid w:val="32B653FC"/>
    <w:rsid w:val="32B76B39"/>
    <w:rsid w:val="32B77AC3"/>
    <w:rsid w:val="32B92FC6"/>
    <w:rsid w:val="32BA0A47"/>
    <w:rsid w:val="32BB64C9"/>
    <w:rsid w:val="32BC3F4B"/>
    <w:rsid w:val="32BD19CC"/>
    <w:rsid w:val="32BD2BA4"/>
    <w:rsid w:val="32BE744E"/>
    <w:rsid w:val="32BF42E1"/>
    <w:rsid w:val="32BF4CA5"/>
    <w:rsid w:val="32C03301"/>
    <w:rsid w:val="32C034B7"/>
    <w:rsid w:val="32C1585A"/>
    <w:rsid w:val="32C338D5"/>
    <w:rsid w:val="32C37159"/>
    <w:rsid w:val="32C41357"/>
    <w:rsid w:val="32C44BDA"/>
    <w:rsid w:val="32C5265C"/>
    <w:rsid w:val="32C56DD8"/>
    <w:rsid w:val="32C722DC"/>
    <w:rsid w:val="32C83002"/>
    <w:rsid w:val="32C835E0"/>
    <w:rsid w:val="32C94540"/>
    <w:rsid w:val="32CA6AE3"/>
    <w:rsid w:val="32CB4565"/>
    <w:rsid w:val="32CC1FE7"/>
    <w:rsid w:val="32CC41E5"/>
    <w:rsid w:val="32CD1C66"/>
    <w:rsid w:val="32CD7638"/>
    <w:rsid w:val="32CE54EA"/>
    <w:rsid w:val="32CE66D5"/>
    <w:rsid w:val="32CE76E8"/>
    <w:rsid w:val="32CF2F6B"/>
    <w:rsid w:val="32CF509C"/>
    <w:rsid w:val="32CF5169"/>
    <w:rsid w:val="32CF5E49"/>
    <w:rsid w:val="32D007AA"/>
    <w:rsid w:val="32D009ED"/>
    <w:rsid w:val="32D1066D"/>
    <w:rsid w:val="32D11EE7"/>
    <w:rsid w:val="32D1646E"/>
    <w:rsid w:val="32D260EE"/>
    <w:rsid w:val="32D64AF4"/>
    <w:rsid w:val="32D65578"/>
    <w:rsid w:val="32D70A63"/>
    <w:rsid w:val="32D72576"/>
    <w:rsid w:val="32D75DF9"/>
    <w:rsid w:val="32D87FF7"/>
    <w:rsid w:val="32D9768F"/>
    <w:rsid w:val="32DA0069"/>
    <w:rsid w:val="32DA34FB"/>
    <w:rsid w:val="32DA6D7E"/>
    <w:rsid w:val="32DB1FCA"/>
    <w:rsid w:val="32DC17A7"/>
    <w:rsid w:val="32DD0626"/>
    <w:rsid w:val="32DD3E24"/>
    <w:rsid w:val="32DE1F01"/>
    <w:rsid w:val="32DE7359"/>
    <w:rsid w:val="32DF445D"/>
    <w:rsid w:val="32DF7982"/>
    <w:rsid w:val="32E05404"/>
    <w:rsid w:val="32E12E85"/>
    <w:rsid w:val="32E2418A"/>
    <w:rsid w:val="32E305F3"/>
    <w:rsid w:val="32E31C0C"/>
    <w:rsid w:val="32E4188C"/>
    <w:rsid w:val="32E4768D"/>
    <w:rsid w:val="32E62B90"/>
    <w:rsid w:val="32E64D8F"/>
    <w:rsid w:val="32E70612"/>
    <w:rsid w:val="32E74194"/>
    <w:rsid w:val="32E95D13"/>
    <w:rsid w:val="32EA1597"/>
    <w:rsid w:val="32EA7018"/>
    <w:rsid w:val="32EB316F"/>
    <w:rsid w:val="32EC5295"/>
    <w:rsid w:val="32EC6C98"/>
    <w:rsid w:val="32ED471A"/>
    <w:rsid w:val="32ED664A"/>
    <w:rsid w:val="32EE5A1E"/>
    <w:rsid w:val="32F00F21"/>
    <w:rsid w:val="32F0425F"/>
    <w:rsid w:val="32F0569E"/>
    <w:rsid w:val="32F13120"/>
    <w:rsid w:val="32F169A3"/>
    <w:rsid w:val="32F20BA1"/>
    <w:rsid w:val="32F24425"/>
    <w:rsid w:val="32F31EA6"/>
    <w:rsid w:val="32F36623"/>
    <w:rsid w:val="32F62E2B"/>
    <w:rsid w:val="32F64990"/>
    <w:rsid w:val="32F675A7"/>
    <w:rsid w:val="32F708AC"/>
    <w:rsid w:val="32F7552F"/>
    <w:rsid w:val="32F82AAB"/>
    <w:rsid w:val="32F838FA"/>
    <w:rsid w:val="32F85F09"/>
    <w:rsid w:val="32F9052C"/>
    <w:rsid w:val="32F93DAF"/>
    <w:rsid w:val="32F94C12"/>
    <w:rsid w:val="32F96C6C"/>
    <w:rsid w:val="32FA1831"/>
    <w:rsid w:val="32FA3A2F"/>
    <w:rsid w:val="32FA5FAE"/>
    <w:rsid w:val="32FB0021"/>
    <w:rsid w:val="32FB0D84"/>
    <w:rsid w:val="32FB14B1"/>
    <w:rsid w:val="32FC4D34"/>
    <w:rsid w:val="32FC6F32"/>
    <w:rsid w:val="32FD22FD"/>
    <w:rsid w:val="32FE2E9B"/>
    <w:rsid w:val="32FF5CB9"/>
    <w:rsid w:val="3300373A"/>
    <w:rsid w:val="33004250"/>
    <w:rsid w:val="33005939"/>
    <w:rsid w:val="330133BA"/>
    <w:rsid w:val="33014DEF"/>
    <w:rsid w:val="330257C9"/>
    <w:rsid w:val="33032140"/>
    <w:rsid w:val="330414F8"/>
    <w:rsid w:val="3304433F"/>
    <w:rsid w:val="33047BC2"/>
    <w:rsid w:val="33051DC0"/>
    <w:rsid w:val="33055644"/>
    <w:rsid w:val="33060643"/>
    <w:rsid w:val="33071BBC"/>
    <w:rsid w:val="330752C3"/>
    <w:rsid w:val="33082D45"/>
    <w:rsid w:val="33090F55"/>
    <w:rsid w:val="33093135"/>
    <w:rsid w:val="33097011"/>
    <w:rsid w:val="330A6248"/>
    <w:rsid w:val="330B3CCA"/>
    <w:rsid w:val="330C174B"/>
    <w:rsid w:val="330C4FCE"/>
    <w:rsid w:val="330C524D"/>
    <w:rsid w:val="330D5DEB"/>
    <w:rsid w:val="330D71CD"/>
    <w:rsid w:val="330E04D1"/>
    <w:rsid w:val="330F5F53"/>
    <w:rsid w:val="331039D5"/>
    <w:rsid w:val="33107D3E"/>
    <w:rsid w:val="331108DD"/>
    <w:rsid w:val="331423DB"/>
    <w:rsid w:val="33142830"/>
    <w:rsid w:val="33157E5C"/>
    <w:rsid w:val="33171638"/>
    <w:rsid w:val="3317335F"/>
    <w:rsid w:val="33180DE1"/>
    <w:rsid w:val="33196863"/>
    <w:rsid w:val="331A42E4"/>
    <w:rsid w:val="331A50B6"/>
    <w:rsid w:val="331B1D66"/>
    <w:rsid w:val="331C0D3B"/>
    <w:rsid w:val="331E076C"/>
    <w:rsid w:val="331F61ED"/>
    <w:rsid w:val="33224F6A"/>
    <w:rsid w:val="33234BF4"/>
    <w:rsid w:val="33242675"/>
    <w:rsid w:val="332500F7"/>
    <w:rsid w:val="332550E3"/>
    <w:rsid w:val="33270FD5"/>
    <w:rsid w:val="332735FA"/>
    <w:rsid w:val="332741AD"/>
    <w:rsid w:val="3328107B"/>
    <w:rsid w:val="332848FF"/>
    <w:rsid w:val="33292380"/>
    <w:rsid w:val="33296AFD"/>
    <w:rsid w:val="332A7E02"/>
    <w:rsid w:val="332B2000"/>
    <w:rsid w:val="332B5883"/>
    <w:rsid w:val="332C3305"/>
    <w:rsid w:val="332D1009"/>
    <w:rsid w:val="332D349E"/>
    <w:rsid w:val="332D5204"/>
    <w:rsid w:val="332D5503"/>
    <w:rsid w:val="332E2F85"/>
    <w:rsid w:val="332F0A06"/>
    <w:rsid w:val="332F4289"/>
    <w:rsid w:val="332F6941"/>
    <w:rsid w:val="333015F2"/>
    <w:rsid w:val="33301D0B"/>
    <w:rsid w:val="33306488"/>
    <w:rsid w:val="33307EBA"/>
    <w:rsid w:val="3331778D"/>
    <w:rsid w:val="33332C90"/>
    <w:rsid w:val="33334E8E"/>
    <w:rsid w:val="3333740C"/>
    <w:rsid w:val="3334290F"/>
    <w:rsid w:val="333429AC"/>
    <w:rsid w:val="333467A8"/>
    <w:rsid w:val="33355F1C"/>
    <w:rsid w:val="333640E9"/>
    <w:rsid w:val="33365E13"/>
    <w:rsid w:val="33371696"/>
    <w:rsid w:val="33373894"/>
    <w:rsid w:val="33381316"/>
    <w:rsid w:val="3338549E"/>
    <w:rsid w:val="33387117"/>
    <w:rsid w:val="33396201"/>
    <w:rsid w:val="333A4819"/>
    <w:rsid w:val="333B75B5"/>
    <w:rsid w:val="333C359F"/>
    <w:rsid w:val="333C7D1C"/>
    <w:rsid w:val="333D1021"/>
    <w:rsid w:val="333E321F"/>
    <w:rsid w:val="333E6AA2"/>
    <w:rsid w:val="333F0CA1"/>
    <w:rsid w:val="33401FA5"/>
    <w:rsid w:val="3340239C"/>
    <w:rsid w:val="334141A4"/>
    <w:rsid w:val="33414383"/>
    <w:rsid w:val="33417A27"/>
    <w:rsid w:val="334358FC"/>
    <w:rsid w:val="334376A7"/>
    <w:rsid w:val="334409AC"/>
    <w:rsid w:val="33445128"/>
    <w:rsid w:val="33447797"/>
    <w:rsid w:val="33452BAA"/>
    <w:rsid w:val="3345642D"/>
    <w:rsid w:val="33457039"/>
    <w:rsid w:val="3346062B"/>
    <w:rsid w:val="33463EAF"/>
    <w:rsid w:val="33471930"/>
    <w:rsid w:val="33477044"/>
    <w:rsid w:val="334873B2"/>
    <w:rsid w:val="33494E33"/>
    <w:rsid w:val="334A2505"/>
    <w:rsid w:val="334A26CA"/>
    <w:rsid w:val="334A28B5"/>
    <w:rsid w:val="334A7032"/>
    <w:rsid w:val="334B6320"/>
    <w:rsid w:val="334C7FB6"/>
    <w:rsid w:val="334D5A38"/>
    <w:rsid w:val="334F0F3B"/>
    <w:rsid w:val="334F6D3D"/>
    <w:rsid w:val="335047BE"/>
    <w:rsid w:val="3350487A"/>
    <w:rsid w:val="335069BC"/>
    <w:rsid w:val="3351443E"/>
    <w:rsid w:val="3352084C"/>
    <w:rsid w:val="33521EC0"/>
    <w:rsid w:val="33527CC1"/>
    <w:rsid w:val="335331C4"/>
    <w:rsid w:val="33537941"/>
    <w:rsid w:val="33540C46"/>
    <w:rsid w:val="33541DC5"/>
    <w:rsid w:val="33541F89"/>
    <w:rsid w:val="335453C3"/>
    <w:rsid w:val="33552B28"/>
    <w:rsid w:val="335566C7"/>
    <w:rsid w:val="335608C6"/>
    <w:rsid w:val="33563502"/>
    <w:rsid w:val="33564484"/>
    <w:rsid w:val="33571BCB"/>
    <w:rsid w:val="33576347"/>
    <w:rsid w:val="33586A1E"/>
    <w:rsid w:val="3358764C"/>
    <w:rsid w:val="3359184A"/>
    <w:rsid w:val="3359469F"/>
    <w:rsid w:val="3359561A"/>
    <w:rsid w:val="335A61B8"/>
    <w:rsid w:val="335A72CC"/>
    <w:rsid w:val="335B05D1"/>
    <w:rsid w:val="335C010C"/>
    <w:rsid w:val="335C6052"/>
    <w:rsid w:val="335D3AD4"/>
    <w:rsid w:val="335E5CD2"/>
    <w:rsid w:val="335E6CEC"/>
    <w:rsid w:val="335F5BD4"/>
    <w:rsid w:val="335F6FD7"/>
    <w:rsid w:val="33602DC2"/>
    <w:rsid w:val="336124DA"/>
    <w:rsid w:val="3361379C"/>
    <w:rsid w:val="33613960"/>
    <w:rsid w:val="33614907"/>
    <w:rsid w:val="3362433B"/>
    <w:rsid w:val="33627F5C"/>
    <w:rsid w:val="336359DD"/>
    <w:rsid w:val="33637BDB"/>
    <w:rsid w:val="3364565D"/>
    <w:rsid w:val="33650EE0"/>
    <w:rsid w:val="336530DF"/>
    <w:rsid w:val="33660B60"/>
    <w:rsid w:val="33666962"/>
    <w:rsid w:val="336743E3"/>
    <w:rsid w:val="336765E2"/>
    <w:rsid w:val="336779CB"/>
    <w:rsid w:val="33684063"/>
    <w:rsid w:val="33691AE5"/>
    <w:rsid w:val="336A5368"/>
    <w:rsid w:val="336A7566"/>
    <w:rsid w:val="336B086B"/>
    <w:rsid w:val="336B25B7"/>
    <w:rsid w:val="336C3012"/>
    <w:rsid w:val="336C62ED"/>
    <w:rsid w:val="336E5F6C"/>
    <w:rsid w:val="336F7271"/>
    <w:rsid w:val="336F7299"/>
    <w:rsid w:val="33701470"/>
    <w:rsid w:val="33704CF3"/>
    <w:rsid w:val="33712774"/>
    <w:rsid w:val="3371744F"/>
    <w:rsid w:val="337201F6"/>
    <w:rsid w:val="33724973"/>
    <w:rsid w:val="337323F4"/>
    <w:rsid w:val="33735C77"/>
    <w:rsid w:val="33747E76"/>
    <w:rsid w:val="337551E4"/>
    <w:rsid w:val="337558F7"/>
    <w:rsid w:val="337634BA"/>
    <w:rsid w:val="3376367E"/>
    <w:rsid w:val="33766BFC"/>
    <w:rsid w:val="3377467E"/>
    <w:rsid w:val="337820FF"/>
    <w:rsid w:val="33784BF7"/>
    <w:rsid w:val="337921F2"/>
    <w:rsid w:val="337A6170"/>
    <w:rsid w:val="337B6D0E"/>
    <w:rsid w:val="337C29D9"/>
    <w:rsid w:val="337D00C3"/>
    <w:rsid w:val="337D5D9C"/>
    <w:rsid w:val="337D6587"/>
    <w:rsid w:val="337E0C62"/>
    <w:rsid w:val="337E0CCA"/>
    <w:rsid w:val="33814F8D"/>
    <w:rsid w:val="33822A0F"/>
    <w:rsid w:val="33833FFC"/>
    <w:rsid w:val="33835F12"/>
    <w:rsid w:val="33843993"/>
    <w:rsid w:val="33866E96"/>
    <w:rsid w:val="33874918"/>
    <w:rsid w:val="33880521"/>
    <w:rsid w:val="338A5521"/>
    <w:rsid w:val="338B331E"/>
    <w:rsid w:val="338B45BF"/>
    <w:rsid w:val="338C0DA0"/>
    <w:rsid w:val="338E7B26"/>
    <w:rsid w:val="338F1D24"/>
    <w:rsid w:val="338F6EBF"/>
    <w:rsid w:val="33903029"/>
    <w:rsid w:val="339045ED"/>
    <w:rsid w:val="33910AAB"/>
    <w:rsid w:val="33915228"/>
    <w:rsid w:val="33922CA9"/>
    <w:rsid w:val="33927FA5"/>
    <w:rsid w:val="3393072B"/>
    <w:rsid w:val="33933FAE"/>
    <w:rsid w:val="33941A2F"/>
    <w:rsid w:val="339461AC"/>
    <w:rsid w:val="33951EF8"/>
    <w:rsid w:val="339574B1"/>
    <w:rsid w:val="33962A97"/>
    <w:rsid w:val="33964F33"/>
    <w:rsid w:val="33971295"/>
    <w:rsid w:val="33984010"/>
    <w:rsid w:val="33984BB2"/>
    <w:rsid w:val="33992634"/>
    <w:rsid w:val="33995EB7"/>
    <w:rsid w:val="339A00B5"/>
    <w:rsid w:val="339A3939"/>
    <w:rsid w:val="339A574D"/>
    <w:rsid w:val="339A6D9C"/>
    <w:rsid w:val="339B13BA"/>
    <w:rsid w:val="339B5B37"/>
    <w:rsid w:val="339C103A"/>
    <w:rsid w:val="339D48BD"/>
    <w:rsid w:val="339D4B9D"/>
    <w:rsid w:val="339D6ABC"/>
    <w:rsid w:val="339E233F"/>
    <w:rsid w:val="339E453D"/>
    <w:rsid w:val="339E6DE9"/>
    <w:rsid w:val="339F17B8"/>
    <w:rsid w:val="339F1FBF"/>
    <w:rsid w:val="339F7DC0"/>
    <w:rsid w:val="33A02192"/>
    <w:rsid w:val="33A132C4"/>
    <w:rsid w:val="33A22F43"/>
    <w:rsid w:val="33A3446E"/>
    <w:rsid w:val="33A41CCA"/>
    <w:rsid w:val="33A44248"/>
    <w:rsid w:val="33A46447"/>
    <w:rsid w:val="33A72326"/>
    <w:rsid w:val="33A76A48"/>
    <w:rsid w:val="33A773CB"/>
    <w:rsid w:val="33A806D0"/>
    <w:rsid w:val="33A8172E"/>
    <w:rsid w:val="33A81A9A"/>
    <w:rsid w:val="33A84E4D"/>
    <w:rsid w:val="33AA670F"/>
    <w:rsid w:val="33AB5DD1"/>
    <w:rsid w:val="33AC25F0"/>
    <w:rsid w:val="33AC70D6"/>
    <w:rsid w:val="33AD12D4"/>
    <w:rsid w:val="33AE6D56"/>
    <w:rsid w:val="33B02259"/>
    <w:rsid w:val="33B05E45"/>
    <w:rsid w:val="33B1355E"/>
    <w:rsid w:val="33B169E4"/>
    <w:rsid w:val="33B2575C"/>
    <w:rsid w:val="33B25DA9"/>
    <w:rsid w:val="33B331DE"/>
    <w:rsid w:val="33B36A61"/>
    <w:rsid w:val="33B37F5C"/>
    <w:rsid w:val="33B40937"/>
    <w:rsid w:val="33B40C5F"/>
    <w:rsid w:val="33B444E3"/>
    <w:rsid w:val="33B466E1"/>
    <w:rsid w:val="33B51F64"/>
    <w:rsid w:val="33B54162"/>
    <w:rsid w:val="33B55E51"/>
    <w:rsid w:val="33B61BE4"/>
    <w:rsid w:val="33B62074"/>
    <w:rsid w:val="33B72A4E"/>
    <w:rsid w:val="33B75467"/>
    <w:rsid w:val="33B77665"/>
    <w:rsid w:val="33B82EE9"/>
    <w:rsid w:val="33B850E7"/>
    <w:rsid w:val="33B92B69"/>
    <w:rsid w:val="33BA05EA"/>
    <w:rsid w:val="33BA4B66"/>
    <w:rsid w:val="33BB5540"/>
    <w:rsid w:val="33BB60DF"/>
    <w:rsid w:val="33BD4DF2"/>
    <w:rsid w:val="33BD5082"/>
    <w:rsid w:val="33BF0BD0"/>
    <w:rsid w:val="33C024F3"/>
    <w:rsid w:val="33C05D77"/>
    <w:rsid w:val="33C137F8"/>
    <w:rsid w:val="33C17F75"/>
    <w:rsid w:val="33C22EAC"/>
    <w:rsid w:val="33C259F7"/>
    <w:rsid w:val="33C33478"/>
    <w:rsid w:val="33C40EFA"/>
    <w:rsid w:val="33C4477D"/>
    <w:rsid w:val="33C4712A"/>
    <w:rsid w:val="33C521FE"/>
    <w:rsid w:val="33C561C8"/>
    <w:rsid w:val="33C5697B"/>
    <w:rsid w:val="33C65509"/>
    <w:rsid w:val="33C67C80"/>
    <w:rsid w:val="33C71E7E"/>
    <w:rsid w:val="33C75702"/>
    <w:rsid w:val="33C83183"/>
    <w:rsid w:val="33C87900"/>
    <w:rsid w:val="33C90654"/>
    <w:rsid w:val="33C90C05"/>
    <w:rsid w:val="33C95381"/>
    <w:rsid w:val="33CB4108"/>
    <w:rsid w:val="33CC1B89"/>
    <w:rsid w:val="33CC3D88"/>
    <w:rsid w:val="33CC6306"/>
    <w:rsid w:val="33CD1809"/>
    <w:rsid w:val="33CD760B"/>
    <w:rsid w:val="33CE508C"/>
    <w:rsid w:val="33CF4D0C"/>
    <w:rsid w:val="33D00590"/>
    <w:rsid w:val="33D0278E"/>
    <w:rsid w:val="33D0525E"/>
    <w:rsid w:val="33D1020F"/>
    <w:rsid w:val="33D15DFC"/>
    <w:rsid w:val="33D16011"/>
    <w:rsid w:val="33D25C91"/>
    <w:rsid w:val="33D2699B"/>
    <w:rsid w:val="33D30D10"/>
    <w:rsid w:val="33D31514"/>
    <w:rsid w:val="33D37747"/>
    <w:rsid w:val="33D44A17"/>
    <w:rsid w:val="33D46F96"/>
    <w:rsid w:val="33D47BF8"/>
    <w:rsid w:val="33D52499"/>
    <w:rsid w:val="33D56AE0"/>
    <w:rsid w:val="33D56C16"/>
    <w:rsid w:val="33D571B6"/>
    <w:rsid w:val="33D6148D"/>
    <w:rsid w:val="33D64697"/>
    <w:rsid w:val="33D72119"/>
    <w:rsid w:val="33D72A06"/>
    <w:rsid w:val="33D7599C"/>
    <w:rsid w:val="33D934D4"/>
    <w:rsid w:val="33DA309D"/>
    <w:rsid w:val="33DA4B1D"/>
    <w:rsid w:val="33DB0B1F"/>
    <w:rsid w:val="33DB54F7"/>
    <w:rsid w:val="33DB56BC"/>
    <w:rsid w:val="33DC6096"/>
    <w:rsid w:val="33DC625B"/>
    <w:rsid w:val="33DD6C35"/>
    <w:rsid w:val="33DD78A5"/>
    <w:rsid w:val="33DE5327"/>
    <w:rsid w:val="33DE760F"/>
    <w:rsid w:val="33DF2DA8"/>
    <w:rsid w:val="33E00D4C"/>
    <w:rsid w:val="33E118EB"/>
    <w:rsid w:val="33E136A3"/>
    <w:rsid w:val="33E162AB"/>
    <w:rsid w:val="33E23182"/>
    <w:rsid w:val="33E23D2D"/>
    <w:rsid w:val="33E24F57"/>
    <w:rsid w:val="33E317AE"/>
    <w:rsid w:val="33E47230"/>
    <w:rsid w:val="33E54CB2"/>
    <w:rsid w:val="33E54F7B"/>
    <w:rsid w:val="33E65B1A"/>
    <w:rsid w:val="33E86ECF"/>
    <w:rsid w:val="33EA060C"/>
    <w:rsid w:val="33EB6BBB"/>
    <w:rsid w:val="33EC463C"/>
    <w:rsid w:val="33ED255F"/>
    <w:rsid w:val="33F05E80"/>
    <w:rsid w:val="33F2372F"/>
    <w:rsid w:val="33F23FC7"/>
    <w:rsid w:val="33F31A49"/>
    <w:rsid w:val="33F42D4E"/>
    <w:rsid w:val="33F474CA"/>
    <w:rsid w:val="33F66251"/>
    <w:rsid w:val="33F7044F"/>
    <w:rsid w:val="33F73CD2"/>
    <w:rsid w:val="33F971D5"/>
    <w:rsid w:val="33FA18C0"/>
    <w:rsid w:val="33FA4C57"/>
    <w:rsid w:val="33FB26D9"/>
    <w:rsid w:val="33FB6E55"/>
    <w:rsid w:val="33FC48D7"/>
    <w:rsid w:val="33FD6212"/>
    <w:rsid w:val="33FE065D"/>
    <w:rsid w:val="33FE2F6A"/>
    <w:rsid w:val="33FE7DDA"/>
    <w:rsid w:val="33FF585B"/>
    <w:rsid w:val="33FF7545"/>
    <w:rsid w:val="33FF76FA"/>
    <w:rsid w:val="340032DD"/>
    <w:rsid w:val="34006B60"/>
    <w:rsid w:val="340145E2"/>
    <w:rsid w:val="340178C8"/>
    <w:rsid w:val="34022063"/>
    <w:rsid w:val="34022441"/>
    <w:rsid w:val="340267E0"/>
    <w:rsid w:val="34034262"/>
    <w:rsid w:val="34037AE5"/>
    <w:rsid w:val="34044805"/>
    <w:rsid w:val="34045566"/>
    <w:rsid w:val="34052FE8"/>
    <w:rsid w:val="340551E6"/>
    <w:rsid w:val="34060A6A"/>
    <w:rsid w:val="34062C68"/>
    <w:rsid w:val="340706E9"/>
    <w:rsid w:val="340764EB"/>
    <w:rsid w:val="34083F6D"/>
    <w:rsid w:val="3408616B"/>
    <w:rsid w:val="340864AC"/>
    <w:rsid w:val="340919EE"/>
    <w:rsid w:val="34093BEC"/>
    <w:rsid w:val="3409619C"/>
    <w:rsid w:val="340A166E"/>
    <w:rsid w:val="340A685C"/>
    <w:rsid w:val="340A7470"/>
    <w:rsid w:val="340C0F9D"/>
    <w:rsid w:val="340C4B71"/>
    <w:rsid w:val="340D25F3"/>
    <w:rsid w:val="340D26DB"/>
    <w:rsid w:val="340E0074"/>
    <w:rsid w:val="340E07E5"/>
    <w:rsid w:val="340E1D22"/>
    <w:rsid w:val="340E38F7"/>
    <w:rsid w:val="340F0C0A"/>
    <w:rsid w:val="340F5AF6"/>
    <w:rsid w:val="341047F2"/>
    <w:rsid w:val="34110FF9"/>
    <w:rsid w:val="341151CD"/>
    <w:rsid w:val="34126A7A"/>
    <w:rsid w:val="341344FC"/>
    <w:rsid w:val="34137D7F"/>
    <w:rsid w:val="34141F7E"/>
    <w:rsid w:val="3414249C"/>
    <w:rsid w:val="34145801"/>
    <w:rsid w:val="341472E4"/>
    <w:rsid w:val="341579FF"/>
    <w:rsid w:val="34160A21"/>
    <w:rsid w:val="34181F9A"/>
    <w:rsid w:val="34184207"/>
    <w:rsid w:val="34191C89"/>
    <w:rsid w:val="341B1908"/>
    <w:rsid w:val="341B4C51"/>
    <w:rsid w:val="341C2C0D"/>
    <w:rsid w:val="341C562B"/>
    <w:rsid w:val="341C738A"/>
    <w:rsid w:val="341D288D"/>
    <w:rsid w:val="341D3752"/>
    <w:rsid w:val="341E030F"/>
    <w:rsid w:val="341E29A6"/>
    <w:rsid w:val="341E6BA4"/>
    <w:rsid w:val="341F3B92"/>
    <w:rsid w:val="341F5D90"/>
    <w:rsid w:val="342002E1"/>
    <w:rsid w:val="34201613"/>
    <w:rsid w:val="34210E80"/>
    <w:rsid w:val="34232234"/>
    <w:rsid w:val="34232598"/>
    <w:rsid w:val="34235BF7"/>
    <w:rsid w:val="3424001A"/>
    <w:rsid w:val="34242218"/>
    <w:rsid w:val="34242F97"/>
    <w:rsid w:val="3425351D"/>
    <w:rsid w:val="3426571B"/>
    <w:rsid w:val="3427319D"/>
    <w:rsid w:val="34280C1E"/>
    <w:rsid w:val="342844A1"/>
    <w:rsid w:val="34296463"/>
    <w:rsid w:val="342966A0"/>
    <w:rsid w:val="342A4121"/>
    <w:rsid w:val="342A71FD"/>
    <w:rsid w:val="342A79DC"/>
    <w:rsid w:val="342B1BA3"/>
    <w:rsid w:val="342B5426"/>
    <w:rsid w:val="342B67BB"/>
    <w:rsid w:val="342C2EA8"/>
    <w:rsid w:val="342C7624"/>
    <w:rsid w:val="342D0929"/>
    <w:rsid w:val="342E63AB"/>
    <w:rsid w:val="342F05A9"/>
    <w:rsid w:val="342F1F88"/>
    <w:rsid w:val="342F3E2C"/>
    <w:rsid w:val="343018AE"/>
    <w:rsid w:val="3430602A"/>
    <w:rsid w:val="34313AAC"/>
    <w:rsid w:val="343147AA"/>
    <w:rsid w:val="3432152E"/>
    <w:rsid w:val="34324DB1"/>
    <w:rsid w:val="34324F5D"/>
    <w:rsid w:val="34332832"/>
    <w:rsid w:val="34335D23"/>
    <w:rsid w:val="34336FAF"/>
    <w:rsid w:val="343402B4"/>
    <w:rsid w:val="34357460"/>
    <w:rsid w:val="34357F34"/>
    <w:rsid w:val="34357FFF"/>
    <w:rsid w:val="343659B5"/>
    <w:rsid w:val="34371239"/>
    <w:rsid w:val="34373437"/>
    <w:rsid w:val="34380EB8"/>
    <w:rsid w:val="34381F52"/>
    <w:rsid w:val="34382116"/>
    <w:rsid w:val="34386CBA"/>
    <w:rsid w:val="3439693A"/>
    <w:rsid w:val="343A0036"/>
    <w:rsid w:val="343A03A1"/>
    <w:rsid w:val="343A070C"/>
    <w:rsid w:val="343A21BD"/>
    <w:rsid w:val="343B7289"/>
    <w:rsid w:val="343B7C3F"/>
    <w:rsid w:val="343C56C0"/>
    <w:rsid w:val="343D5340"/>
    <w:rsid w:val="343D55E2"/>
    <w:rsid w:val="343E6645"/>
    <w:rsid w:val="343F40C7"/>
    <w:rsid w:val="344076FA"/>
    <w:rsid w:val="34413D46"/>
    <w:rsid w:val="344175CA"/>
    <w:rsid w:val="34420E37"/>
    <w:rsid w:val="3444054E"/>
    <w:rsid w:val="3444542D"/>
    <w:rsid w:val="34453AED"/>
    <w:rsid w:val="344644C7"/>
    <w:rsid w:val="344714D3"/>
    <w:rsid w:val="34482813"/>
    <w:rsid w:val="34485A40"/>
    <w:rsid w:val="34486F54"/>
    <w:rsid w:val="344A1390"/>
    <w:rsid w:val="344A1546"/>
    <w:rsid w:val="344A2458"/>
    <w:rsid w:val="344A35D0"/>
    <w:rsid w:val="344C0532"/>
    <w:rsid w:val="344D33DC"/>
    <w:rsid w:val="344E0E5E"/>
    <w:rsid w:val="344E1C6F"/>
    <w:rsid w:val="344F68DF"/>
    <w:rsid w:val="345031E8"/>
    <w:rsid w:val="34511DE2"/>
    <w:rsid w:val="34524761"/>
    <w:rsid w:val="34525300"/>
    <w:rsid w:val="34527864"/>
    <w:rsid w:val="345319C9"/>
    <w:rsid w:val="345352E6"/>
    <w:rsid w:val="34535E9F"/>
    <w:rsid w:val="34542D67"/>
    <w:rsid w:val="34553383"/>
    <w:rsid w:val="3455626A"/>
    <w:rsid w:val="34557417"/>
    <w:rsid w:val="34567DF2"/>
    <w:rsid w:val="34567FB6"/>
    <w:rsid w:val="3457176D"/>
    <w:rsid w:val="345871EF"/>
    <w:rsid w:val="345A26F2"/>
    <w:rsid w:val="345C41E5"/>
    <w:rsid w:val="345C5BF5"/>
    <w:rsid w:val="345D1478"/>
    <w:rsid w:val="345D3677"/>
    <w:rsid w:val="345E62FD"/>
    <w:rsid w:val="345F6B7A"/>
    <w:rsid w:val="34610414"/>
    <w:rsid w:val="34615900"/>
    <w:rsid w:val="34623382"/>
    <w:rsid w:val="34627AFE"/>
    <w:rsid w:val="3463198D"/>
    <w:rsid w:val="34643001"/>
    <w:rsid w:val="34646885"/>
    <w:rsid w:val="34650A83"/>
    <w:rsid w:val="34654306"/>
    <w:rsid w:val="34663AA5"/>
    <w:rsid w:val="34666A21"/>
    <w:rsid w:val="34673F86"/>
    <w:rsid w:val="3467447F"/>
    <w:rsid w:val="34677809"/>
    <w:rsid w:val="34681A08"/>
    <w:rsid w:val="3468528B"/>
    <w:rsid w:val="34692D0C"/>
    <w:rsid w:val="346A078E"/>
    <w:rsid w:val="346A4F0B"/>
    <w:rsid w:val="346A6596"/>
    <w:rsid w:val="346B1933"/>
    <w:rsid w:val="346B298C"/>
    <w:rsid w:val="346B6210"/>
    <w:rsid w:val="346C7CD4"/>
    <w:rsid w:val="346D3911"/>
    <w:rsid w:val="346E1088"/>
    <w:rsid w:val="346E6B7F"/>
    <w:rsid w:val="346F4C16"/>
    <w:rsid w:val="347031A0"/>
    <w:rsid w:val="34703364"/>
    <w:rsid w:val="34704896"/>
    <w:rsid w:val="34713D3E"/>
    <w:rsid w:val="34725B9A"/>
    <w:rsid w:val="34727D99"/>
    <w:rsid w:val="3473361C"/>
    <w:rsid w:val="3473581A"/>
    <w:rsid w:val="3474109D"/>
    <w:rsid w:val="34750972"/>
    <w:rsid w:val="347545A1"/>
    <w:rsid w:val="34756B1F"/>
    <w:rsid w:val="34762022"/>
    <w:rsid w:val="3476679F"/>
    <w:rsid w:val="34774220"/>
    <w:rsid w:val="34781CA2"/>
    <w:rsid w:val="34784F8C"/>
    <w:rsid w:val="34785525"/>
    <w:rsid w:val="34797724"/>
    <w:rsid w:val="347A0A28"/>
    <w:rsid w:val="347A1EC1"/>
    <w:rsid w:val="347A2C24"/>
    <w:rsid w:val="347B2A5F"/>
    <w:rsid w:val="347B2C27"/>
    <w:rsid w:val="347B64AA"/>
    <w:rsid w:val="347C06A8"/>
    <w:rsid w:val="347C3F2B"/>
    <w:rsid w:val="347C419D"/>
    <w:rsid w:val="347D3BDA"/>
    <w:rsid w:val="347E742F"/>
    <w:rsid w:val="347F4EB0"/>
    <w:rsid w:val="34814B30"/>
    <w:rsid w:val="348154F2"/>
    <w:rsid w:val="3481782D"/>
    <w:rsid w:val="34820207"/>
    <w:rsid w:val="348225B1"/>
    <w:rsid w:val="34830033"/>
    <w:rsid w:val="34841945"/>
    <w:rsid w:val="34845AB5"/>
    <w:rsid w:val="34853536"/>
    <w:rsid w:val="34862EBD"/>
    <w:rsid w:val="34863828"/>
    <w:rsid w:val="3486483B"/>
    <w:rsid w:val="348722BC"/>
    <w:rsid w:val="348744BB"/>
    <w:rsid w:val="34887D3E"/>
    <w:rsid w:val="34894B8C"/>
    <w:rsid w:val="348957C0"/>
    <w:rsid w:val="348A3241"/>
    <w:rsid w:val="348A654E"/>
    <w:rsid w:val="348B0CC3"/>
    <w:rsid w:val="348E1C47"/>
    <w:rsid w:val="348E3E46"/>
    <w:rsid w:val="348E76C9"/>
    <w:rsid w:val="348F1BDE"/>
    <w:rsid w:val="34902BCC"/>
    <w:rsid w:val="34906DAF"/>
    <w:rsid w:val="34907349"/>
    <w:rsid w:val="3491064E"/>
    <w:rsid w:val="3491331C"/>
    <w:rsid w:val="34915E4D"/>
    <w:rsid w:val="34916A44"/>
    <w:rsid w:val="3492284C"/>
    <w:rsid w:val="349260CF"/>
    <w:rsid w:val="34933B51"/>
    <w:rsid w:val="34934894"/>
    <w:rsid w:val="3494526F"/>
    <w:rsid w:val="34945D4F"/>
    <w:rsid w:val="34964AD5"/>
    <w:rsid w:val="349667E8"/>
    <w:rsid w:val="349669AC"/>
    <w:rsid w:val="34976CD4"/>
    <w:rsid w:val="3499149E"/>
    <w:rsid w:val="349A34DB"/>
    <w:rsid w:val="349A37FA"/>
    <w:rsid w:val="349A7C58"/>
    <w:rsid w:val="349B2BDB"/>
    <w:rsid w:val="349B56DA"/>
    <w:rsid w:val="349C69DF"/>
    <w:rsid w:val="349D4154"/>
    <w:rsid w:val="349E40E0"/>
    <w:rsid w:val="349E4B2E"/>
    <w:rsid w:val="349E4CF3"/>
    <w:rsid w:val="349F1B61"/>
    <w:rsid w:val="349F7963"/>
    <w:rsid w:val="34A00474"/>
    <w:rsid w:val="34A06963"/>
    <w:rsid w:val="34A12E66"/>
    <w:rsid w:val="34A15065"/>
    <w:rsid w:val="34A1787D"/>
    <w:rsid w:val="34A22AE6"/>
    <w:rsid w:val="34A30568"/>
    <w:rsid w:val="34A522D6"/>
    <w:rsid w:val="34A53A6B"/>
    <w:rsid w:val="34A64D70"/>
    <w:rsid w:val="34A727F1"/>
    <w:rsid w:val="34A76F6E"/>
    <w:rsid w:val="34AA3776"/>
    <w:rsid w:val="34AC4C6E"/>
    <w:rsid w:val="34AC6C79"/>
    <w:rsid w:val="34AE2E07"/>
    <w:rsid w:val="34AF1984"/>
    <w:rsid w:val="34AF2730"/>
    <w:rsid w:val="34B01D5A"/>
    <w:rsid w:val="34B0567F"/>
    <w:rsid w:val="34B12734"/>
    <w:rsid w:val="34B13101"/>
    <w:rsid w:val="34B20B82"/>
    <w:rsid w:val="34B36604"/>
    <w:rsid w:val="34B44085"/>
    <w:rsid w:val="34B51B07"/>
    <w:rsid w:val="34B67588"/>
    <w:rsid w:val="34B7500A"/>
    <w:rsid w:val="34B7733E"/>
    <w:rsid w:val="34B77502"/>
    <w:rsid w:val="34B82A8C"/>
    <w:rsid w:val="34B87EDC"/>
    <w:rsid w:val="34BB3A10"/>
    <w:rsid w:val="34BC1492"/>
    <w:rsid w:val="34BC29CE"/>
    <w:rsid w:val="34BC2B93"/>
    <w:rsid w:val="34BC5B05"/>
    <w:rsid w:val="34BD4D58"/>
    <w:rsid w:val="34BD542E"/>
    <w:rsid w:val="34BF4CAA"/>
    <w:rsid w:val="34BF5849"/>
    <w:rsid w:val="34BF7E98"/>
    <w:rsid w:val="34C05919"/>
    <w:rsid w:val="34C1339B"/>
    <w:rsid w:val="34C20E1D"/>
    <w:rsid w:val="34C346A0"/>
    <w:rsid w:val="34C40D15"/>
    <w:rsid w:val="34C40ED9"/>
    <w:rsid w:val="34C42121"/>
    <w:rsid w:val="34C51A78"/>
    <w:rsid w:val="34C6228E"/>
    <w:rsid w:val="34C70B28"/>
    <w:rsid w:val="34C752A4"/>
    <w:rsid w:val="34C82D26"/>
    <w:rsid w:val="34C865A9"/>
    <w:rsid w:val="34C907A7"/>
    <w:rsid w:val="34CA6229"/>
    <w:rsid w:val="34CA77B1"/>
    <w:rsid w:val="34CB3CAA"/>
    <w:rsid w:val="34CB5AE2"/>
    <w:rsid w:val="34CC172C"/>
    <w:rsid w:val="34CC4FAF"/>
    <w:rsid w:val="34CC6E5F"/>
    <w:rsid w:val="34CC7CE6"/>
    <w:rsid w:val="34CD2A31"/>
    <w:rsid w:val="34CD641D"/>
    <w:rsid w:val="34CD71AE"/>
    <w:rsid w:val="34CD7BFA"/>
    <w:rsid w:val="34CE05D4"/>
    <w:rsid w:val="34CE0799"/>
    <w:rsid w:val="34CE4C2F"/>
    <w:rsid w:val="34CF26B1"/>
    <w:rsid w:val="34D01B4D"/>
    <w:rsid w:val="34D039B6"/>
    <w:rsid w:val="34D11437"/>
    <w:rsid w:val="34D15BB4"/>
    <w:rsid w:val="34D23635"/>
    <w:rsid w:val="34D46B38"/>
    <w:rsid w:val="34D57E3D"/>
    <w:rsid w:val="34D658BF"/>
    <w:rsid w:val="34D67ABD"/>
    <w:rsid w:val="34D73340"/>
    <w:rsid w:val="34D7691B"/>
    <w:rsid w:val="34D80DC2"/>
    <w:rsid w:val="34D858E4"/>
    <w:rsid w:val="34D90058"/>
    <w:rsid w:val="34D90A42"/>
    <w:rsid w:val="34D92754"/>
    <w:rsid w:val="34DA0A32"/>
    <w:rsid w:val="34DA42C5"/>
    <w:rsid w:val="34DA64C3"/>
    <w:rsid w:val="34DB088F"/>
    <w:rsid w:val="34DB140D"/>
    <w:rsid w:val="34DB2170"/>
    <w:rsid w:val="34DC19C6"/>
    <w:rsid w:val="34DC77C8"/>
    <w:rsid w:val="34DD3524"/>
    <w:rsid w:val="34DD524A"/>
    <w:rsid w:val="34DD7448"/>
    <w:rsid w:val="34DE074D"/>
    <w:rsid w:val="34DE40C3"/>
    <w:rsid w:val="34DE4EC9"/>
    <w:rsid w:val="34DF294B"/>
    <w:rsid w:val="34E003CD"/>
    <w:rsid w:val="34E00D83"/>
    <w:rsid w:val="34E05800"/>
    <w:rsid w:val="34E116D1"/>
    <w:rsid w:val="34E15E4E"/>
    <w:rsid w:val="34E238D0"/>
    <w:rsid w:val="34E34BD5"/>
    <w:rsid w:val="34E42656"/>
    <w:rsid w:val="34E46DD3"/>
    <w:rsid w:val="34E500D8"/>
    <w:rsid w:val="34E50CCC"/>
    <w:rsid w:val="34E526E3"/>
    <w:rsid w:val="34E61A2F"/>
    <w:rsid w:val="34E65B59"/>
    <w:rsid w:val="34E735DB"/>
    <w:rsid w:val="34E8105C"/>
    <w:rsid w:val="34E84BC6"/>
    <w:rsid w:val="34E857D9"/>
    <w:rsid w:val="34EA0CDC"/>
    <w:rsid w:val="34EA384A"/>
    <w:rsid w:val="34EA455F"/>
    <w:rsid w:val="34EA50C0"/>
    <w:rsid w:val="34EB1864"/>
    <w:rsid w:val="34EB675E"/>
    <w:rsid w:val="34ED1C61"/>
    <w:rsid w:val="34ED54E4"/>
    <w:rsid w:val="34EE2F66"/>
    <w:rsid w:val="34EE76E2"/>
    <w:rsid w:val="34EF0750"/>
    <w:rsid w:val="34EF09E7"/>
    <w:rsid w:val="34EF2BE5"/>
    <w:rsid w:val="34EF5164"/>
    <w:rsid w:val="34F00667"/>
    <w:rsid w:val="34F13EEA"/>
    <w:rsid w:val="34F373ED"/>
    <w:rsid w:val="34F43DE1"/>
    <w:rsid w:val="34F4706D"/>
    <w:rsid w:val="34F528F0"/>
    <w:rsid w:val="34F60372"/>
    <w:rsid w:val="34F62570"/>
    <w:rsid w:val="34F65EF8"/>
    <w:rsid w:val="34F671ED"/>
    <w:rsid w:val="34F768D2"/>
    <w:rsid w:val="34F812F7"/>
    <w:rsid w:val="34F85693"/>
    <w:rsid w:val="34F90010"/>
    <w:rsid w:val="34F96D78"/>
    <w:rsid w:val="34FA47FA"/>
    <w:rsid w:val="34FB1589"/>
    <w:rsid w:val="34FB227B"/>
    <w:rsid w:val="34FB69F8"/>
    <w:rsid w:val="34FC2127"/>
    <w:rsid w:val="34FE3200"/>
    <w:rsid w:val="34FE36A0"/>
    <w:rsid w:val="34FE797D"/>
    <w:rsid w:val="34FF0C81"/>
    <w:rsid w:val="35004C19"/>
    <w:rsid w:val="35010901"/>
    <w:rsid w:val="35021C06"/>
    <w:rsid w:val="35026383"/>
    <w:rsid w:val="35033E04"/>
    <w:rsid w:val="35041886"/>
    <w:rsid w:val="35042256"/>
    <w:rsid w:val="35050C1D"/>
    <w:rsid w:val="3505113E"/>
    <w:rsid w:val="35057307"/>
    <w:rsid w:val="35060391"/>
    <w:rsid w:val="350619E7"/>
    <w:rsid w:val="35064D89"/>
    <w:rsid w:val="3507028C"/>
    <w:rsid w:val="3507608E"/>
    <w:rsid w:val="35083B0F"/>
    <w:rsid w:val="35091591"/>
    <w:rsid w:val="3509378F"/>
    <w:rsid w:val="3509393A"/>
    <w:rsid w:val="350A1211"/>
    <w:rsid w:val="350A7012"/>
    <w:rsid w:val="350B6C92"/>
    <w:rsid w:val="350C2516"/>
    <w:rsid w:val="350C4714"/>
    <w:rsid w:val="350C5C16"/>
    <w:rsid w:val="350D2195"/>
    <w:rsid w:val="350D7F97"/>
    <w:rsid w:val="350E5A19"/>
    <w:rsid w:val="3510699D"/>
    <w:rsid w:val="3511441F"/>
    <w:rsid w:val="351331F9"/>
    <w:rsid w:val="351341A7"/>
    <w:rsid w:val="351346C8"/>
    <w:rsid w:val="35137922"/>
    <w:rsid w:val="351435B0"/>
    <w:rsid w:val="35143766"/>
    <w:rsid w:val="351453A4"/>
    <w:rsid w:val="35152E25"/>
    <w:rsid w:val="35176328"/>
    <w:rsid w:val="35183DAA"/>
    <w:rsid w:val="351975ED"/>
    <w:rsid w:val="351B4D2E"/>
    <w:rsid w:val="351C27B0"/>
    <w:rsid w:val="351D20DF"/>
    <w:rsid w:val="351E5CB3"/>
    <w:rsid w:val="351F21C9"/>
    <w:rsid w:val="351F3735"/>
    <w:rsid w:val="351F381C"/>
    <w:rsid w:val="352041F6"/>
    <w:rsid w:val="35226619"/>
    <w:rsid w:val="3523213B"/>
    <w:rsid w:val="3524459F"/>
    <w:rsid w:val="35247BBC"/>
    <w:rsid w:val="3525563E"/>
    <w:rsid w:val="352630BF"/>
    <w:rsid w:val="352743C4"/>
    <w:rsid w:val="35284044"/>
    <w:rsid w:val="35292F17"/>
    <w:rsid w:val="352978C7"/>
    <w:rsid w:val="352A7547"/>
    <w:rsid w:val="352B4FC9"/>
    <w:rsid w:val="352C084C"/>
    <w:rsid w:val="352C2A4A"/>
    <w:rsid w:val="352D5BCD"/>
    <w:rsid w:val="352E3D4F"/>
    <w:rsid w:val="352F17D1"/>
    <w:rsid w:val="352F39CF"/>
    <w:rsid w:val="352F7252"/>
    <w:rsid w:val="35300A8B"/>
    <w:rsid w:val="35301450"/>
    <w:rsid w:val="35304CD4"/>
    <w:rsid w:val="35316ED2"/>
    <w:rsid w:val="353201D7"/>
    <w:rsid w:val="353204E8"/>
    <w:rsid w:val="353323D5"/>
    <w:rsid w:val="353431B1"/>
    <w:rsid w:val="353436DA"/>
    <w:rsid w:val="3535115B"/>
    <w:rsid w:val="353648EE"/>
    <w:rsid w:val="35366BDD"/>
    <w:rsid w:val="35370DDB"/>
    <w:rsid w:val="353752C8"/>
    <w:rsid w:val="35385E67"/>
    <w:rsid w:val="3538685D"/>
    <w:rsid w:val="353942DE"/>
    <w:rsid w:val="353A1D60"/>
    <w:rsid w:val="353A55E3"/>
    <w:rsid w:val="353C5263"/>
    <w:rsid w:val="353E2C35"/>
    <w:rsid w:val="353F24BB"/>
    <w:rsid w:val="353F3C69"/>
    <w:rsid w:val="353F61E8"/>
    <w:rsid w:val="354016EB"/>
    <w:rsid w:val="354074ED"/>
    <w:rsid w:val="35414B88"/>
    <w:rsid w:val="35414D4C"/>
    <w:rsid w:val="35425726"/>
    <w:rsid w:val="3543266F"/>
    <w:rsid w:val="35433153"/>
    <w:rsid w:val="35446E64"/>
    <w:rsid w:val="35455B73"/>
    <w:rsid w:val="35457A02"/>
    <w:rsid w:val="354613F6"/>
    <w:rsid w:val="354748F9"/>
    <w:rsid w:val="35476E77"/>
    <w:rsid w:val="35486AF7"/>
    <w:rsid w:val="35492330"/>
    <w:rsid w:val="354924F4"/>
    <w:rsid w:val="35497DFC"/>
    <w:rsid w:val="354A1FFA"/>
    <w:rsid w:val="354B4447"/>
    <w:rsid w:val="354C0D81"/>
    <w:rsid w:val="354C4FE6"/>
    <w:rsid w:val="354C54FD"/>
    <w:rsid w:val="354D536F"/>
    <w:rsid w:val="354D6802"/>
    <w:rsid w:val="354E4C98"/>
    <w:rsid w:val="354F1D05"/>
    <w:rsid w:val="354F34AA"/>
    <w:rsid w:val="354F3660"/>
    <w:rsid w:val="35503F04"/>
    <w:rsid w:val="35505FBC"/>
    <w:rsid w:val="3551083B"/>
    <w:rsid w:val="35511985"/>
    <w:rsid w:val="35515208"/>
    <w:rsid w:val="35527407"/>
    <w:rsid w:val="3553070C"/>
    <w:rsid w:val="35531BEF"/>
    <w:rsid w:val="3555038B"/>
    <w:rsid w:val="35561690"/>
    <w:rsid w:val="35572DDB"/>
    <w:rsid w:val="355748A5"/>
    <w:rsid w:val="35577112"/>
    <w:rsid w:val="35585E1E"/>
    <w:rsid w:val="35585FE3"/>
    <w:rsid w:val="35594813"/>
    <w:rsid w:val="355969BD"/>
    <w:rsid w:val="355A2295"/>
    <w:rsid w:val="355B5B18"/>
    <w:rsid w:val="355B7D16"/>
    <w:rsid w:val="355C3599"/>
    <w:rsid w:val="355D101B"/>
    <w:rsid w:val="355E0C9B"/>
    <w:rsid w:val="355E204D"/>
    <w:rsid w:val="355E6A9D"/>
    <w:rsid w:val="355F1FA0"/>
    <w:rsid w:val="355F671C"/>
    <w:rsid w:val="356035C6"/>
    <w:rsid w:val="35611C20"/>
    <w:rsid w:val="356154A3"/>
    <w:rsid w:val="356276A1"/>
    <w:rsid w:val="35635123"/>
    <w:rsid w:val="3564147F"/>
    <w:rsid w:val="35650626"/>
    <w:rsid w:val="35653EA9"/>
    <w:rsid w:val="35673B29"/>
    <w:rsid w:val="356815AA"/>
    <w:rsid w:val="3568190D"/>
    <w:rsid w:val="356928AF"/>
    <w:rsid w:val="3569702C"/>
    <w:rsid w:val="356A24DE"/>
    <w:rsid w:val="356A2694"/>
    <w:rsid w:val="356C45C3"/>
    <w:rsid w:val="356C7FB1"/>
    <w:rsid w:val="356D12B5"/>
    <w:rsid w:val="356D5A32"/>
    <w:rsid w:val="356F0F35"/>
    <w:rsid w:val="356F47B8"/>
    <w:rsid w:val="35711EBA"/>
    <w:rsid w:val="35717C54"/>
    <w:rsid w:val="35717CBC"/>
    <w:rsid w:val="3572573D"/>
    <w:rsid w:val="357353BD"/>
    <w:rsid w:val="35742745"/>
    <w:rsid w:val="35763E83"/>
    <w:rsid w:val="35764143"/>
    <w:rsid w:val="35771BC5"/>
    <w:rsid w:val="35792B4A"/>
    <w:rsid w:val="35793F0F"/>
    <w:rsid w:val="35795DD6"/>
    <w:rsid w:val="357A05CB"/>
    <w:rsid w:val="357B204A"/>
    <w:rsid w:val="357B604D"/>
    <w:rsid w:val="357C3ACE"/>
    <w:rsid w:val="357F2D68"/>
    <w:rsid w:val="357F4A53"/>
    <w:rsid w:val="3581357E"/>
    <w:rsid w:val="358259D7"/>
    <w:rsid w:val="3583105E"/>
    <w:rsid w:val="35833459"/>
    <w:rsid w:val="35840EDB"/>
    <w:rsid w:val="35856DD3"/>
    <w:rsid w:val="358677AD"/>
    <w:rsid w:val="35887450"/>
    <w:rsid w:val="35891A89"/>
    <w:rsid w:val="35895269"/>
    <w:rsid w:val="35895362"/>
    <w:rsid w:val="358A2628"/>
    <w:rsid w:val="358A2DE4"/>
    <w:rsid w:val="358B5193"/>
    <w:rsid w:val="358C5FA8"/>
    <w:rsid w:val="358C62E7"/>
    <w:rsid w:val="358D75EC"/>
    <w:rsid w:val="358E17EA"/>
    <w:rsid w:val="358E4F55"/>
    <w:rsid w:val="358E5AF3"/>
    <w:rsid w:val="358F2AEF"/>
    <w:rsid w:val="358F726C"/>
    <w:rsid w:val="3590276F"/>
    <w:rsid w:val="359101F0"/>
    <w:rsid w:val="359207AA"/>
    <w:rsid w:val="35925C72"/>
    <w:rsid w:val="359314F5"/>
    <w:rsid w:val="35941175"/>
    <w:rsid w:val="359526FD"/>
    <w:rsid w:val="359549F8"/>
    <w:rsid w:val="35960D13"/>
    <w:rsid w:val="359720FA"/>
    <w:rsid w:val="35977BFB"/>
    <w:rsid w:val="359849D9"/>
    <w:rsid w:val="35987B7B"/>
    <w:rsid w:val="35995577"/>
    <w:rsid w:val="359955FD"/>
    <w:rsid w:val="359A6901"/>
    <w:rsid w:val="359B0B00"/>
    <w:rsid w:val="359B4383"/>
    <w:rsid w:val="359B768F"/>
    <w:rsid w:val="359C6581"/>
    <w:rsid w:val="359E17A7"/>
    <w:rsid w:val="359E5308"/>
    <w:rsid w:val="359F2D89"/>
    <w:rsid w:val="359F7506"/>
    <w:rsid w:val="35A0080B"/>
    <w:rsid w:val="35A2048B"/>
    <w:rsid w:val="35A23D0E"/>
    <w:rsid w:val="35A3178F"/>
    <w:rsid w:val="35A35F0C"/>
    <w:rsid w:val="35A5140F"/>
    <w:rsid w:val="35A52E1A"/>
    <w:rsid w:val="35A66E91"/>
    <w:rsid w:val="35A70196"/>
    <w:rsid w:val="35A70ED9"/>
    <w:rsid w:val="35A80303"/>
    <w:rsid w:val="35A87E15"/>
    <w:rsid w:val="35A93699"/>
    <w:rsid w:val="35A95897"/>
    <w:rsid w:val="35AA111A"/>
    <w:rsid w:val="35AA241A"/>
    <w:rsid w:val="35AA3319"/>
    <w:rsid w:val="35AB0D9A"/>
    <w:rsid w:val="35AB6B9C"/>
    <w:rsid w:val="35AC3B58"/>
    <w:rsid w:val="35AC461D"/>
    <w:rsid w:val="35AD209F"/>
    <w:rsid w:val="35AD429D"/>
    <w:rsid w:val="35AE1D1F"/>
    <w:rsid w:val="35AE50D1"/>
    <w:rsid w:val="35AE7B20"/>
    <w:rsid w:val="35AF5AAB"/>
    <w:rsid w:val="35AF5C6F"/>
    <w:rsid w:val="35AF77A0"/>
    <w:rsid w:val="35B00AA5"/>
    <w:rsid w:val="35B03024"/>
    <w:rsid w:val="35B16527"/>
    <w:rsid w:val="35B30926"/>
    <w:rsid w:val="35B31A2A"/>
    <w:rsid w:val="35B43C28"/>
    <w:rsid w:val="35B446E9"/>
    <w:rsid w:val="35B450D6"/>
    <w:rsid w:val="35B516AA"/>
    <w:rsid w:val="35B51CDA"/>
    <w:rsid w:val="35B53732"/>
    <w:rsid w:val="35B54F2D"/>
    <w:rsid w:val="35B629AE"/>
    <w:rsid w:val="35B70430"/>
    <w:rsid w:val="35B84CB0"/>
    <w:rsid w:val="35B85EB2"/>
    <w:rsid w:val="35B900B0"/>
    <w:rsid w:val="35B93933"/>
    <w:rsid w:val="35BA13B5"/>
    <w:rsid w:val="35BA5B31"/>
    <w:rsid w:val="35BA5F09"/>
    <w:rsid w:val="35BB6E36"/>
    <w:rsid w:val="35BD0021"/>
    <w:rsid w:val="35BD2339"/>
    <w:rsid w:val="35BD6AB6"/>
    <w:rsid w:val="35BE09FB"/>
    <w:rsid w:val="35BE7DBB"/>
    <w:rsid w:val="35BF159A"/>
    <w:rsid w:val="35BF1FB9"/>
    <w:rsid w:val="35C032BE"/>
    <w:rsid w:val="35C102F5"/>
    <w:rsid w:val="35C10D3F"/>
    <w:rsid w:val="35C12CD7"/>
    <w:rsid w:val="35C12F3E"/>
    <w:rsid w:val="35C15DF1"/>
    <w:rsid w:val="35C209BF"/>
    <w:rsid w:val="35C267C1"/>
    <w:rsid w:val="35C27393"/>
    <w:rsid w:val="35C36430"/>
    <w:rsid w:val="35C41CC4"/>
    <w:rsid w:val="35C43EC2"/>
    <w:rsid w:val="35C44DEE"/>
    <w:rsid w:val="35C4598D"/>
    <w:rsid w:val="35C51944"/>
    <w:rsid w:val="35C57746"/>
    <w:rsid w:val="35C802BA"/>
    <w:rsid w:val="35C806CA"/>
    <w:rsid w:val="35C9034A"/>
    <w:rsid w:val="35C967E8"/>
    <w:rsid w:val="35CA164F"/>
    <w:rsid w:val="35CB2596"/>
    <w:rsid w:val="35CC12CF"/>
    <w:rsid w:val="35CD25D4"/>
    <w:rsid w:val="35CE4D4C"/>
    <w:rsid w:val="35CF2253"/>
    <w:rsid w:val="35CF5088"/>
    <w:rsid w:val="35CF524D"/>
    <w:rsid w:val="35D07CD5"/>
    <w:rsid w:val="35D16601"/>
    <w:rsid w:val="35D20537"/>
    <w:rsid w:val="35D231D8"/>
    <w:rsid w:val="35D26A5B"/>
    <w:rsid w:val="35D30C5A"/>
    <w:rsid w:val="35D37B7A"/>
    <w:rsid w:val="35D41F5E"/>
    <w:rsid w:val="35D466DB"/>
    <w:rsid w:val="35D65462"/>
    <w:rsid w:val="35D80965"/>
    <w:rsid w:val="35D83F6D"/>
    <w:rsid w:val="35D850E1"/>
    <w:rsid w:val="35D92B63"/>
    <w:rsid w:val="35D94948"/>
    <w:rsid w:val="35D94B0C"/>
    <w:rsid w:val="35D9551E"/>
    <w:rsid w:val="35DB18E9"/>
    <w:rsid w:val="35DB6085"/>
    <w:rsid w:val="35DC736B"/>
    <w:rsid w:val="35DE286E"/>
    <w:rsid w:val="35DE4BD9"/>
    <w:rsid w:val="35DE4F44"/>
    <w:rsid w:val="35DE7FD8"/>
    <w:rsid w:val="35DF02EF"/>
    <w:rsid w:val="35DF0B77"/>
    <w:rsid w:val="35DF434D"/>
    <w:rsid w:val="35E01551"/>
    <w:rsid w:val="35E01715"/>
    <w:rsid w:val="35E022B4"/>
    <w:rsid w:val="35E0307F"/>
    <w:rsid w:val="35E05D71"/>
    <w:rsid w:val="35E11274"/>
    <w:rsid w:val="35E26CF6"/>
    <w:rsid w:val="35E421F9"/>
    <w:rsid w:val="35E57C7A"/>
    <w:rsid w:val="35E6631F"/>
    <w:rsid w:val="35E87898"/>
    <w:rsid w:val="35E96681"/>
    <w:rsid w:val="35EA0E10"/>
    <w:rsid w:val="35EA1EB9"/>
    <w:rsid w:val="35EC7605"/>
    <w:rsid w:val="35ED5087"/>
    <w:rsid w:val="35EE60E8"/>
    <w:rsid w:val="35EF5040"/>
    <w:rsid w:val="35F11CD1"/>
    <w:rsid w:val="35F122A3"/>
    <w:rsid w:val="35F1677D"/>
    <w:rsid w:val="35F2150E"/>
    <w:rsid w:val="35F36F90"/>
    <w:rsid w:val="35F40295"/>
    <w:rsid w:val="35F40894"/>
    <w:rsid w:val="35F44A12"/>
    <w:rsid w:val="35F5126F"/>
    <w:rsid w:val="35F52493"/>
    <w:rsid w:val="35F63798"/>
    <w:rsid w:val="35F75996"/>
    <w:rsid w:val="35F83386"/>
    <w:rsid w:val="35F93F25"/>
    <w:rsid w:val="35F94F74"/>
    <w:rsid w:val="35FA219E"/>
    <w:rsid w:val="35FA48FF"/>
    <w:rsid w:val="35FB1E1E"/>
    <w:rsid w:val="35FB603C"/>
    <w:rsid w:val="35FC0710"/>
    <w:rsid w:val="35FC56A1"/>
    <w:rsid w:val="35FC6BDB"/>
    <w:rsid w:val="35FD5321"/>
    <w:rsid w:val="35FE728D"/>
    <w:rsid w:val="35FF0CF3"/>
    <w:rsid w:val="35FF6626"/>
    <w:rsid w:val="360040A7"/>
    <w:rsid w:val="36011B29"/>
    <w:rsid w:val="3601226B"/>
    <w:rsid w:val="36013D27"/>
    <w:rsid w:val="360175AB"/>
    <w:rsid w:val="360217A9"/>
    <w:rsid w:val="36032AAE"/>
    <w:rsid w:val="3603722A"/>
    <w:rsid w:val="3604052F"/>
    <w:rsid w:val="36044CAC"/>
    <w:rsid w:val="3605272D"/>
    <w:rsid w:val="36065737"/>
    <w:rsid w:val="360658FC"/>
    <w:rsid w:val="36074A7F"/>
    <w:rsid w:val="36075C31"/>
    <w:rsid w:val="360836B2"/>
    <w:rsid w:val="36086E75"/>
    <w:rsid w:val="36091134"/>
    <w:rsid w:val="3609784F"/>
    <w:rsid w:val="360A03EE"/>
    <w:rsid w:val="360A2438"/>
    <w:rsid w:val="360A35C3"/>
    <w:rsid w:val="360B29CC"/>
    <w:rsid w:val="360B4637"/>
    <w:rsid w:val="360C20B8"/>
    <w:rsid w:val="360D33BD"/>
    <w:rsid w:val="360D7B3A"/>
    <w:rsid w:val="360E3C43"/>
    <w:rsid w:val="360F303D"/>
    <w:rsid w:val="360F461D"/>
    <w:rsid w:val="360F68C0"/>
    <w:rsid w:val="36100ABF"/>
    <w:rsid w:val="36113FC2"/>
    <w:rsid w:val="361374C5"/>
    <w:rsid w:val="36144F46"/>
    <w:rsid w:val="361529C8"/>
    <w:rsid w:val="361613EB"/>
    <w:rsid w:val="36173CCD"/>
    <w:rsid w:val="3618394C"/>
    <w:rsid w:val="36186477"/>
    <w:rsid w:val="361913CE"/>
    <w:rsid w:val="36193EDC"/>
    <w:rsid w:val="36194C51"/>
    <w:rsid w:val="361971D0"/>
    <w:rsid w:val="361B0154"/>
    <w:rsid w:val="361B39BB"/>
    <w:rsid w:val="361B3EDC"/>
    <w:rsid w:val="361B48D1"/>
    <w:rsid w:val="361C2353"/>
    <w:rsid w:val="361F010B"/>
    <w:rsid w:val="361F32D7"/>
    <w:rsid w:val="361F6B5B"/>
    <w:rsid w:val="36200AE6"/>
    <w:rsid w:val="3621205E"/>
    <w:rsid w:val="36227ADF"/>
    <w:rsid w:val="36242897"/>
    <w:rsid w:val="36250A64"/>
    <w:rsid w:val="362551E1"/>
    <w:rsid w:val="36266C69"/>
    <w:rsid w:val="362706E4"/>
    <w:rsid w:val="36273F67"/>
    <w:rsid w:val="36286165"/>
    <w:rsid w:val="36291668"/>
    <w:rsid w:val="3629746A"/>
    <w:rsid w:val="362A4EEC"/>
    <w:rsid w:val="362A5FE2"/>
    <w:rsid w:val="362A70EA"/>
    <w:rsid w:val="362B296D"/>
    <w:rsid w:val="362D006F"/>
    <w:rsid w:val="362E305B"/>
    <w:rsid w:val="362E5AF0"/>
    <w:rsid w:val="362F3BFA"/>
    <w:rsid w:val="36300FF3"/>
    <w:rsid w:val="36306DF5"/>
    <w:rsid w:val="363122F8"/>
    <w:rsid w:val="363244F6"/>
    <w:rsid w:val="36327D7A"/>
    <w:rsid w:val="36331F78"/>
    <w:rsid w:val="363357FB"/>
    <w:rsid w:val="363366EC"/>
    <w:rsid w:val="3633728A"/>
    <w:rsid w:val="3634327D"/>
    <w:rsid w:val="363479F9"/>
    <w:rsid w:val="36347E29"/>
    <w:rsid w:val="36350CFE"/>
    <w:rsid w:val="3635547B"/>
    <w:rsid w:val="36362EFD"/>
    <w:rsid w:val="3637097E"/>
    <w:rsid w:val="36371D7C"/>
    <w:rsid w:val="36371DF8"/>
    <w:rsid w:val="36371F41"/>
    <w:rsid w:val="36374201"/>
    <w:rsid w:val="36380B2B"/>
    <w:rsid w:val="36393E81"/>
    <w:rsid w:val="363A1903"/>
    <w:rsid w:val="363A4058"/>
    <w:rsid w:val="363A5186"/>
    <w:rsid w:val="363B2C08"/>
    <w:rsid w:val="363B7384"/>
    <w:rsid w:val="363D5FAB"/>
    <w:rsid w:val="363E3B8C"/>
    <w:rsid w:val="363F160E"/>
    <w:rsid w:val="363F5D8A"/>
    <w:rsid w:val="36410A9D"/>
    <w:rsid w:val="3641163C"/>
    <w:rsid w:val="36414B11"/>
    <w:rsid w:val="364221DA"/>
    <w:rsid w:val="36422592"/>
    <w:rsid w:val="36430014"/>
    <w:rsid w:val="36453517"/>
    <w:rsid w:val="36464E91"/>
    <w:rsid w:val="36476A1A"/>
    <w:rsid w:val="36491F1D"/>
    <w:rsid w:val="36496FA8"/>
    <w:rsid w:val="3649799F"/>
    <w:rsid w:val="364A5420"/>
    <w:rsid w:val="364A6DFC"/>
    <w:rsid w:val="364A7982"/>
    <w:rsid w:val="364B035D"/>
    <w:rsid w:val="364B2EA2"/>
    <w:rsid w:val="364D63A5"/>
    <w:rsid w:val="364E1A4C"/>
    <w:rsid w:val="364E3013"/>
    <w:rsid w:val="364E3E27"/>
    <w:rsid w:val="36514DAB"/>
    <w:rsid w:val="3652282D"/>
    <w:rsid w:val="365366A3"/>
    <w:rsid w:val="365537B1"/>
    <w:rsid w:val="36561233"/>
    <w:rsid w:val="36571359"/>
    <w:rsid w:val="36576CB4"/>
    <w:rsid w:val="36581D34"/>
    <w:rsid w:val="36584736"/>
    <w:rsid w:val="365921B8"/>
    <w:rsid w:val="36595A3B"/>
    <w:rsid w:val="365A3471"/>
    <w:rsid w:val="365A34BC"/>
    <w:rsid w:val="365B3E4B"/>
    <w:rsid w:val="365C69BF"/>
    <w:rsid w:val="365D4441"/>
    <w:rsid w:val="365D6127"/>
    <w:rsid w:val="365F40C1"/>
    <w:rsid w:val="365F7944"/>
    <w:rsid w:val="36601B42"/>
    <w:rsid w:val="36612E47"/>
    <w:rsid w:val="366175C4"/>
    <w:rsid w:val="366208C9"/>
    <w:rsid w:val="366215F3"/>
    <w:rsid w:val="36625046"/>
    <w:rsid w:val="36642D30"/>
    <w:rsid w:val="36647360"/>
    <w:rsid w:val="36647880"/>
    <w:rsid w:val="3665184D"/>
    <w:rsid w:val="36653A4C"/>
    <w:rsid w:val="366672CF"/>
    <w:rsid w:val="36676F4F"/>
    <w:rsid w:val="366859E7"/>
    <w:rsid w:val="36692452"/>
    <w:rsid w:val="366C0B20"/>
    <w:rsid w:val="366C0EB3"/>
    <w:rsid w:val="366C1077"/>
    <w:rsid w:val="366C33D7"/>
    <w:rsid w:val="366C6C5A"/>
    <w:rsid w:val="366D0E58"/>
    <w:rsid w:val="366D46DB"/>
    <w:rsid w:val="366E68DA"/>
    <w:rsid w:val="366F7BDE"/>
    <w:rsid w:val="36703B69"/>
    <w:rsid w:val="36703BB7"/>
    <w:rsid w:val="3671332B"/>
    <w:rsid w:val="3671785E"/>
    <w:rsid w:val="36720B63"/>
    <w:rsid w:val="367365E5"/>
    <w:rsid w:val="36744066"/>
    <w:rsid w:val="3674665B"/>
    <w:rsid w:val="36751AE8"/>
    <w:rsid w:val="36756265"/>
    <w:rsid w:val="367573BE"/>
    <w:rsid w:val="36770596"/>
    <w:rsid w:val="36771768"/>
    <w:rsid w:val="36774FEB"/>
    <w:rsid w:val="36792EB9"/>
    <w:rsid w:val="36794C6B"/>
    <w:rsid w:val="367A26EC"/>
    <w:rsid w:val="367B3FC7"/>
    <w:rsid w:val="367D6EF4"/>
    <w:rsid w:val="367E4976"/>
    <w:rsid w:val="367E60DF"/>
    <w:rsid w:val="367E6394"/>
    <w:rsid w:val="367F0ED1"/>
    <w:rsid w:val="367F45F6"/>
    <w:rsid w:val="36802077"/>
    <w:rsid w:val="36804BA6"/>
    <w:rsid w:val="36807682"/>
    <w:rsid w:val="36807E79"/>
    <w:rsid w:val="36810032"/>
    <w:rsid w:val="368158FA"/>
    <w:rsid w:val="36820344"/>
    <w:rsid w:val="36820D95"/>
    <w:rsid w:val="36820DFD"/>
    <w:rsid w:val="3682337C"/>
    <w:rsid w:val="3683687F"/>
    <w:rsid w:val="36842149"/>
    <w:rsid w:val="3684230E"/>
    <w:rsid w:val="36864425"/>
    <w:rsid w:val="36867804"/>
    <w:rsid w:val="36871A02"/>
    <w:rsid w:val="3689653D"/>
    <w:rsid w:val="368A2987"/>
    <w:rsid w:val="368A620A"/>
    <w:rsid w:val="368A6F17"/>
    <w:rsid w:val="368B0408"/>
    <w:rsid w:val="368C5E8A"/>
    <w:rsid w:val="368D049B"/>
    <w:rsid w:val="368E138D"/>
    <w:rsid w:val="368E4C10"/>
    <w:rsid w:val="368F25A7"/>
    <w:rsid w:val="368F2692"/>
    <w:rsid w:val="368F6E0E"/>
    <w:rsid w:val="36900113"/>
    <w:rsid w:val="36904890"/>
    <w:rsid w:val="36912311"/>
    <w:rsid w:val="36913CE5"/>
    <w:rsid w:val="36915B95"/>
    <w:rsid w:val="36923549"/>
    <w:rsid w:val="369246BF"/>
    <w:rsid w:val="36927D93"/>
    <w:rsid w:val="36931098"/>
    <w:rsid w:val="36935099"/>
    <w:rsid w:val="36940D18"/>
    <w:rsid w:val="369467D6"/>
    <w:rsid w:val="36946B19"/>
    <w:rsid w:val="3695459B"/>
    <w:rsid w:val="3696421B"/>
    <w:rsid w:val="36967D4F"/>
    <w:rsid w:val="36971C9C"/>
    <w:rsid w:val="3698771E"/>
    <w:rsid w:val="36992FA1"/>
    <w:rsid w:val="3699519F"/>
    <w:rsid w:val="369A0A23"/>
    <w:rsid w:val="369A2A06"/>
    <w:rsid w:val="369A64A4"/>
    <w:rsid w:val="369B06A2"/>
    <w:rsid w:val="369B35A4"/>
    <w:rsid w:val="369D3BA6"/>
    <w:rsid w:val="369D7429"/>
    <w:rsid w:val="369E0A48"/>
    <w:rsid w:val="369E1627"/>
    <w:rsid w:val="369F70A9"/>
    <w:rsid w:val="36A125AC"/>
    <w:rsid w:val="36A15E2F"/>
    <w:rsid w:val="36A1760F"/>
    <w:rsid w:val="36A238B1"/>
    <w:rsid w:val="36A31332"/>
    <w:rsid w:val="36A31726"/>
    <w:rsid w:val="36A35AAF"/>
    <w:rsid w:val="36A42101"/>
    <w:rsid w:val="36A422C5"/>
    <w:rsid w:val="36A43530"/>
    <w:rsid w:val="36A52C9F"/>
    <w:rsid w:val="36A54835"/>
    <w:rsid w:val="36A622B7"/>
    <w:rsid w:val="36A62FCB"/>
    <w:rsid w:val="36A77D38"/>
    <w:rsid w:val="36A84F7B"/>
    <w:rsid w:val="36A857BA"/>
    <w:rsid w:val="36A9323B"/>
    <w:rsid w:val="36A95791"/>
    <w:rsid w:val="36A95955"/>
    <w:rsid w:val="36AA0CBD"/>
    <w:rsid w:val="36AA5455"/>
    <w:rsid w:val="36AA6330"/>
    <w:rsid w:val="36AB673F"/>
    <w:rsid w:val="36AC33DB"/>
    <w:rsid w:val="36AC41C0"/>
    <w:rsid w:val="36AC78A9"/>
    <w:rsid w:val="36AD1C42"/>
    <w:rsid w:val="36B02BC6"/>
    <w:rsid w:val="36B23B4B"/>
    <w:rsid w:val="36B24676"/>
    <w:rsid w:val="36B260C9"/>
    <w:rsid w:val="36B35215"/>
    <w:rsid w:val="36B45BEF"/>
    <w:rsid w:val="36B62551"/>
    <w:rsid w:val="36B67168"/>
    <w:rsid w:val="36B75FBF"/>
    <w:rsid w:val="36B77FD3"/>
    <w:rsid w:val="36B85A54"/>
    <w:rsid w:val="36B9703B"/>
    <w:rsid w:val="36BA0F57"/>
    <w:rsid w:val="36BB29BD"/>
    <w:rsid w:val="36BB69D9"/>
    <w:rsid w:val="36BC3397"/>
    <w:rsid w:val="36BD0C45"/>
    <w:rsid w:val="36BE795E"/>
    <w:rsid w:val="36BF53DF"/>
    <w:rsid w:val="36C06A28"/>
    <w:rsid w:val="36C14165"/>
    <w:rsid w:val="36C175C6"/>
    <w:rsid w:val="36C21BE7"/>
    <w:rsid w:val="36C33DE5"/>
    <w:rsid w:val="36C41867"/>
    <w:rsid w:val="36C572E8"/>
    <w:rsid w:val="36C62E1B"/>
    <w:rsid w:val="36C727EB"/>
    <w:rsid w:val="36C737F5"/>
    <w:rsid w:val="36C7606F"/>
    <w:rsid w:val="36C767E4"/>
    <w:rsid w:val="36C80DD6"/>
    <w:rsid w:val="36C84394"/>
    <w:rsid w:val="36CA3770"/>
    <w:rsid w:val="36CA6FF3"/>
    <w:rsid w:val="36CB4A75"/>
    <w:rsid w:val="36CB704A"/>
    <w:rsid w:val="36CC24F7"/>
    <w:rsid w:val="36CC46F5"/>
    <w:rsid w:val="36CD7F78"/>
    <w:rsid w:val="36CE59FA"/>
    <w:rsid w:val="36CF347B"/>
    <w:rsid w:val="36D026DB"/>
    <w:rsid w:val="36D1697E"/>
    <w:rsid w:val="36D21E81"/>
    <w:rsid w:val="36D24400"/>
    <w:rsid w:val="36D265FE"/>
    <w:rsid w:val="36D34080"/>
    <w:rsid w:val="36D37903"/>
    <w:rsid w:val="36D45384"/>
    <w:rsid w:val="36D55BA7"/>
    <w:rsid w:val="36D57583"/>
    <w:rsid w:val="36D60888"/>
    <w:rsid w:val="36D63AD4"/>
    <w:rsid w:val="36D63E3F"/>
    <w:rsid w:val="36D72A86"/>
    <w:rsid w:val="36D76309"/>
    <w:rsid w:val="36D80507"/>
    <w:rsid w:val="36D82130"/>
    <w:rsid w:val="36D9180C"/>
    <w:rsid w:val="36DA728E"/>
    <w:rsid w:val="36DB4D0F"/>
    <w:rsid w:val="36DC334F"/>
    <w:rsid w:val="36DC6F0E"/>
    <w:rsid w:val="36DD0212"/>
    <w:rsid w:val="36DD498F"/>
    <w:rsid w:val="36DE2411"/>
    <w:rsid w:val="36DF3716"/>
    <w:rsid w:val="36DF7E92"/>
    <w:rsid w:val="36E01197"/>
    <w:rsid w:val="36E13395"/>
    <w:rsid w:val="36E20E17"/>
    <w:rsid w:val="36E3211C"/>
    <w:rsid w:val="36E40AF7"/>
    <w:rsid w:val="36E41D9C"/>
    <w:rsid w:val="36E5185A"/>
    <w:rsid w:val="36E552FC"/>
    <w:rsid w:val="36E5561F"/>
    <w:rsid w:val="36E55F46"/>
    <w:rsid w:val="36E64C78"/>
    <w:rsid w:val="36E66E69"/>
    <w:rsid w:val="36E94D26"/>
    <w:rsid w:val="36E96223"/>
    <w:rsid w:val="36EA1AA7"/>
    <w:rsid w:val="36EA3CA5"/>
    <w:rsid w:val="36EA58C4"/>
    <w:rsid w:val="36EA5A89"/>
    <w:rsid w:val="36EB1726"/>
    <w:rsid w:val="36EB4FAA"/>
    <w:rsid w:val="36EC71A8"/>
    <w:rsid w:val="36ED04AD"/>
    <w:rsid w:val="36ED4C29"/>
    <w:rsid w:val="36ED7BA0"/>
    <w:rsid w:val="36EE26AB"/>
    <w:rsid w:val="36EE5F2E"/>
    <w:rsid w:val="36EF0F55"/>
    <w:rsid w:val="36EF1119"/>
    <w:rsid w:val="36F01431"/>
    <w:rsid w:val="36F01751"/>
    <w:rsid w:val="36F05BAE"/>
    <w:rsid w:val="36F16142"/>
    <w:rsid w:val="36F210B1"/>
    <w:rsid w:val="36F24934"/>
    <w:rsid w:val="36F323B6"/>
    <w:rsid w:val="36F347AA"/>
    <w:rsid w:val="36F445B4"/>
    <w:rsid w:val="36F445E5"/>
    <w:rsid w:val="36F558B9"/>
    <w:rsid w:val="36F666FD"/>
    <w:rsid w:val="36F82FBB"/>
    <w:rsid w:val="36F8683E"/>
    <w:rsid w:val="36F87E3A"/>
    <w:rsid w:val="36F909D9"/>
    <w:rsid w:val="36F90A3C"/>
    <w:rsid w:val="36FA64BE"/>
    <w:rsid w:val="36FB19C1"/>
    <w:rsid w:val="36FB3F3F"/>
    <w:rsid w:val="36FC5244"/>
    <w:rsid w:val="36FD2CC6"/>
    <w:rsid w:val="36FD4EC4"/>
    <w:rsid w:val="36FE0747"/>
    <w:rsid w:val="36FE2945"/>
    <w:rsid w:val="36FF03C7"/>
    <w:rsid w:val="36FF4C08"/>
    <w:rsid w:val="37003C4A"/>
    <w:rsid w:val="370116CC"/>
    <w:rsid w:val="37013421"/>
    <w:rsid w:val="3702134C"/>
    <w:rsid w:val="3702714D"/>
    <w:rsid w:val="3703155C"/>
    <w:rsid w:val="37040C72"/>
    <w:rsid w:val="37040E86"/>
    <w:rsid w:val="3704484F"/>
    <w:rsid w:val="370522D0"/>
    <w:rsid w:val="37055B53"/>
    <w:rsid w:val="370635D5"/>
    <w:rsid w:val="37067D52"/>
    <w:rsid w:val="37071057"/>
    <w:rsid w:val="37094303"/>
    <w:rsid w:val="370B587C"/>
    <w:rsid w:val="370B7A5D"/>
    <w:rsid w:val="370C1C5B"/>
    <w:rsid w:val="370C54DE"/>
    <w:rsid w:val="370C65DF"/>
    <w:rsid w:val="370D6FB9"/>
    <w:rsid w:val="3711264A"/>
    <w:rsid w:val="371232F8"/>
    <w:rsid w:val="371273E8"/>
    <w:rsid w:val="37134E69"/>
    <w:rsid w:val="371428EB"/>
    <w:rsid w:val="3715036C"/>
    <w:rsid w:val="371766B4"/>
    <w:rsid w:val="37187417"/>
    <w:rsid w:val="37196D72"/>
    <w:rsid w:val="371A47F4"/>
    <w:rsid w:val="371B136A"/>
    <w:rsid w:val="371C1F09"/>
    <w:rsid w:val="371C2AA8"/>
    <w:rsid w:val="371D31FA"/>
    <w:rsid w:val="371D5E83"/>
    <w:rsid w:val="371E4021"/>
    <w:rsid w:val="371F4BBF"/>
    <w:rsid w:val="371F66FD"/>
    <w:rsid w:val="37211C00"/>
    <w:rsid w:val="37226814"/>
    <w:rsid w:val="37227682"/>
    <w:rsid w:val="37236633"/>
    <w:rsid w:val="37240250"/>
    <w:rsid w:val="37242B85"/>
    <w:rsid w:val="37250DEE"/>
    <w:rsid w:val="37253E8A"/>
    <w:rsid w:val="3726190B"/>
    <w:rsid w:val="37273B0A"/>
    <w:rsid w:val="3728158B"/>
    <w:rsid w:val="37284E0F"/>
    <w:rsid w:val="3729447F"/>
    <w:rsid w:val="372A0312"/>
    <w:rsid w:val="372A42BA"/>
    <w:rsid w:val="372C7F91"/>
    <w:rsid w:val="372D6F71"/>
    <w:rsid w:val="372F0F16"/>
    <w:rsid w:val="372F4799"/>
    <w:rsid w:val="37306998"/>
    <w:rsid w:val="37311C27"/>
    <w:rsid w:val="37314419"/>
    <w:rsid w:val="37317C9C"/>
    <w:rsid w:val="37323E3D"/>
    <w:rsid w:val="3733539E"/>
    <w:rsid w:val="3733791C"/>
    <w:rsid w:val="37342E1F"/>
    <w:rsid w:val="373566A3"/>
    <w:rsid w:val="37371BA6"/>
    <w:rsid w:val="37381826"/>
    <w:rsid w:val="37387627"/>
    <w:rsid w:val="373972A7"/>
    <w:rsid w:val="37397DA9"/>
    <w:rsid w:val="373A2B2A"/>
    <w:rsid w:val="373A4D29"/>
    <w:rsid w:val="373B1322"/>
    <w:rsid w:val="373B27AA"/>
    <w:rsid w:val="373B602E"/>
    <w:rsid w:val="373C022C"/>
    <w:rsid w:val="373D2A5F"/>
    <w:rsid w:val="373E204D"/>
    <w:rsid w:val="373E6FB2"/>
    <w:rsid w:val="373F4A34"/>
    <w:rsid w:val="374049B2"/>
    <w:rsid w:val="374146B4"/>
    <w:rsid w:val="37415715"/>
    <w:rsid w:val="374259B8"/>
    <w:rsid w:val="37437BB7"/>
    <w:rsid w:val="37440EBB"/>
    <w:rsid w:val="37445638"/>
    <w:rsid w:val="37445639"/>
    <w:rsid w:val="37447668"/>
    <w:rsid w:val="37460B3B"/>
    <w:rsid w:val="374643BF"/>
    <w:rsid w:val="37471E40"/>
    <w:rsid w:val="3748403E"/>
    <w:rsid w:val="37493898"/>
    <w:rsid w:val="374A2DC5"/>
    <w:rsid w:val="374A7542"/>
    <w:rsid w:val="374B0846"/>
    <w:rsid w:val="374C04C6"/>
    <w:rsid w:val="374C62C8"/>
    <w:rsid w:val="374D3D49"/>
    <w:rsid w:val="374D5F48"/>
    <w:rsid w:val="374E39C9"/>
    <w:rsid w:val="374E6F28"/>
    <w:rsid w:val="374F07A2"/>
    <w:rsid w:val="374F724D"/>
    <w:rsid w:val="374F7AC7"/>
    <w:rsid w:val="37504CCE"/>
    <w:rsid w:val="37512750"/>
    <w:rsid w:val="375201D1"/>
    <w:rsid w:val="37521A1A"/>
    <w:rsid w:val="37541156"/>
    <w:rsid w:val="375436D4"/>
    <w:rsid w:val="375458D3"/>
    <w:rsid w:val="37554894"/>
    <w:rsid w:val="37576857"/>
    <w:rsid w:val="375842D9"/>
    <w:rsid w:val="37587B5C"/>
    <w:rsid w:val="375909AC"/>
    <w:rsid w:val="37590D17"/>
    <w:rsid w:val="37591D5A"/>
    <w:rsid w:val="375A305F"/>
    <w:rsid w:val="375A77DC"/>
    <w:rsid w:val="375A7F6A"/>
    <w:rsid w:val="375B0AE1"/>
    <w:rsid w:val="375B525D"/>
    <w:rsid w:val="375B6C9C"/>
    <w:rsid w:val="375C12D9"/>
    <w:rsid w:val="375C149E"/>
    <w:rsid w:val="375C6562"/>
    <w:rsid w:val="375D0761"/>
    <w:rsid w:val="375D3FE4"/>
    <w:rsid w:val="375E61E2"/>
    <w:rsid w:val="375F74E7"/>
    <w:rsid w:val="376016E5"/>
    <w:rsid w:val="37604154"/>
    <w:rsid w:val="376129EA"/>
    <w:rsid w:val="37614B2E"/>
    <w:rsid w:val="37617167"/>
    <w:rsid w:val="3762046C"/>
    <w:rsid w:val="37624BE8"/>
    <w:rsid w:val="37635EED"/>
    <w:rsid w:val="376400EB"/>
    <w:rsid w:val="3764396F"/>
    <w:rsid w:val="37647620"/>
    <w:rsid w:val="376501BF"/>
    <w:rsid w:val="376513F0"/>
    <w:rsid w:val="3765344A"/>
    <w:rsid w:val="376535EE"/>
    <w:rsid w:val="37666E72"/>
    <w:rsid w:val="376736A9"/>
    <w:rsid w:val="37673BCA"/>
    <w:rsid w:val="37676AF2"/>
    <w:rsid w:val="376822D6"/>
    <w:rsid w:val="37682375"/>
    <w:rsid w:val="37682C68"/>
    <w:rsid w:val="37684573"/>
    <w:rsid w:val="37691FF5"/>
    <w:rsid w:val="376A384F"/>
    <w:rsid w:val="376A5878"/>
    <w:rsid w:val="376B0578"/>
    <w:rsid w:val="376B26E3"/>
    <w:rsid w:val="376B32F9"/>
    <w:rsid w:val="376C0D7B"/>
    <w:rsid w:val="376C2F79"/>
    <w:rsid w:val="376C4DC8"/>
    <w:rsid w:val="376C67FD"/>
    <w:rsid w:val="376D09FB"/>
    <w:rsid w:val="376D427E"/>
    <w:rsid w:val="376D5966"/>
    <w:rsid w:val="376E1D00"/>
    <w:rsid w:val="376F3EFE"/>
    <w:rsid w:val="376F7781"/>
    <w:rsid w:val="376F7A7E"/>
    <w:rsid w:val="3770061D"/>
    <w:rsid w:val="37705203"/>
    <w:rsid w:val="37717401"/>
    <w:rsid w:val="37720706"/>
    <w:rsid w:val="3775168B"/>
    <w:rsid w:val="37764687"/>
    <w:rsid w:val="3776710C"/>
    <w:rsid w:val="3778260F"/>
    <w:rsid w:val="377B7D18"/>
    <w:rsid w:val="377B7EDC"/>
    <w:rsid w:val="377C1015"/>
    <w:rsid w:val="377D1E2F"/>
    <w:rsid w:val="377D1FF4"/>
    <w:rsid w:val="377D6A97"/>
    <w:rsid w:val="377E29CE"/>
    <w:rsid w:val="377E3C25"/>
    <w:rsid w:val="377F1F9A"/>
    <w:rsid w:val="37807A1C"/>
    <w:rsid w:val="3781549D"/>
    <w:rsid w:val="37825684"/>
    <w:rsid w:val="378309A0"/>
    <w:rsid w:val="37846422"/>
    <w:rsid w:val="37851925"/>
    <w:rsid w:val="378571E0"/>
    <w:rsid w:val="37857C22"/>
    <w:rsid w:val="378673A6"/>
    <w:rsid w:val="37870D15"/>
    <w:rsid w:val="37874E28"/>
    <w:rsid w:val="378816EF"/>
    <w:rsid w:val="3789032B"/>
    <w:rsid w:val="378A2E2C"/>
    <w:rsid w:val="378B4569"/>
    <w:rsid w:val="378C12B0"/>
    <w:rsid w:val="378C4B33"/>
    <w:rsid w:val="378C4D7F"/>
    <w:rsid w:val="378C70B1"/>
    <w:rsid w:val="378D25B5"/>
    <w:rsid w:val="378D591E"/>
    <w:rsid w:val="378E0036"/>
    <w:rsid w:val="378F6E97"/>
    <w:rsid w:val="37903539"/>
    <w:rsid w:val="37907CB6"/>
    <w:rsid w:val="37921173"/>
    <w:rsid w:val="379231B9"/>
    <w:rsid w:val="37930C3B"/>
    <w:rsid w:val="37931D11"/>
    <w:rsid w:val="37941F3F"/>
    <w:rsid w:val="379426EC"/>
    <w:rsid w:val="3795001A"/>
    <w:rsid w:val="3795413E"/>
    <w:rsid w:val="37972EC4"/>
    <w:rsid w:val="3797463F"/>
    <w:rsid w:val="37974803"/>
    <w:rsid w:val="37980946"/>
    <w:rsid w:val="379850C2"/>
    <w:rsid w:val="37992B44"/>
    <w:rsid w:val="379A74B9"/>
    <w:rsid w:val="379B18CA"/>
    <w:rsid w:val="379B6047"/>
    <w:rsid w:val="379B7E94"/>
    <w:rsid w:val="379C086E"/>
    <w:rsid w:val="379C154A"/>
    <w:rsid w:val="379C734C"/>
    <w:rsid w:val="379D140C"/>
    <w:rsid w:val="379D4DCD"/>
    <w:rsid w:val="379D6FCC"/>
    <w:rsid w:val="379E1FAB"/>
    <w:rsid w:val="379E284F"/>
    <w:rsid w:val="379E4A4D"/>
    <w:rsid w:val="379F02D0"/>
    <w:rsid w:val="379F24CF"/>
    <w:rsid w:val="37A05D52"/>
    <w:rsid w:val="37A07F50"/>
    <w:rsid w:val="37A21255"/>
    <w:rsid w:val="37A2419B"/>
    <w:rsid w:val="37A24506"/>
    <w:rsid w:val="37A246BB"/>
    <w:rsid w:val="37A24C61"/>
    <w:rsid w:val="37A36CD7"/>
    <w:rsid w:val="37A4078E"/>
    <w:rsid w:val="37A429AC"/>
    <w:rsid w:val="37A543D8"/>
    <w:rsid w:val="37A61E5A"/>
    <w:rsid w:val="37A656DD"/>
    <w:rsid w:val="37A67753"/>
    <w:rsid w:val="37A70CCC"/>
    <w:rsid w:val="37A7315E"/>
    <w:rsid w:val="37A8186B"/>
    <w:rsid w:val="37A8535D"/>
    <w:rsid w:val="37A96661"/>
    <w:rsid w:val="37AA0860"/>
    <w:rsid w:val="37AA6F13"/>
    <w:rsid w:val="37AB1B65"/>
    <w:rsid w:val="37AB37BE"/>
    <w:rsid w:val="37AB62E1"/>
    <w:rsid w:val="37AC4521"/>
    <w:rsid w:val="37AD5068"/>
    <w:rsid w:val="37AE2AE9"/>
    <w:rsid w:val="37AF6474"/>
    <w:rsid w:val="37B05FEC"/>
    <w:rsid w:val="37B101EB"/>
    <w:rsid w:val="37B179ED"/>
    <w:rsid w:val="37B214EF"/>
    <w:rsid w:val="37B248D1"/>
    <w:rsid w:val="37B25C6C"/>
    <w:rsid w:val="37B36F71"/>
    <w:rsid w:val="37B41B04"/>
    <w:rsid w:val="37B46BF1"/>
    <w:rsid w:val="37B52474"/>
    <w:rsid w:val="37B54672"/>
    <w:rsid w:val="37B620F4"/>
    <w:rsid w:val="37B63DE0"/>
    <w:rsid w:val="37B67EF6"/>
    <w:rsid w:val="37B75977"/>
    <w:rsid w:val="37B77B75"/>
    <w:rsid w:val="37B833F9"/>
    <w:rsid w:val="37B85195"/>
    <w:rsid w:val="37B855F7"/>
    <w:rsid w:val="37B90E7A"/>
    <w:rsid w:val="37B95EF8"/>
    <w:rsid w:val="37BA0AFA"/>
    <w:rsid w:val="37BB437D"/>
    <w:rsid w:val="37BB657C"/>
    <w:rsid w:val="37BB7471"/>
    <w:rsid w:val="37BC1DFF"/>
    <w:rsid w:val="37BC3FFD"/>
    <w:rsid w:val="37BC7880"/>
    <w:rsid w:val="37BD0825"/>
    <w:rsid w:val="37BD09EA"/>
    <w:rsid w:val="37BD5302"/>
    <w:rsid w:val="37BE13C4"/>
    <w:rsid w:val="37BE14C0"/>
    <w:rsid w:val="37BE19E1"/>
    <w:rsid w:val="37BE2D84"/>
    <w:rsid w:val="37BF0805"/>
    <w:rsid w:val="37BF0DEA"/>
    <w:rsid w:val="37BF4AA8"/>
    <w:rsid w:val="37C02A03"/>
    <w:rsid w:val="37C02B01"/>
    <w:rsid w:val="37C06287"/>
    <w:rsid w:val="37C07B1C"/>
    <w:rsid w:val="37C10485"/>
    <w:rsid w:val="37C25F06"/>
    <w:rsid w:val="37C33988"/>
    <w:rsid w:val="37C355F3"/>
    <w:rsid w:val="37C3720B"/>
    <w:rsid w:val="37C46192"/>
    <w:rsid w:val="37C56E8B"/>
    <w:rsid w:val="37C60190"/>
    <w:rsid w:val="37C6490D"/>
    <w:rsid w:val="37C6770B"/>
    <w:rsid w:val="37C678CF"/>
    <w:rsid w:val="37C700E5"/>
    <w:rsid w:val="37C7238E"/>
    <w:rsid w:val="37C75C12"/>
    <w:rsid w:val="37CA3313"/>
    <w:rsid w:val="37CA6B96"/>
    <w:rsid w:val="37CB2F5F"/>
    <w:rsid w:val="37CB4618"/>
    <w:rsid w:val="37CC393A"/>
    <w:rsid w:val="37CD4298"/>
    <w:rsid w:val="37CD7B1B"/>
    <w:rsid w:val="37CE24AF"/>
    <w:rsid w:val="37CE281A"/>
    <w:rsid w:val="37CE559C"/>
    <w:rsid w:val="37CE779B"/>
    <w:rsid w:val="37CF1702"/>
    <w:rsid w:val="37CF521C"/>
    <w:rsid w:val="37D119EB"/>
    <w:rsid w:val="37D41ABC"/>
    <w:rsid w:val="37D474A6"/>
    <w:rsid w:val="37D5265A"/>
    <w:rsid w:val="37D529A9"/>
    <w:rsid w:val="37D6042A"/>
    <w:rsid w:val="37D8392D"/>
    <w:rsid w:val="37D913AF"/>
    <w:rsid w:val="37DB48B2"/>
    <w:rsid w:val="37DB610F"/>
    <w:rsid w:val="37DC2334"/>
    <w:rsid w:val="37DC7264"/>
    <w:rsid w:val="37DC7BBE"/>
    <w:rsid w:val="37DD7DB5"/>
    <w:rsid w:val="37DD7E02"/>
    <w:rsid w:val="37E00298"/>
    <w:rsid w:val="37E167BB"/>
    <w:rsid w:val="37E2423D"/>
    <w:rsid w:val="37E47740"/>
    <w:rsid w:val="37E551C2"/>
    <w:rsid w:val="37E5630E"/>
    <w:rsid w:val="37E62C43"/>
    <w:rsid w:val="37E66CE8"/>
    <w:rsid w:val="37E706C5"/>
    <w:rsid w:val="37E77886"/>
    <w:rsid w:val="37E80261"/>
    <w:rsid w:val="37E93BC8"/>
    <w:rsid w:val="37EA0AA2"/>
    <w:rsid w:val="37EA1649"/>
    <w:rsid w:val="37EB2D52"/>
    <w:rsid w:val="37EB70CB"/>
    <w:rsid w:val="37EC3AB6"/>
    <w:rsid w:val="37EC4B4C"/>
    <w:rsid w:val="37ED004F"/>
    <w:rsid w:val="37ED25CE"/>
    <w:rsid w:val="37EF3553"/>
    <w:rsid w:val="37F065A7"/>
    <w:rsid w:val="37F244D7"/>
    <w:rsid w:val="37F306BF"/>
    <w:rsid w:val="37F31F59"/>
    <w:rsid w:val="37F35292"/>
    <w:rsid w:val="37F37D5B"/>
    <w:rsid w:val="37F479DA"/>
    <w:rsid w:val="37F50CDF"/>
    <w:rsid w:val="37F5325E"/>
    <w:rsid w:val="37F5545C"/>
    <w:rsid w:val="37F62EDD"/>
    <w:rsid w:val="37F66761"/>
    <w:rsid w:val="37F7095F"/>
    <w:rsid w:val="37F741E2"/>
    <w:rsid w:val="37F81C64"/>
    <w:rsid w:val="37F83D4F"/>
    <w:rsid w:val="37F848EE"/>
    <w:rsid w:val="37F863E1"/>
    <w:rsid w:val="37F93E62"/>
    <w:rsid w:val="37F976E5"/>
    <w:rsid w:val="37FA18E4"/>
    <w:rsid w:val="37FA5167"/>
    <w:rsid w:val="37FB204D"/>
    <w:rsid w:val="37FB2BE8"/>
    <w:rsid w:val="37FB6841"/>
    <w:rsid w:val="37FC066A"/>
    <w:rsid w:val="37FD2868"/>
    <w:rsid w:val="37FF15EF"/>
    <w:rsid w:val="37FF5D6B"/>
    <w:rsid w:val="3802344A"/>
    <w:rsid w:val="38026CF0"/>
    <w:rsid w:val="38033FE9"/>
    <w:rsid w:val="38037FF5"/>
    <w:rsid w:val="380421F3"/>
    <w:rsid w:val="38044B88"/>
    <w:rsid w:val="38045A76"/>
    <w:rsid w:val="380556F6"/>
    <w:rsid w:val="380562C5"/>
    <w:rsid w:val="38060F79"/>
    <w:rsid w:val="38066101"/>
    <w:rsid w:val="3808426D"/>
    <w:rsid w:val="3808447D"/>
    <w:rsid w:val="380940FC"/>
    <w:rsid w:val="380A1B7E"/>
    <w:rsid w:val="380A28CA"/>
    <w:rsid w:val="380B24F4"/>
    <w:rsid w:val="380B4369"/>
    <w:rsid w:val="380B7600"/>
    <w:rsid w:val="380C2D0A"/>
    <w:rsid w:val="380C5081"/>
    <w:rsid w:val="380D6386"/>
    <w:rsid w:val="3810730B"/>
    <w:rsid w:val="38111509"/>
    <w:rsid w:val="38114D8C"/>
    <w:rsid w:val="3813028F"/>
    <w:rsid w:val="38134A0C"/>
    <w:rsid w:val="38137C9C"/>
    <w:rsid w:val="38145D11"/>
    <w:rsid w:val="38151BEF"/>
    <w:rsid w:val="38151DB4"/>
    <w:rsid w:val="38153792"/>
    <w:rsid w:val="38156F95"/>
    <w:rsid w:val="38157F0F"/>
    <w:rsid w:val="38166895"/>
    <w:rsid w:val="3816748C"/>
    <w:rsid w:val="38176374"/>
    <w:rsid w:val="38176C95"/>
    <w:rsid w:val="38180E94"/>
    <w:rsid w:val="38192198"/>
    <w:rsid w:val="381948A5"/>
    <w:rsid w:val="38196915"/>
    <w:rsid w:val="381A4397"/>
    <w:rsid w:val="381A5280"/>
    <w:rsid w:val="381B1E18"/>
    <w:rsid w:val="381C311D"/>
    <w:rsid w:val="381C69BD"/>
    <w:rsid w:val="381D0B9F"/>
    <w:rsid w:val="381D1ED5"/>
    <w:rsid w:val="381D2D9D"/>
    <w:rsid w:val="381D7397"/>
    <w:rsid w:val="381E6620"/>
    <w:rsid w:val="381E7F36"/>
    <w:rsid w:val="381F0910"/>
    <w:rsid w:val="381F40A2"/>
    <w:rsid w:val="38201B23"/>
    <w:rsid w:val="38203D22"/>
    <w:rsid w:val="382117A3"/>
    <w:rsid w:val="38222A28"/>
    <w:rsid w:val="38227225"/>
    <w:rsid w:val="38232AA8"/>
    <w:rsid w:val="38234CA6"/>
    <w:rsid w:val="382501A9"/>
    <w:rsid w:val="38253A2D"/>
    <w:rsid w:val="38260110"/>
    <w:rsid w:val="38265C2B"/>
    <w:rsid w:val="3826627C"/>
    <w:rsid w:val="38267DA4"/>
    <w:rsid w:val="382736AC"/>
    <w:rsid w:val="3828112E"/>
    <w:rsid w:val="38290394"/>
    <w:rsid w:val="38296BB0"/>
    <w:rsid w:val="382A4631"/>
    <w:rsid w:val="382A7EB4"/>
    <w:rsid w:val="382B20B3"/>
    <w:rsid w:val="382B5936"/>
    <w:rsid w:val="382C7B34"/>
    <w:rsid w:val="382D0E39"/>
    <w:rsid w:val="382E3037"/>
    <w:rsid w:val="382E3A24"/>
    <w:rsid w:val="382F433C"/>
    <w:rsid w:val="3830653A"/>
    <w:rsid w:val="383252C1"/>
    <w:rsid w:val="38332D42"/>
    <w:rsid w:val="38333F25"/>
    <w:rsid w:val="383374BF"/>
    <w:rsid w:val="38344F41"/>
    <w:rsid w:val="383511CC"/>
    <w:rsid w:val="383529C2"/>
    <w:rsid w:val="38360444"/>
    <w:rsid w:val="38363CC7"/>
    <w:rsid w:val="38365EC5"/>
    <w:rsid w:val="38371749"/>
    <w:rsid w:val="38373947"/>
    <w:rsid w:val="383813C8"/>
    <w:rsid w:val="383871CA"/>
    <w:rsid w:val="38393E83"/>
    <w:rsid w:val="38396E4A"/>
    <w:rsid w:val="383A26CD"/>
    <w:rsid w:val="383B014F"/>
    <w:rsid w:val="383B234D"/>
    <w:rsid w:val="383C5DD6"/>
    <w:rsid w:val="383C5F9A"/>
    <w:rsid w:val="383D3652"/>
    <w:rsid w:val="383D5850"/>
    <w:rsid w:val="383F08C7"/>
    <w:rsid w:val="38402058"/>
    <w:rsid w:val="38417ADA"/>
    <w:rsid w:val="38422BA3"/>
    <w:rsid w:val="38440A5E"/>
    <w:rsid w:val="38454AF6"/>
    <w:rsid w:val="38454CBB"/>
    <w:rsid w:val="384567DB"/>
    <w:rsid w:val="38465695"/>
    <w:rsid w:val="3847606F"/>
    <w:rsid w:val="38485EB0"/>
    <w:rsid w:val="38486C0E"/>
    <w:rsid w:val="38494EE6"/>
    <w:rsid w:val="384A0187"/>
    <w:rsid w:val="384B03E9"/>
    <w:rsid w:val="384C5E6B"/>
    <w:rsid w:val="384E136E"/>
    <w:rsid w:val="385009BF"/>
    <w:rsid w:val="385122F2"/>
    <w:rsid w:val="38515AF3"/>
    <w:rsid w:val="38547C0B"/>
    <w:rsid w:val="385507AA"/>
    <w:rsid w:val="385641FC"/>
    <w:rsid w:val="3856677A"/>
    <w:rsid w:val="38571C7D"/>
    <w:rsid w:val="38585500"/>
    <w:rsid w:val="385A0A04"/>
    <w:rsid w:val="385A2C02"/>
    <w:rsid w:val="385B0683"/>
    <w:rsid w:val="385C3F07"/>
    <w:rsid w:val="385C6105"/>
    <w:rsid w:val="385D1988"/>
    <w:rsid w:val="385E1608"/>
    <w:rsid w:val="385F275A"/>
    <w:rsid w:val="385F290D"/>
    <w:rsid w:val="386019AE"/>
    <w:rsid w:val="38604B0B"/>
    <w:rsid w:val="386115E2"/>
    <w:rsid w:val="38615E10"/>
    <w:rsid w:val="3862000E"/>
    <w:rsid w:val="38635A90"/>
    <w:rsid w:val="38643511"/>
    <w:rsid w:val="38643535"/>
    <w:rsid w:val="38646D95"/>
    <w:rsid w:val="38650F93"/>
    <w:rsid w:val="386540D4"/>
    <w:rsid w:val="38654816"/>
    <w:rsid w:val="38662298"/>
    <w:rsid w:val="38666A14"/>
    <w:rsid w:val="38674496"/>
    <w:rsid w:val="3868579B"/>
    <w:rsid w:val="3869321C"/>
    <w:rsid w:val="38697999"/>
    <w:rsid w:val="386B2E9C"/>
    <w:rsid w:val="386B671F"/>
    <w:rsid w:val="386C091E"/>
    <w:rsid w:val="386C187C"/>
    <w:rsid w:val="386D639F"/>
    <w:rsid w:val="386E18A2"/>
    <w:rsid w:val="386E2FB9"/>
    <w:rsid w:val="386E3C6A"/>
    <w:rsid w:val="386E3E21"/>
    <w:rsid w:val="386E76A4"/>
    <w:rsid w:val="386F7324"/>
    <w:rsid w:val="38704DA6"/>
    <w:rsid w:val="38712827"/>
    <w:rsid w:val="387202A9"/>
    <w:rsid w:val="38725AAB"/>
    <w:rsid w:val="38735D2A"/>
    <w:rsid w:val="38736485"/>
    <w:rsid w:val="387437AC"/>
    <w:rsid w:val="3875122D"/>
    <w:rsid w:val="3875702F"/>
    <w:rsid w:val="38762532"/>
    <w:rsid w:val="38764AB1"/>
    <w:rsid w:val="38771CDA"/>
    <w:rsid w:val="38774730"/>
    <w:rsid w:val="38777FB4"/>
    <w:rsid w:val="387821B2"/>
    <w:rsid w:val="38797C33"/>
    <w:rsid w:val="387A0F38"/>
    <w:rsid w:val="387A56B5"/>
    <w:rsid w:val="387B3137"/>
    <w:rsid w:val="387B47CC"/>
    <w:rsid w:val="387B69BA"/>
    <w:rsid w:val="387B78CA"/>
    <w:rsid w:val="387C0BB8"/>
    <w:rsid w:val="387C443B"/>
    <w:rsid w:val="387C536A"/>
    <w:rsid w:val="387D1EBD"/>
    <w:rsid w:val="387E7977"/>
    <w:rsid w:val="387F1B3D"/>
    <w:rsid w:val="387F7482"/>
    <w:rsid w:val="38800020"/>
    <w:rsid w:val="38802E42"/>
    <w:rsid w:val="388075BE"/>
    <w:rsid w:val="388108C3"/>
    <w:rsid w:val="388109FB"/>
    <w:rsid w:val="38821599"/>
    <w:rsid w:val="38821F74"/>
    <w:rsid w:val="38830543"/>
    <w:rsid w:val="38841C4D"/>
    <w:rsid w:val="388434EC"/>
    <w:rsid w:val="38845FC5"/>
    <w:rsid w:val="38853A46"/>
    <w:rsid w:val="38864C2A"/>
    <w:rsid w:val="38864D4B"/>
    <w:rsid w:val="38866F49"/>
    <w:rsid w:val="388757C8"/>
    <w:rsid w:val="38883C0B"/>
    <w:rsid w:val="38892B83"/>
    <w:rsid w:val="38895CD0"/>
    <w:rsid w:val="38897ECE"/>
    <w:rsid w:val="388A225D"/>
    <w:rsid w:val="388A3751"/>
    <w:rsid w:val="388A594F"/>
    <w:rsid w:val="388B11D3"/>
    <w:rsid w:val="388B12FA"/>
    <w:rsid w:val="388B33D1"/>
    <w:rsid w:val="388C6C54"/>
    <w:rsid w:val="388D19F8"/>
    <w:rsid w:val="388D46D6"/>
    <w:rsid w:val="388E4356"/>
    <w:rsid w:val="388F1DD7"/>
    <w:rsid w:val="388F2F70"/>
    <w:rsid w:val="388F3B0F"/>
    <w:rsid w:val="389038F8"/>
    <w:rsid w:val="38907859"/>
    <w:rsid w:val="389152DA"/>
    <w:rsid w:val="38925A62"/>
    <w:rsid w:val="38925C27"/>
    <w:rsid w:val="389265DF"/>
    <w:rsid w:val="38934061"/>
    <w:rsid w:val="38941AE2"/>
    <w:rsid w:val="3894435E"/>
    <w:rsid w:val="3894625F"/>
    <w:rsid w:val="38960718"/>
    <w:rsid w:val="38964FE5"/>
    <w:rsid w:val="38972A67"/>
    <w:rsid w:val="389771E3"/>
    <w:rsid w:val="38981C91"/>
    <w:rsid w:val="38984C65"/>
    <w:rsid w:val="3899266B"/>
    <w:rsid w:val="38993FF8"/>
    <w:rsid w:val="389A280A"/>
    <w:rsid w:val="389A2B75"/>
    <w:rsid w:val="389A39EB"/>
    <w:rsid w:val="389B146D"/>
    <w:rsid w:val="389B3DA9"/>
    <w:rsid w:val="389B5BEA"/>
    <w:rsid w:val="389C366B"/>
    <w:rsid w:val="389C6EEF"/>
    <w:rsid w:val="389D10ED"/>
    <w:rsid w:val="389D4970"/>
    <w:rsid w:val="389E23F2"/>
    <w:rsid w:val="389E45F0"/>
    <w:rsid w:val="389E689B"/>
    <w:rsid w:val="38A058F5"/>
    <w:rsid w:val="38A13376"/>
    <w:rsid w:val="38A22FF6"/>
    <w:rsid w:val="38A30A78"/>
    <w:rsid w:val="38A36879"/>
    <w:rsid w:val="38A42ACA"/>
    <w:rsid w:val="38A51D7C"/>
    <w:rsid w:val="38A53668"/>
    <w:rsid w:val="38A65280"/>
    <w:rsid w:val="38A677FE"/>
    <w:rsid w:val="38A74BE1"/>
    <w:rsid w:val="38A76B41"/>
    <w:rsid w:val="38A85780"/>
    <w:rsid w:val="38A96204"/>
    <w:rsid w:val="38AA3C86"/>
    <w:rsid w:val="38AC7189"/>
    <w:rsid w:val="38AD4C0A"/>
    <w:rsid w:val="38AE2389"/>
    <w:rsid w:val="38AE268C"/>
    <w:rsid w:val="38AF010E"/>
    <w:rsid w:val="38AF2F28"/>
    <w:rsid w:val="38AF6970"/>
    <w:rsid w:val="38B13611"/>
    <w:rsid w:val="38B302F9"/>
    <w:rsid w:val="38B35A1A"/>
    <w:rsid w:val="38B36B14"/>
    <w:rsid w:val="38B44595"/>
    <w:rsid w:val="38B51168"/>
    <w:rsid w:val="38B57157"/>
    <w:rsid w:val="38B67CF6"/>
    <w:rsid w:val="38B73617"/>
    <w:rsid w:val="38B74B11"/>
    <w:rsid w:val="38B810AA"/>
    <w:rsid w:val="38B81E0D"/>
    <w:rsid w:val="38B86A98"/>
    <w:rsid w:val="38B927E7"/>
    <w:rsid w:val="38BA649F"/>
    <w:rsid w:val="38BD7423"/>
    <w:rsid w:val="38BE0728"/>
    <w:rsid w:val="38BF03A8"/>
    <w:rsid w:val="38C05153"/>
    <w:rsid w:val="38C05E29"/>
    <w:rsid w:val="38C17F8F"/>
    <w:rsid w:val="38C2096A"/>
    <w:rsid w:val="38C2132C"/>
    <w:rsid w:val="38C2712E"/>
    <w:rsid w:val="38C34BB0"/>
    <w:rsid w:val="38C352E3"/>
    <w:rsid w:val="38C500B3"/>
    <w:rsid w:val="38C5276A"/>
    <w:rsid w:val="38C52A81"/>
    <w:rsid w:val="38C63620"/>
    <w:rsid w:val="38C67D33"/>
    <w:rsid w:val="38C70CD4"/>
    <w:rsid w:val="38C71038"/>
    <w:rsid w:val="38C757B4"/>
    <w:rsid w:val="38C83236"/>
    <w:rsid w:val="38C9453B"/>
    <w:rsid w:val="38C96112"/>
    <w:rsid w:val="38CA6739"/>
    <w:rsid w:val="38CB7A3E"/>
    <w:rsid w:val="38CC1C3C"/>
    <w:rsid w:val="38CC54BF"/>
    <w:rsid w:val="38CE513F"/>
    <w:rsid w:val="38CF6444"/>
    <w:rsid w:val="38D03EC5"/>
    <w:rsid w:val="38D11947"/>
    <w:rsid w:val="38D160C4"/>
    <w:rsid w:val="38D23B45"/>
    <w:rsid w:val="38D273C9"/>
    <w:rsid w:val="38D315C7"/>
    <w:rsid w:val="38D34FF7"/>
    <w:rsid w:val="38D428CC"/>
    <w:rsid w:val="38D43D3D"/>
    <w:rsid w:val="38D44413"/>
    <w:rsid w:val="38D44934"/>
    <w:rsid w:val="38D45B95"/>
    <w:rsid w:val="38D47048"/>
    <w:rsid w:val="38D56870"/>
    <w:rsid w:val="38D67AE9"/>
    <w:rsid w:val="38D77FCD"/>
    <w:rsid w:val="38D812D2"/>
    <w:rsid w:val="38D91DC5"/>
    <w:rsid w:val="38D96D53"/>
    <w:rsid w:val="38DA279F"/>
    <w:rsid w:val="38DA2963"/>
    <w:rsid w:val="38DA2E78"/>
    <w:rsid w:val="38DA47D5"/>
    <w:rsid w:val="38DA69D3"/>
    <w:rsid w:val="38DB3179"/>
    <w:rsid w:val="38DB4455"/>
    <w:rsid w:val="38DC7CD8"/>
    <w:rsid w:val="38DD575A"/>
    <w:rsid w:val="38DE31DB"/>
    <w:rsid w:val="38DF0C5D"/>
    <w:rsid w:val="38DF2E5B"/>
    <w:rsid w:val="38DF66DE"/>
    <w:rsid w:val="38E008DD"/>
    <w:rsid w:val="38E11BE1"/>
    <w:rsid w:val="38E1635E"/>
    <w:rsid w:val="38E20AE5"/>
    <w:rsid w:val="38E27F47"/>
    <w:rsid w:val="38E31861"/>
    <w:rsid w:val="38E505E8"/>
    <w:rsid w:val="38E54D64"/>
    <w:rsid w:val="38E627E6"/>
    <w:rsid w:val="38E73AEB"/>
    <w:rsid w:val="38E8156C"/>
    <w:rsid w:val="38E85CE9"/>
    <w:rsid w:val="38E866DD"/>
    <w:rsid w:val="38E96FEE"/>
    <w:rsid w:val="38EA11EC"/>
    <w:rsid w:val="38EB4E21"/>
    <w:rsid w:val="38EB6C6E"/>
    <w:rsid w:val="38EB6E2C"/>
    <w:rsid w:val="38EC46EF"/>
    <w:rsid w:val="38ED03A5"/>
    <w:rsid w:val="38ED59F4"/>
    <w:rsid w:val="38EE0F44"/>
    <w:rsid w:val="38EE3475"/>
    <w:rsid w:val="38EE7BF2"/>
    <w:rsid w:val="38EF191E"/>
    <w:rsid w:val="38EF1AE2"/>
    <w:rsid w:val="38EF30F5"/>
    <w:rsid w:val="38F022F8"/>
    <w:rsid w:val="38F0305B"/>
    <w:rsid w:val="38F10B41"/>
    <w:rsid w:val="38F12CD3"/>
    <w:rsid w:val="38F165F8"/>
    <w:rsid w:val="38F21E7C"/>
    <w:rsid w:val="38F2407A"/>
    <w:rsid w:val="38F24410"/>
    <w:rsid w:val="38F35173"/>
    <w:rsid w:val="38F42DE1"/>
    <w:rsid w:val="38F4537F"/>
    <w:rsid w:val="38F4757D"/>
    <w:rsid w:val="38F52E00"/>
    <w:rsid w:val="38F54FFF"/>
    <w:rsid w:val="38F60882"/>
    <w:rsid w:val="38F70502"/>
    <w:rsid w:val="38F73D85"/>
    <w:rsid w:val="38F760C4"/>
    <w:rsid w:val="38F76303"/>
    <w:rsid w:val="38F81807"/>
    <w:rsid w:val="38F85F83"/>
    <w:rsid w:val="38F93A05"/>
    <w:rsid w:val="38F94775"/>
    <w:rsid w:val="38F97288"/>
    <w:rsid w:val="38FA1486"/>
    <w:rsid w:val="38FA1D7C"/>
    <w:rsid w:val="38FA3DA1"/>
    <w:rsid w:val="38FB6F08"/>
    <w:rsid w:val="38FC32F5"/>
    <w:rsid w:val="38FD240B"/>
    <w:rsid w:val="38FE3710"/>
    <w:rsid w:val="38FE47A2"/>
    <w:rsid w:val="38FE7E8D"/>
    <w:rsid w:val="38FF40CB"/>
    <w:rsid w:val="39003390"/>
    <w:rsid w:val="39010E11"/>
    <w:rsid w:val="39014694"/>
    <w:rsid w:val="39027EFE"/>
    <w:rsid w:val="3903154F"/>
    <w:rsid w:val="39037B98"/>
    <w:rsid w:val="39045619"/>
    <w:rsid w:val="3905309B"/>
    <w:rsid w:val="39057817"/>
    <w:rsid w:val="3907079C"/>
    <w:rsid w:val="39072D1B"/>
    <w:rsid w:val="3908401F"/>
    <w:rsid w:val="3908412D"/>
    <w:rsid w:val="39091AA1"/>
    <w:rsid w:val="39094CCC"/>
    <w:rsid w:val="390B6DE3"/>
    <w:rsid w:val="390D04A7"/>
    <w:rsid w:val="390D6387"/>
    <w:rsid w:val="390E0D37"/>
    <w:rsid w:val="390E5790"/>
    <w:rsid w:val="390E5F29"/>
    <w:rsid w:val="390F39AA"/>
    <w:rsid w:val="390F4B99"/>
    <w:rsid w:val="39102474"/>
    <w:rsid w:val="39106EAD"/>
    <w:rsid w:val="39113013"/>
    <w:rsid w:val="391223B0"/>
    <w:rsid w:val="3914512A"/>
    <w:rsid w:val="391458B3"/>
    <w:rsid w:val="391666A3"/>
    <w:rsid w:val="391842BA"/>
    <w:rsid w:val="39191195"/>
    <w:rsid w:val="391A2AB5"/>
    <w:rsid w:val="391A77BD"/>
    <w:rsid w:val="391C2CC0"/>
    <w:rsid w:val="391D0741"/>
    <w:rsid w:val="391D752C"/>
    <w:rsid w:val="391E6AEA"/>
    <w:rsid w:val="391F47BA"/>
    <w:rsid w:val="3920255E"/>
    <w:rsid w:val="39216B01"/>
    <w:rsid w:val="39224BC9"/>
    <w:rsid w:val="392274DB"/>
    <w:rsid w:val="392513D1"/>
    <w:rsid w:val="39255B4E"/>
    <w:rsid w:val="39262192"/>
    <w:rsid w:val="39262D30"/>
    <w:rsid w:val="39266E53"/>
    <w:rsid w:val="392748D4"/>
    <w:rsid w:val="39276AD2"/>
    <w:rsid w:val="39282356"/>
    <w:rsid w:val="39284554"/>
    <w:rsid w:val="392971ED"/>
    <w:rsid w:val="39297DD7"/>
    <w:rsid w:val="392A36AD"/>
    <w:rsid w:val="392A5859"/>
    <w:rsid w:val="392A7A57"/>
    <w:rsid w:val="392B32DA"/>
    <w:rsid w:val="392B54D9"/>
    <w:rsid w:val="392B63C1"/>
    <w:rsid w:val="392C0D5C"/>
    <w:rsid w:val="392C2F5A"/>
    <w:rsid w:val="392D67DD"/>
    <w:rsid w:val="392E425F"/>
    <w:rsid w:val="392E645D"/>
    <w:rsid w:val="392F0EB2"/>
    <w:rsid w:val="392F1CE1"/>
    <w:rsid w:val="392F7762"/>
    <w:rsid w:val="39301960"/>
    <w:rsid w:val="393125F0"/>
    <w:rsid w:val="393206E7"/>
    <w:rsid w:val="39325651"/>
    <w:rsid w:val="393323CA"/>
    <w:rsid w:val="393328E5"/>
    <w:rsid w:val="39343BEA"/>
    <w:rsid w:val="3935166B"/>
    <w:rsid w:val="3936386A"/>
    <w:rsid w:val="393670ED"/>
    <w:rsid w:val="393712EB"/>
    <w:rsid w:val="39374B6F"/>
    <w:rsid w:val="39386D6D"/>
    <w:rsid w:val="393A114C"/>
    <w:rsid w:val="393A2270"/>
    <w:rsid w:val="393B3575"/>
    <w:rsid w:val="393B7CF1"/>
    <w:rsid w:val="393C0FF6"/>
    <w:rsid w:val="393D727C"/>
    <w:rsid w:val="393F1F7B"/>
    <w:rsid w:val="393F49A1"/>
    <w:rsid w:val="393F635E"/>
    <w:rsid w:val="39401BFB"/>
    <w:rsid w:val="39405540"/>
    <w:rsid w:val="394079FC"/>
    <w:rsid w:val="3941547E"/>
    <w:rsid w:val="3941767C"/>
    <w:rsid w:val="394250FE"/>
    <w:rsid w:val="39440601"/>
    <w:rsid w:val="39453E84"/>
    <w:rsid w:val="39461906"/>
    <w:rsid w:val="39463B04"/>
    <w:rsid w:val="39477387"/>
    <w:rsid w:val="39477DDB"/>
    <w:rsid w:val="394836C2"/>
    <w:rsid w:val="39484E09"/>
    <w:rsid w:val="394871E4"/>
    <w:rsid w:val="394878BA"/>
    <w:rsid w:val="3949030C"/>
    <w:rsid w:val="394B380F"/>
    <w:rsid w:val="394B7F8C"/>
    <w:rsid w:val="394C1291"/>
    <w:rsid w:val="394C5A0D"/>
    <w:rsid w:val="394C6378"/>
    <w:rsid w:val="394D2FF3"/>
    <w:rsid w:val="394D44EC"/>
    <w:rsid w:val="394D6D52"/>
    <w:rsid w:val="394E78F1"/>
    <w:rsid w:val="394F2215"/>
    <w:rsid w:val="394F6992"/>
    <w:rsid w:val="39500E6A"/>
    <w:rsid w:val="39507C97"/>
    <w:rsid w:val="39511E95"/>
    <w:rsid w:val="39515718"/>
    <w:rsid w:val="39522F81"/>
    <w:rsid w:val="39530C1B"/>
    <w:rsid w:val="3953395C"/>
    <w:rsid w:val="39535398"/>
    <w:rsid w:val="3954669D"/>
    <w:rsid w:val="39552923"/>
    <w:rsid w:val="39561BA0"/>
    <w:rsid w:val="3956631D"/>
    <w:rsid w:val="39573D9E"/>
    <w:rsid w:val="39577622"/>
    <w:rsid w:val="3958001D"/>
    <w:rsid w:val="395850A3"/>
    <w:rsid w:val="395872A2"/>
    <w:rsid w:val="39592B25"/>
    <w:rsid w:val="39594D23"/>
    <w:rsid w:val="395A05A6"/>
    <w:rsid w:val="395A27A5"/>
    <w:rsid w:val="395B0226"/>
    <w:rsid w:val="395C3AA9"/>
    <w:rsid w:val="395C5CA8"/>
    <w:rsid w:val="395D152B"/>
    <w:rsid w:val="395D2841"/>
    <w:rsid w:val="395D3729"/>
    <w:rsid w:val="395E3F7E"/>
    <w:rsid w:val="395E6FAD"/>
    <w:rsid w:val="395F4A2E"/>
    <w:rsid w:val="395F6C2C"/>
    <w:rsid w:val="396024B0"/>
    <w:rsid w:val="396046AE"/>
    <w:rsid w:val="39607F31"/>
    <w:rsid w:val="3961212F"/>
    <w:rsid w:val="396159B3"/>
    <w:rsid w:val="39623434"/>
    <w:rsid w:val="396430B4"/>
    <w:rsid w:val="39644874"/>
    <w:rsid w:val="39644F4B"/>
    <w:rsid w:val="39646937"/>
    <w:rsid w:val="396665B7"/>
    <w:rsid w:val="39674039"/>
    <w:rsid w:val="39682ADB"/>
    <w:rsid w:val="39682C9F"/>
    <w:rsid w:val="3968533E"/>
    <w:rsid w:val="39693679"/>
    <w:rsid w:val="396A0841"/>
    <w:rsid w:val="396A4FBD"/>
    <w:rsid w:val="396B2A3F"/>
    <w:rsid w:val="396B5955"/>
    <w:rsid w:val="396C3D44"/>
    <w:rsid w:val="396D17C5"/>
    <w:rsid w:val="396D5F42"/>
    <w:rsid w:val="396E7247"/>
    <w:rsid w:val="396F0283"/>
    <w:rsid w:val="396F0447"/>
    <w:rsid w:val="396F1445"/>
    <w:rsid w:val="396F4CC8"/>
    <w:rsid w:val="39700FE6"/>
    <w:rsid w:val="39704948"/>
    <w:rsid w:val="39706EC7"/>
    <w:rsid w:val="39725C4D"/>
    <w:rsid w:val="39745BCE"/>
    <w:rsid w:val="39745F39"/>
    <w:rsid w:val="397460EF"/>
    <w:rsid w:val="3978732C"/>
    <w:rsid w:val="397A06E1"/>
    <w:rsid w:val="397A08A5"/>
    <w:rsid w:val="397B655D"/>
    <w:rsid w:val="397C3FDE"/>
    <w:rsid w:val="397E7CDE"/>
    <w:rsid w:val="397F3F36"/>
    <w:rsid w:val="39804910"/>
    <w:rsid w:val="39810466"/>
    <w:rsid w:val="39825EE7"/>
    <w:rsid w:val="39833969"/>
    <w:rsid w:val="398648EE"/>
    <w:rsid w:val="39866D48"/>
    <w:rsid w:val="3987236F"/>
    <w:rsid w:val="39895872"/>
    <w:rsid w:val="398A32F4"/>
    <w:rsid w:val="398A4394"/>
    <w:rsid w:val="398A6B77"/>
    <w:rsid w:val="398E557D"/>
    <w:rsid w:val="398F2FFF"/>
    <w:rsid w:val="398F777C"/>
    <w:rsid w:val="399003FF"/>
    <w:rsid w:val="39900A80"/>
    <w:rsid w:val="39902C7F"/>
    <w:rsid w:val="39916502"/>
    <w:rsid w:val="3992139A"/>
    <w:rsid w:val="39921977"/>
    <w:rsid w:val="39926182"/>
    <w:rsid w:val="39954F08"/>
    <w:rsid w:val="3996298A"/>
    <w:rsid w:val="39964B88"/>
    <w:rsid w:val="399651CC"/>
    <w:rsid w:val="3997040B"/>
    <w:rsid w:val="3997260A"/>
    <w:rsid w:val="3998008B"/>
    <w:rsid w:val="3998390E"/>
    <w:rsid w:val="39986745"/>
    <w:rsid w:val="39991390"/>
    <w:rsid w:val="39995B0D"/>
    <w:rsid w:val="3999711F"/>
    <w:rsid w:val="399A358E"/>
    <w:rsid w:val="399A7CBE"/>
    <w:rsid w:val="399B0698"/>
    <w:rsid w:val="399B085D"/>
    <w:rsid w:val="399B1010"/>
    <w:rsid w:val="399B4893"/>
    <w:rsid w:val="399C1237"/>
    <w:rsid w:val="399C13FB"/>
    <w:rsid w:val="399C6A91"/>
    <w:rsid w:val="399D4513"/>
    <w:rsid w:val="399E1F94"/>
    <w:rsid w:val="399F3299"/>
    <w:rsid w:val="399F334E"/>
    <w:rsid w:val="399F3513"/>
    <w:rsid w:val="399F7A16"/>
    <w:rsid w:val="39A00D1B"/>
    <w:rsid w:val="39A04924"/>
    <w:rsid w:val="39A05497"/>
    <w:rsid w:val="39A12F19"/>
    <w:rsid w:val="39A1380C"/>
    <w:rsid w:val="39A139C2"/>
    <w:rsid w:val="39A148C7"/>
    <w:rsid w:val="39A1679C"/>
    <w:rsid w:val="39A2421E"/>
    <w:rsid w:val="39A26005"/>
    <w:rsid w:val="39A31C9F"/>
    <w:rsid w:val="39A35031"/>
    <w:rsid w:val="39A3641C"/>
    <w:rsid w:val="39A43E9E"/>
    <w:rsid w:val="39A47721"/>
    <w:rsid w:val="39A5191F"/>
    <w:rsid w:val="39A673A1"/>
    <w:rsid w:val="39A706A6"/>
    <w:rsid w:val="39A71695"/>
    <w:rsid w:val="39A82234"/>
    <w:rsid w:val="39A86127"/>
    <w:rsid w:val="39A90325"/>
    <w:rsid w:val="39A92C0E"/>
    <w:rsid w:val="39A93BA9"/>
    <w:rsid w:val="39A95DA7"/>
    <w:rsid w:val="39AA162A"/>
    <w:rsid w:val="39AB70AC"/>
    <w:rsid w:val="39AD25AF"/>
    <w:rsid w:val="39AD47AD"/>
    <w:rsid w:val="39AD58C4"/>
    <w:rsid w:val="39AE629E"/>
    <w:rsid w:val="39AE7B43"/>
    <w:rsid w:val="39AF5AB2"/>
    <w:rsid w:val="39AF6BE0"/>
    <w:rsid w:val="39AF6E3D"/>
    <w:rsid w:val="39AF7CB0"/>
    <w:rsid w:val="39B0057A"/>
    <w:rsid w:val="39B03534"/>
    <w:rsid w:val="39B05732"/>
    <w:rsid w:val="39B079DC"/>
    <w:rsid w:val="39B16A37"/>
    <w:rsid w:val="39B20C35"/>
    <w:rsid w:val="39B21AF3"/>
    <w:rsid w:val="39B31F3A"/>
    <w:rsid w:val="39B62EBE"/>
    <w:rsid w:val="39B645E5"/>
    <w:rsid w:val="39B74FBF"/>
    <w:rsid w:val="39B750BD"/>
    <w:rsid w:val="39B863C1"/>
    <w:rsid w:val="39B905C0"/>
    <w:rsid w:val="39B93E43"/>
    <w:rsid w:val="39BA18C5"/>
    <w:rsid w:val="39BA6041"/>
    <w:rsid w:val="39BB3AC3"/>
    <w:rsid w:val="39BB7346"/>
    <w:rsid w:val="39BD13BD"/>
    <w:rsid w:val="39BD1F51"/>
    <w:rsid w:val="39BD2849"/>
    <w:rsid w:val="39BD6FC6"/>
    <w:rsid w:val="39BE02CB"/>
    <w:rsid w:val="39BE045B"/>
    <w:rsid w:val="39BE292C"/>
    <w:rsid w:val="39BF3306"/>
    <w:rsid w:val="39BF5D4C"/>
    <w:rsid w:val="39C03EA5"/>
    <w:rsid w:val="39C07F4B"/>
    <w:rsid w:val="39C1124F"/>
    <w:rsid w:val="39C1487F"/>
    <w:rsid w:val="39C159CC"/>
    <w:rsid w:val="39C26CD1"/>
    <w:rsid w:val="39C34753"/>
    <w:rsid w:val="39C36951"/>
    <w:rsid w:val="39C421D4"/>
    <w:rsid w:val="39C443D2"/>
    <w:rsid w:val="39C46996"/>
    <w:rsid w:val="39C46B5B"/>
    <w:rsid w:val="39C576F9"/>
    <w:rsid w:val="39C57C56"/>
    <w:rsid w:val="39C678D5"/>
    <w:rsid w:val="39C72511"/>
    <w:rsid w:val="39C80BDA"/>
    <w:rsid w:val="39C82DD9"/>
    <w:rsid w:val="39C9085A"/>
    <w:rsid w:val="39C92027"/>
    <w:rsid w:val="39CA2D8A"/>
    <w:rsid w:val="39CA4AFD"/>
    <w:rsid w:val="39CA4CB2"/>
    <w:rsid w:val="39CA62DC"/>
    <w:rsid w:val="39CB39E5"/>
    <w:rsid w:val="39CB3D5D"/>
    <w:rsid w:val="39CB4271"/>
    <w:rsid w:val="39CB75E0"/>
    <w:rsid w:val="39CC17DF"/>
    <w:rsid w:val="39CC5062"/>
    <w:rsid w:val="39CD2AE4"/>
    <w:rsid w:val="39CD587C"/>
    <w:rsid w:val="39CE4CE2"/>
    <w:rsid w:val="39CF5FE7"/>
    <w:rsid w:val="39CF6FB9"/>
    <w:rsid w:val="39D03A68"/>
    <w:rsid w:val="39D07993"/>
    <w:rsid w:val="39D15C66"/>
    <w:rsid w:val="39D26F6B"/>
    <w:rsid w:val="39D4246E"/>
    <w:rsid w:val="39D46BEB"/>
    <w:rsid w:val="39D5466D"/>
    <w:rsid w:val="39D733F3"/>
    <w:rsid w:val="39D7459C"/>
    <w:rsid w:val="39D95CDA"/>
    <w:rsid w:val="39DA4378"/>
    <w:rsid w:val="39DA4725"/>
    <w:rsid w:val="39DA4A0D"/>
    <w:rsid w:val="39DA5780"/>
    <w:rsid w:val="39DA7253"/>
    <w:rsid w:val="39DB1DF9"/>
    <w:rsid w:val="39DB5415"/>
    <w:rsid w:val="39DC40A1"/>
    <w:rsid w:val="39DC787B"/>
    <w:rsid w:val="39DD52FC"/>
    <w:rsid w:val="39DE2D7E"/>
    <w:rsid w:val="39DE703E"/>
    <w:rsid w:val="39DF07FF"/>
    <w:rsid w:val="39E13D03"/>
    <w:rsid w:val="39E249FB"/>
    <w:rsid w:val="39E27206"/>
    <w:rsid w:val="39E34C87"/>
    <w:rsid w:val="39E42709"/>
    <w:rsid w:val="39E43845"/>
    <w:rsid w:val="39E674EC"/>
    <w:rsid w:val="39E81075"/>
    <w:rsid w:val="39E817C8"/>
    <w:rsid w:val="39EA2D41"/>
    <w:rsid w:val="39EA3743"/>
    <w:rsid w:val="39EA4612"/>
    <w:rsid w:val="39ED4E59"/>
    <w:rsid w:val="39ED5597"/>
    <w:rsid w:val="39F01D9F"/>
    <w:rsid w:val="39F21A1E"/>
    <w:rsid w:val="39F252A2"/>
    <w:rsid w:val="39F44F22"/>
    <w:rsid w:val="39F5243C"/>
    <w:rsid w:val="39F529A3"/>
    <w:rsid w:val="39F5707E"/>
    <w:rsid w:val="39F60425"/>
    <w:rsid w:val="39F71729"/>
    <w:rsid w:val="39F83928"/>
    <w:rsid w:val="39F850F3"/>
    <w:rsid w:val="39F852B7"/>
    <w:rsid w:val="39F871AB"/>
    <w:rsid w:val="39F94C2D"/>
    <w:rsid w:val="39F95ACD"/>
    <w:rsid w:val="39FA26AE"/>
    <w:rsid w:val="39FA48AC"/>
    <w:rsid w:val="39FB0130"/>
    <w:rsid w:val="39FB232E"/>
    <w:rsid w:val="39FC5BB1"/>
    <w:rsid w:val="39FC7DAF"/>
    <w:rsid w:val="39FE32B3"/>
    <w:rsid w:val="39FF0D34"/>
    <w:rsid w:val="39FF6B36"/>
    <w:rsid w:val="3A0045B7"/>
    <w:rsid w:val="3A0067B6"/>
    <w:rsid w:val="3A012039"/>
    <w:rsid w:val="3A017ABA"/>
    <w:rsid w:val="3A035551"/>
    <w:rsid w:val="3A03773A"/>
    <w:rsid w:val="3A040A3F"/>
    <w:rsid w:val="3A045F2B"/>
    <w:rsid w:val="3A0550CD"/>
    <w:rsid w:val="3A055438"/>
    <w:rsid w:val="3A055959"/>
    <w:rsid w:val="3A055E7A"/>
    <w:rsid w:val="3A0564C1"/>
    <w:rsid w:val="3A056ACA"/>
    <w:rsid w:val="3A063F42"/>
    <w:rsid w:val="3A0719C4"/>
    <w:rsid w:val="3A073C4A"/>
    <w:rsid w:val="3A076141"/>
    <w:rsid w:val="3A083BC2"/>
    <w:rsid w:val="3A091644"/>
    <w:rsid w:val="3A0A70C5"/>
    <w:rsid w:val="3A0D004A"/>
    <w:rsid w:val="3A0D38CD"/>
    <w:rsid w:val="3A0E134F"/>
    <w:rsid w:val="3A0E4D1E"/>
    <w:rsid w:val="3A0E5ACB"/>
    <w:rsid w:val="3A0F0224"/>
    <w:rsid w:val="3A0F354D"/>
    <w:rsid w:val="3A106F28"/>
    <w:rsid w:val="3A116A50"/>
    <w:rsid w:val="3A127D55"/>
    <w:rsid w:val="3A1302EC"/>
    <w:rsid w:val="3A130E7B"/>
    <w:rsid w:val="3A1379D5"/>
    <w:rsid w:val="3A141A1A"/>
    <w:rsid w:val="3A145456"/>
    <w:rsid w:val="3A146E69"/>
    <w:rsid w:val="3A147C15"/>
    <w:rsid w:val="3A152ED8"/>
    <w:rsid w:val="3A160959"/>
    <w:rsid w:val="3A163157"/>
    <w:rsid w:val="3A16675B"/>
    <w:rsid w:val="3A1741DD"/>
    <w:rsid w:val="3A181C5E"/>
    <w:rsid w:val="3A195161"/>
    <w:rsid w:val="3A1A7360"/>
    <w:rsid w:val="3A1B4DE1"/>
    <w:rsid w:val="3A1B67E7"/>
    <w:rsid w:val="3A1C2863"/>
    <w:rsid w:val="3A1C7386"/>
    <w:rsid w:val="3A1D02E4"/>
    <w:rsid w:val="3A1E08FF"/>
    <w:rsid w:val="3A1E149D"/>
    <w:rsid w:val="3A1E15E9"/>
    <w:rsid w:val="3A1F0E7F"/>
    <w:rsid w:val="3A1F706B"/>
    <w:rsid w:val="3A201269"/>
    <w:rsid w:val="3A202A16"/>
    <w:rsid w:val="3A21256E"/>
    <w:rsid w:val="3A22476C"/>
    <w:rsid w:val="3A230DBA"/>
    <w:rsid w:val="3A234969"/>
    <w:rsid w:val="3A234B2E"/>
    <w:rsid w:val="3A235A71"/>
    <w:rsid w:val="3A2434F2"/>
    <w:rsid w:val="3A247C6F"/>
    <w:rsid w:val="3A250F74"/>
    <w:rsid w:val="3A2556F1"/>
    <w:rsid w:val="3A255EE2"/>
    <w:rsid w:val="3A2669F5"/>
    <w:rsid w:val="3A27051A"/>
    <w:rsid w:val="3A2940F7"/>
    <w:rsid w:val="3A2A53FC"/>
    <w:rsid w:val="3A2A75FA"/>
    <w:rsid w:val="3A2B2E7D"/>
    <w:rsid w:val="3A2B507B"/>
    <w:rsid w:val="3A2D057F"/>
    <w:rsid w:val="3A2D4229"/>
    <w:rsid w:val="3A2D43ED"/>
    <w:rsid w:val="3A2D6380"/>
    <w:rsid w:val="3A2E3E02"/>
    <w:rsid w:val="3A2E6000"/>
    <w:rsid w:val="3A2F3A82"/>
    <w:rsid w:val="3A307305"/>
    <w:rsid w:val="3A314D86"/>
    <w:rsid w:val="3A316F85"/>
    <w:rsid w:val="3A32028A"/>
    <w:rsid w:val="3A3278B9"/>
    <w:rsid w:val="3A330458"/>
    <w:rsid w:val="3A335D0B"/>
    <w:rsid w:val="3A35120E"/>
    <w:rsid w:val="3A354CAF"/>
    <w:rsid w:val="3A35598B"/>
    <w:rsid w:val="3A36340C"/>
    <w:rsid w:val="3A366C90"/>
    <w:rsid w:val="3A374711"/>
    <w:rsid w:val="3A37724F"/>
    <w:rsid w:val="3A382193"/>
    <w:rsid w:val="3A383CAD"/>
    <w:rsid w:val="3A386910"/>
    <w:rsid w:val="3A394391"/>
    <w:rsid w:val="3A394687"/>
    <w:rsid w:val="3A397C14"/>
    <w:rsid w:val="3A3A1E13"/>
    <w:rsid w:val="3A3A5696"/>
    <w:rsid w:val="3A3B3117"/>
    <w:rsid w:val="3A3C1CB0"/>
    <w:rsid w:val="3A3C5316"/>
    <w:rsid w:val="3A3D2D97"/>
    <w:rsid w:val="3A3D40D8"/>
    <w:rsid w:val="3A3D661B"/>
    <w:rsid w:val="3A3D7EDC"/>
    <w:rsid w:val="3A3E08B6"/>
    <w:rsid w:val="3A3E409C"/>
    <w:rsid w:val="3A3F7042"/>
    <w:rsid w:val="3A412809"/>
    <w:rsid w:val="3A415021"/>
    <w:rsid w:val="3A422AA2"/>
    <w:rsid w:val="3A476A38"/>
    <w:rsid w:val="3A476BFD"/>
    <w:rsid w:val="3A476F2A"/>
    <w:rsid w:val="3A47779C"/>
    <w:rsid w:val="3A4875D7"/>
    <w:rsid w:val="3A49242D"/>
    <w:rsid w:val="3A4A7EAF"/>
    <w:rsid w:val="3A4B228D"/>
    <w:rsid w:val="3A4C0E33"/>
    <w:rsid w:val="3A4D1D3F"/>
    <w:rsid w:val="3A4D20AB"/>
    <w:rsid w:val="3A4D6EBA"/>
    <w:rsid w:val="3A4E4336"/>
    <w:rsid w:val="3A4F4F44"/>
    <w:rsid w:val="3A50783A"/>
    <w:rsid w:val="3A5164BC"/>
    <w:rsid w:val="3A5405D4"/>
    <w:rsid w:val="3A546240"/>
    <w:rsid w:val="3A561743"/>
    <w:rsid w:val="3A5626EB"/>
    <w:rsid w:val="3A572A48"/>
    <w:rsid w:val="3A5771C4"/>
    <w:rsid w:val="3A5804C9"/>
    <w:rsid w:val="3A5926C8"/>
    <w:rsid w:val="3A5A39CC"/>
    <w:rsid w:val="3A5A51DD"/>
    <w:rsid w:val="3A5B144E"/>
    <w:rsid w:val="3A5B5BCB"/>
    <w:rsid w:val="3A5C364C"/>
    <w:rsid w:val="3A5C3E46"/>
    <w:rsid w:val="3A5C6756"/>
    <w:rsid w:val="3A5D10CE"/>
    <w:rsid w:val="3A5D1B43"/>
    <w:rsid w:val="3A5D24A2"/>
    <w:rsid w:val="3A5E6B4F"/>
    <w:rsid w:val="3A5E7E93"/>
    <w:rsid w:val="3A5F45D1"/>
    <w:rsid w:val="3A601248"/>
    <w:rsid w:val="3A602052"/>
    <w:rsid w:val="3A611DE7"/>
    <w:rsid w:val="3A613357"/>
    <w:rsid w:val="3A620DD9"/>
    <w:rsid w:val="3A630A59"/>
    <w:rsid w:val="3A633EFE"/>
    <w:rsid w:val="3A6442DC"/>
    <w:rsid w:val="3A651D5D"/>
    <w:rsid w:val="3A6619DD"/>
    <w:rsid w:val="3A666016"/>
    <w:rsid w:val="3A675260"/>
    <w:rsid w:val="3A687753"/>
    <w:rsid w:val="3A690764"/>
    <w:rsid w:val="3A692962"/>
    <w:rsid w:val="3A6A0CCC"/>
    <w:rsid w:val="3A6A6CFA"/>
    <w:rsid w:val="3A6B550B"/>
    <w:rsid w:val="3A6C2245"/>
    <w:rsid w:val="3A6C423E"/>
    <w:rsid w:val="3A6C45A9"/>
    <w:rsid w:val="3A6C716A"/>
    <w:rsid w:val="3A6D4BEB"/>
    <w:rsid w:val="3A6E6DEA"/>
    <w:rsid w:val="3A6F00EE"/>
    <w:rsid w:val="3A6F486B"/>
    <w:rsid w:val="3A70246B"/>
    <w:rsid w:val="3A705B70"/>
    <w:rsid w:val="3A7135F2"/>
    <w:rsid w:val="3A717D6E"/>
    <w:rsid w:val="3A721073"/>
    <w:rsid w:val="3A727012"/>
    <w:rsid w:val="3A733271"/>
    <w:rsid w:val="3A736AF5"/>
    <w:rsid w:val="3A7379ED"/>
    <w:rsid w:val="3A744576"/>
    <w:rsid w:val="3A75112A"/>
    <w:rsid w:val="3A751FF8"/>
    <w:rsid w:val="3A756774"/>
    <w:rsid w:val="3A761B04"/>
    <w:rsid w:val="3A7641F6"/>
    <w:rsid w:val="3A771C78"/>
    <w:rsid w:val="3A7754FB"/>
    <w:rsid w:val="3A783242"/>
    <w:rsid w:val="3A7876F9"/>
    <w:rsid w:val="3A790053"/>
    <w:rsid w:val="3A7909FE"/>
    <w:rsid w:val="3A79517B"/>
    <w:rsid w:val="3A7A7612"/>
    <w:rsid w:val="3A7B288D"/>
    <w:rsid w:val="3A7B3F01"/>
    <w:rsid w:val="3A7B60FF"/>
    <w:rsid w:val="3A7D1602"/>
    <w:rsid w:val="3A7D7404"/>
    <w:rsid w:val="3A7E4E86"/>
    <w:rsid w:val="3A7E7084"/>
    <w:rsid w:val="3A7F09EA"/>
    <w:rsid w:val="3A800389"/>
    <w:rsid w:val="3A802587"/>
    <w:rsid w:val="3A811F62"/>
    <w:rsid w:val="3A82388C"/>
    <w:rsid w:val="3A825A8A"/>
    <w:rsid w:val="3A83350C"/>
    <w:rsid w:val="3A840F8D"/>
    <w:rsid w:val="3A84407A"/>
    <w:rsid w:val="3A844811"/>
    <w:rsid w:val="3A856A0F"/>
    <w:rsid w:val="3A864490"/>
    <w:rsid w:val="3A86542E"/>
    <w:rsid w:val="3A872856"/>
    <w:rsid w:val="3A875795"/>
    <w:rsid w:val="3A875FCD"/>
    <w:rsid w:val="3A883217"/>
    <w:rsid w:val="3A883219"/>
    <w:rsid w:val="3A890C98"/>
    <w:rsid w:val="3A895415"/>
    <w:rsid w:val="3A897546"/>
    <w:rsid w:val="3A8A0B21"/>
    <w:rsid w:val="3A8C165E"/>
    <w:rsid w:val="3A8C1C1D"/>
    <w:rsid w:val="3A8C21FC"/>
    <w:rsid w:val="3A8D769E"/>
    <w:rsid w:val="3A900623"/>
    <w:rsid w:val="3A904DA0"/>
    <w:rsid w:val="3A9160A5"/>
    <w:rsid w:val="3A9202A3"/>
    <w:rsid w:val="3A923B26"/>
    <w:rsid w:val="3A9315A8"/>
    <w:rsid w:val="3A93317B"/>
    <w:rsid w:val="3A941228"/>
    <w:rsid w:val="3A947029"/>
    <w:rsid w:val="3A956CA9"/>
    <w:rsid w:val="3A96252C"/>
    <w:rsid w:val="3A96472B"/>
    <w:rsid w:val="3A966CDC"/>
    <w:rsid w:val="3A971ABC"/>
    <w:rsid w:val="3A971C80"/>
    <w:rsid w:val="3A973D40"/>
    <w:rsid w:val="3A977FAE"/>
    <w:rsid w:val="3A9839D5"/>
    <w:rsid w:val="3A985A30"/>
    <w:rsid w:val="3A9931F9"/>
    <w:rsid w:val="3A9934B1"/>
    <w:rsid w:val="3A9A3131"/>
    <w:rsid w:val="3A9B0BB2"/>
    <w:rsid w:val="3A9C1EB7"/>
    <w:rsid w:val="3A9D40B6"/>
    <w:rsid w:val="3A9D7939"/>
    <w:rsid w:val="3A9E1B37"/>
    <w:rsid w:val="3A9E7428"/>
    <w:rsid w:val="3A9F2E3C"/>
    <w:rsid w:val="3AA009A1"/>
    <w:rsid w:val="3AA0503A"/>
    <w:rsid w:val="3AA12ABC"/>
    <w:rsid w:val="3AA1633F"/>
    <w:rsid w:val="3AA2053D"/>
    <w:rsid w:val="3AA23DC1"/>
    <w:rsid w:val="3AA31842"/>
    <w:rsid w:val="3AA32AB9"/>
    <w:rsid w:val="3AA54D45"/>
    <w:rsid w:val="3AA627C7"/>
    <w:rsid w:val="3AA85CCA"/>
    <w:rsid w:val="3AA9374B"/>
    <w:rsid w:val="3AAA009C"/>
    <w:rsid w:val="3AAB0C3B"/>
    <w:rsid w:val="3AAC1615"/>
    <w:rsid w:val="3AAD2152"/>
    <w:rsid w:val="3AAE4175"/>
    <w:rsid w:val="3AAE7BD3"/>
    <w:rsid w:val="3AB030D6"/>
    <w:rsid w:val="3AB042CB"/>
    <w:rsid w:val="3AB10B58"/>
    <w:rsid w:val="3AB14E6A"/>
    <w:rsid w:val="3AB25844"/>
    <w:rsid w:val="3AB3173C"/>
    <w:rsid w:val="3AB31ADC"/>
    <w:rsid w:val="3AB32333"/>
    <w:rsid w:val="3AB407D9"/>
    <w:rsid w:val="3AB50103"/>
    <w:rsid w:val="3AB57D98"/>
    <w:rsid w:val="3AB704E3"/>
    <w:rsid w:val="3AB74334"/>
    <w:rsid w:val="3ABA3D4F"/>
    <w:rsid w:val="3ABD23EC"/>
    <w:rsid w:val="3ABE7E6D"/>
    <w:rsid w:val="3ABF58EF"/>
    <w:rsid w:val="3ABF721B"/>
    <w:rsid w:val="3AC03371"/>
    <w:rsid w:val="3AC06BF4"/>
    <w:rsid w:val="3AC10958"/>
    <w:rsid w:val="3AC15CD5"/>
    <w:rsid w:val="3AC2368D"/>
    <w:rsid w:val="3AC23D63"/>
    <w:rsid w:val="3AC37B79"/>
    <w:rsid w:val="3AC41D77"/>
    <w:rsid w:val="3AC428AC"/>
    <w:rsid w:val="3AC455FA"/>
    <w:rsid w:val="3AC5307C"/>
    <w:rsid w:val="3AC577F8"/>
    <w:rsid w:val="3AC72CFB"/>
    <w:rsid w:val="3AC85F3C"/>
    <w:rsid w:val="3AC91A82"/>
    <w:rsid w:val="3ACA3C80"/>
    <w:rsid w:val="3ACA7503"/>
    <w:rsid w:val="3ACA7679"/>
    <w:rsid w:val="3ACB1702"/>
    <w:rsid w:val="3ACB7183"/>
    <w:rsid w:val="3ACC2A06"/>
    <w:rsid w:val="3ACD0488"/>
    <w:rsid w:val="3ACD2686"/>
    <w:rsid w:val="3ACE232F"/>
    <w:rsid w:val="3ACE5F0A"/>
    <w:rsid w:val="3ACF2D0A"/>
    <w:rsid w:val="3AD0140D"/>
    <w:rsid w:val="3AD0536F"/>
    <w:rsid w:val="3AD14E21"/>
    <w:rsid w:val="3AD14FE6"/>
    <w:rsid w:val="3AD24910"/>
    <w:rsid w:val="3AD33AB3"/>
    <w:rsid w:val="3AD34590"/>
    <w:rsid w:val="3AD42011"/>
    <w:rsid w:val="3AD45894"/>
    <w:rsid w:val="3AD53316"/>
    <w:rsid w:val="3AD57A93"/>
    <w:rsid w:val="3AD60676"/>
    <w:rsid w:val="3AD60D98"/>
    <w:rsid w:val="3AD91D1C"/>
    <w:rsid w:val="3AD925C9"/>
    <w:rsid w:val="3AD96499"/>
    <w:rsid w:val="3ADA3168"/>
    <w:rsid w:val="3ADA3F1A"/>
    <w:rsid w:val="3ADC2CA1"/>
    <w:rsid w:val="3ADC48A5"/>
    <w:rsid w:val="3ADC741E"/>
    <w:rsid w:val="3ADD0722"/>
    <w:rsid w:val="3ADE3AD4"/>
    <w:rsid w:val="3ADE61A4"/>
    <w:rsid w:val="3ADF03A2"/>
    <w:rsid w:val="3ADF7397"/>
    <w:rsid w:val="3AE016A7"/>
    <w:rsid w:val="3AE05E24"/>
    <w:rsid w:val="3AE0752F"/>
    <w:rsid w:val="3AE10910"/>
    <w:rsid w:val="3AE17129"/>
    <w:rsid w:val="3AE36DA8"/>
    <w:rsid w:val="3AE42A27"/>
    <w:rsid w:val="3AE535C6"/>
    <w:rsid w:val="3AE57D2D"/>
    <w:rsid w:val="3AE635B0"/>
    <w:rsid w:val="3AE73230"/>
    <w:rsid w:val="3AE74B3F"/>
    <w:rsid w:val="3AE86AB3"/>
    <w:rsid w:val="3AE96733"/>
    <w:rsid w:val="3AEA1FB6"/>
    <w:rsid w:val="3AEA6A92"/>
    <w:rsid w:val="3AEB7A38"/>
    <w:rsid w:val="3AEC2F3B"/>
    <w:rsid w:val="3AEC76B8"/>
    <w:rsid w:val="3AED2E24"/>
    <w:rsid w:val="3AED5139"/>
    <w:rsid w:val="3AEE22E7"/>
    <w:rsid w:val="3AEE274E"/>
    <w:rsid w:val="3AEE2BBB"/>
    <w:rsid w:val="3AEF063D"/>
    <w:rsid w:val="3AEF1636"/>
    <w:rsid w:val="3AEF2CC1"/>
    <w:rsid w:val="3AEF2E86"/>
    <w:rsid w:val="3AF01941"/>
    <w:rsid w:val="3AF060BE"/>
    <w:rsid w:val="3AF215C1"/>
    <w:rsid w:val="3AF24E44"/>
    <w:rsid w:val="3AF328C6"/>
    <w:rsid w:val="3AF40348"/>
    <w:rsid w:val="3AF44AC4"/>
    <w:rsid w:val="3AF46352"/>
    <w:rsid w:val="3AF46516"/>
    <w:rsid w:val="3AF6384B"/>
    <w:rsid w:val="3AF834CA"/>
    <w:rsid w:val="3AF90F4C"/>
    <w:rsid w:val="3AF92745"/>
    <w:rsid w:val="3AF947CF"/>
    <w:rsid w:val="3AFB444F"/>
    <w:rsid w:val="3AFB7CD2"/>
    <w:rsid w:val="3AFC5296"/>
    <w:rsid w:val="3AFC7952"/>
    <w:rsid w:val="3AFD31D5"/>
    <w:rsid w:val="3AFE38F2"/>
    <w:rsid w:val="3B006358"/>
    <w:rsid w:val="3B011BDC"/>
    <w:rsid w:val="3B02185C"/>
    <w:rsid w:val="3B032B60"/>
    <w:rsid w:val="3B0350DF"/>
    <w:rsid w:val="3B0372DD"/>
    <w:rsid w:val="3B0405E2"/>
    <w:rsid w:val="3B041E40"/>
    <w:rsid w:val="3B0527E0"/>
    <w:rsid w:val="3B056063"/>
    <w:rsid w:val="3B060262"/>
    <w:rsid w:val="3B0633B9"/>
    <w:rsid w:val="3B063AE5"/>
    <w:rsid w:val="3B083765"/>
    <w:rsid w:val="3B094A6A"/>
    <w:rsid w:val="3B09606F"/>
    <w:rsid w:val="3B0A014A"/>
    <w:rsid w:val="3B0A78BE"/>
    <w:rsid w:val="3B0B75E8"/>
    <w:rsid w:val="3B0B7708"/>
    <w:rsid w:val="3B0C59EE"/>
    <w:rsid w:val="3B0E0EF1"/>
    <w:rsid w:val="3B0F6973"/>
    <w:rsid w:val="3B1043F4"/>
    <w:rsid w:val="3B1139DC"/>
    <w:rsid w:val="3B1278F8"/>
    <w:rsid w:val="3B1319C2"/>
    <w:rsid w:val="3B135379"/>
    <w:rsid w:val="3B14592F"/>
    <w:rsid w:val="3B1564CD"/>
    <w:rsid w:val="3B15706C"/>
    <w:rsid w:val="3B1662FE"/>
    <w:rsid w:val="3B192250"/>
    <w:rsid w:val="3B1A14A3"/>
    <w:rsid w:val="3B1A26FC"/>
    <w:rsid w:val="3B1A4D04"/>
    <w:rsid w:val="3B1B01D6"/>
    <w:rsid w:val="3B1B30D7"/>
    <w:rsid w:val="3B1C0207"/>
    <w:rsid w:val="3B1E118C"/>
    <w:rsid w:val="3B1E53B3"/>
    <w:rsid w:val="3B220A43"/>
    <w:rsid w:val="3B221DD1"/>
    <w:rsid w:val="3B227B92"/>
    <w:rsid w:val="3B233415"/>
    <w:rsid w:val="3B235613"/>
    <w:rsid w:val="3B243095"/>
    <w:rsid w:val="3B246918"/>
    <w:rsid w:val="3B252221"/>
    <w:rsid w:val="3B25439A"/>
    <w:rsid w:val="3B260335"/>
    <w:rsid w:val="3B261E1B"/>
    <w:rsid w:val="3B266598"/>
    <w:rsid w:val="3B27401A"/>
    <w:rsid w:val="3B281A9B"/>
    <w:rsid w:val="3B283760"/>
    <w:rsid w:val="3B28531E"/>
    <w:rsid w:val="3B292DA0"/>
    <w:rsid w:val="3B2933F5"/>
    <w:rsid w:val="3B29564C"/>
    <w:rsid w:val="3B2A0822"/>
    <w:rsid w:val="3B2B62A3"/>
    <w:rsid w:val="3B2D17A6"/>
    <w:rsid w:val="3B2D5F23"/>
    <w:rsid w:val="3B2E39A5"/>
    <w:rsid w:val="3B2E7228"/>
    <w:rsid w:val="3B2F1426"/>
    <w:rsid w:val="3B2F16B7"/>
    <w:rsid w:val="3B302256"/>
    <w:rsid w:val="3B30272B"/>
    <w:rsid w:val="3B306EA8"/>
    <w:rsid w:val="3B3101AC"/>
    <w:rsid w:val="3B310502"/>
    <w:rsid w:val="3B312DF4"/>
    <w:rsid w:val="3B314929"/>
    <w:rsid w:val="3B3223AB"/>
    <w:rsid w:val="3B325C2E"/>
    <w:rsid w:val="3B334F0C"/>
    <w:rsid w:val="3B337E2C"/>
    <w:rsid w:val="3B341131"/>
    <w:rsid w:val="3B3458AE"/>
    <w:rsid w:val="3B350DB1"/>
    <w:rsid w:val="3B356BB3"/>
    <w:rsid w:val="3B364634"/>
    <w:rsid w:val="3B366832"/>
    <w:rsid w:val="3B3742B4"/>
    <w:rsid w:val="3B375346"/>
    <w:rsid w:val="3B375866"/>
    <w:rsid w:val="3B3763D1"/>
    <w:rsid w:val="3B377BC2"/>
    <w:rsid w:val="3B390F77"/>
    <w:rsid w:val="3B3955B9"/>
    <w:rsid w:val="3B3A303A"/>
    <w:rsid w:val="3B3A5239"/>
    <w:rsid w:val="3B3B0ABC"/>
    <w:rsid w:val="3B3B2CBA"/>
    <w:rsid w:val="3B3C073C"/>
    <w:rsid w:val="3B3C3FBF"/>
    <w:rsid w:val="3B3E3C3F"/>
    <w:rsid w:val="3B3E74C2"/>
    <w:rsid w:val="3B3F4F44"/>
    <w:rsid w:val="3B3F51A6"/>
    <w:rsid w:val="3B4029C5"/>
    <w:rsid w:val="3B407142"/>
    <w:rsid w:val="3B410447"/>
    <w:rsid w:val="3B414BC4"/>
    <w:rsid w:val="3B422645"/>
    <w:rsid w:val="3B425EC8"/>
    <w:rsid w:val="3B43394A"/>
    <w:rsid w:val="3B4413CB"/>
    <w:rsid w:val="3B445B48"/>
    <w:rsid w:val="3B4503AF"/>
    <w:rsid w:val="3B450FA6"/>
    <w:rsid w:val="3B451F73"/>
    <w:rsid w:val="3B4535CA"/>
    <w:rsid w:val="3B456E4D"/>
    <w:rsid w:val="3B4648CF"/>
    <w:rsid w:val="3B4736B1"/>
    <w:rsid w:val="3B491FD0"/>
    <w:rsid w:val="3B4A7A51"/>
    <w:rsid w:val="3B4B0D56"/>
    <w:rsid w:val="3B4B164C"/>
    <w:rsid w:val="3B4C09D6"/>
    <w:rsid w:val="3B4C2F55"/>
    <w:rsid w:val="3B4D02BA"/>
    <w:rsid w:val="3B4E0E59"/>
    <w:rsid w:val="3B4E1CDB"/>
    <w:rsid w:val="3B4F195B"/>
    <w:rsid w:val="3B5051DE"/>
    <w:rsid w:val="3B5073DC"/>
    <w:rsid w:val="3B512C60"/>
    <w:rsid w:val="3B5206E1"/>
    <w:rsid w:val="3B5224A4"/>
    <w:rsid w:val="3B5228DF"/>
    <w:rsid w:val="3B530361"/>
    <w:rsid w:val="3B5330AD"/>
    <w:rsid w:val="3B5335CD"/>
    <w:rsid w:val="3B541666"/>
    <w:rsid w:val="3B542D41"/>
    <w:rsid w:val="3B543BE4"/>
    <w:rsid w:val="3B543F45"/>
    <w:rsid w:val="3B5518BE"/>
    <w:rsid w:val="3B553864"/>
    <w:rsid w:val="3B55589E"/>
    <w:rsid w:val="3B555A62"/>
    <w:rsid w:val="3B5570E7"/>
    <w:rsid w:val="3B5612E6"/>
    <w:rsid w:val="3B564B69"/>
    <w:rsid w:val="3B5725EA"/>
    <w:rsid w:val="3B573D09"/>
    <w:rsid w:val="3B576D67"/>
    <w:rsid w:val="3B58006C"/>
    <w:rsid w:val="3B5847E9"/>
    <w:rsid w:val="3B591265"/>
    <w:rsid w:val="3B5A356F"/>
    <w:rsid w:val="3B5B0FF1"/>
    <w:rsid w:val="3B5B2830"/>
    <w:rsid w:val="3B5B50B2"/>
    <w:rsid w:val="3B5C320A"/>
    <w:rsid w:val="3B5D0C70"/>
    <w:rsid w:val="3B5E4783"/>
    <w:rsid w:val="3B5E66F2"/>
    <w:rsid w:val="3B5F515D"/>
    <w:rsid w:val="3B5F5322"/>
    <w:rsid w:val="3B605478"/>
    <w:rsid w:val="3B616481"/>
    <w:rsid w:val="3B617677"/>
    <w:rsid w:val="3B6250F8"/>
    <w:rsid w:val="3B627275"/>
    <w:rsid w:val="3B627439"/>
    <w:rsid w:val="3B6363FD"/>
    <w:rsid w:val="3B6405FB"/>
    <w:rsid w:val="3B6439C5"/>
    <w:rsid w:val="3B643E7F"/>
    <w:rsid w:val="3B65138C"/>
    <w:rsid w:val="3B651900"/>
    <w:rsid w:val="3B661580"/>
    <w:rsid w:val="3B661F2B"/>
    <w:rsid w:val="3B667382"/>
    <w:rsid w:val="3B672ACA"/>
    <w:rsid w:val="3B674E03"/>
    <w:rsid w:val="3B677002"/>
    <w:rsid w:val="3B692505"/>
    <w:rsid w:val="3B6A5D88"/>
    <w:rsid w:val="3B6B3809"/>
    <w:rsid w:val="3B6B5A08"/>
    <w:rsid w:val="3B6C3489"/>
    <w:rsid w:val="3B6D0F0B"/>
    <w:rsid w:val="3B6D478E"/>
    <w:rsid w:val="3B6E43A4"/>
    <w:rsid w:val="3B6E698C"/>
    <w:rsid w:val="3B6F7C91"/>
    <w:rsid w:val="3B705713"/>
    <w:rsid w:val="3B707990"/>
    <w:rsid w:val="3B713194"/>
    <w:rsid w:val="3B720C16"/>
    <w:rsid w:val="3B736697"/>
    <w:rsid w:val="3B7665B8"/>
    <w:rsid w:val="3B77509E"/>
    <w:rsid w:val="3B782B1F"/>
    <w:rsid w:val="3B7905A1"/>
    <w:rsid w:val="3B7A10AA"/>
    <w:rsid w:val="3B7A6022"/>
    <w:rsid w:val="3B7B3AA4"/>
    <w:rsid w:val="3B7C2623"/>
    <w:rsid w:val="3B7D31C1"/>
    <w:rsid w:val="3B7D32FB"/>
    <w:rsid w:val="3B7F473A"/>
    <w:rsid w:val="3B80144A"/>
    <w:rsid w:val="3B8159AD"/>
    <w:rsid w:val="3B847DCB"/>
    <w:rsid w:val="3B851E35"/>
    <w:rsid w:val="3B8678B6"/>
    <w:rsid w:val="3B875338"/>
    <w:rsid w:val="3B8758C1"/>
    <w:rsid w:val="3B882DB9"/>
    <w:rsid w:val="3B883620"/>
    <w:rsid w:val="3B89663D"/>
    <w:rsid w:val="3B8A40BE"/>
    <w:rsid w:val="3B8A62BD"/>
    <w:rsid w:val="3B8B3D3E"/>
    <w:rsid w:val="3B8B5573"/>
    <w:rsid w:val="3B8C17C0"/>
    <w:rsid w:val="3B8C5043"/>
    <w:rsid w:val="3B8C62D6"/>
    <w:rsid w:val="3B8C75C1"/>
    <w:rsid w:val="3B8D2AC4"/>
    <w:rsid w:val="3B8D6AEC"/>
    <w:rsid w:val="3B8E0546"/>
    <w:rsid w:val="3B8E4CC3"/>
    <w:rsid w:val="3B8F0229"/>
    <w:rsid w:val="3B8F2744"/>
    <w:rsid w:val="3B8F5FC8"/>
    <w:rsid w:val="3B900C03"/>
    <w:rsid w:val="3B900DC8"/>
    <w:rsid w:val="3B903A49"/>
    <w:rsid w:val="3B9114CB"/>
    <w:rsid w:val="3B912340"/>
    <w:rsid w:val="3B915C47"/>
    <w:rsid w:val="3B926F4C"/>
    <w:rsid w:val="3B93114B"/>
    <w:rsid w:val="3B94244F"/>
    <w:rsid w:val="3B946BCC"/>
    <w:rsid w:val="3B957ED1"/>
    <w:rsid w:val="3B976570"/>
    <w:rsid w:val="3B976916"/>
    <w:rsid w:val="3B980E56"/>
    <w:rsid w:val="3B9855D2"/>
    <w:rsid w:val="3B9A0AD5"/>
    <w:rsid w:val="3B9B1061"/>
    <w:rsid w:val="3B9B6557"/>
    <w:rsid w:val="3B9B7648"/>
    <w:rsid w:val="3B9C1C00"/>
    <w:rsid w:val="3B9C785C"/>
    <w:rsid w:val="3B9D1A5A"/>
    <w:rsid w:val="3B9D5CA4"/>
    <w:rsid w:val="3B9E333D"/>
    <w:rsid w:val="3B9E4F5D"/>
    <w:rsid w:val="3B9F48B6"/>
    <w:rsid w:val="3BA06262"/>
    <w:rsid w:val="3BA21765"/>
    <w:rsid w:val="3BA23963"/>
    <w:rsid w:val="3BA26809"/>
    <w:rsid w:val="3BA313E5"/>
    <w:rsid w:val="3BA371E7"/>
    <w:rsid w:val="3BA44C68"/>
    <w:rsid w:val="3BA46E66"/>
    <w:rsid w:val="3BA526EA"/>
    <w:rsid w:val="3BA548E8"/>
    <w:rsid w:val="3BA65BED"/>
    <w:rsid w:val="3BA71E9A"/>
    <w:rsid w:val="3BA7366E"/>
    <w:rsid w:val="3BA77DEB"/>
    <w:rsid w:val="3BA82A38"/>
    <w:rsid w:val="3BA8586D"/>
    <w:rsid w:val="3BAA4176"/>
    <w:rsid w:val="3BAB09A2"/>
    <w:rsid w:val="3BAB2075"/>
    <w:rsid w:val="3BAC7A40"/>
    <w:rsid w:val="3BAC7AF6"/>
    <w:rsid w:val="3BAD1CF4"/>
    <w:rsid w:val="3BAD5578"/>
    <w:rsid w:val="3BAE2FF9"/>
    <w:rsid w:val="3BAE7806"/>
    <w:rsid w:val="3BAF0A7B"/>
    <w:rsid w:val="3BAF51F7"/>
    <w:rsid w:val="3BB02C79"/>
    <w:rsid w:val="3BB106FB"/>
    <w:rsid w:val="3BB12AD2"/>
    <w:rsid w:val="3BB219FF"/>
    <w:rsid w:val="3BB222F8"/>
    <w:rsid w:val="3BB2617C"/>
    <w:rsid w:val="3BB33BFE"/>
    <w:rsid w:val="3BB37481"/>
    <w:rsid w:val="3BB4167F"/>
    <w:rsid w:val="3BB43A35"/>
    <w:rsid w:val="3BB52984"/>
    <w:rsid w:val="3BB54B82"/>
    <w:rsid w:val="3BB60406"/>
    <w:rsid w:val="3BB62604"/>
    <w:rsid w:val="3BB70085"/>
    <w:rsid w:val="3BB75B4D"/>
    <w:rsid w:val="3BB75E87"/>
    <w:rsid w:val="3BB83909"/>
    <w:rsid w:val="3BB85B07"/>
    <w:rsid w:val="3BBA100A"/>
    <w:rsid w:val="3BBA2588"/>
    <w:rsid w:val="3BBA6E0C"/>
    <w:rsid w:val="3BBB6A8C"/>
    <w:rsid w:val="3BBC1BB7"/>
    <w:rsid w:val="3BBC230F"/>
    <w:rsid w:val="3BBC450D"/>
    <w:rsid w:val="3BBD5812"/>
    <w:rsid w:val="3BBE3130"/>
    <w:rsid w:val="3BBF0D15"/>
    <w:rsid w:val="3BBF5492"/>
    <w:rsid w:val="3BC14218"/>
    <w:rsid w:val="3BC15248"/>
    <w:rsid w:val="3BC26416"/>
    <w:rsid w:val="3BC3771B"/>
    <w:rsid w:val="3BC4735F"/>
    <w:rsid w:val="3BC52C1E"/>
    <w:rsid w:val="3BC5739B"/>
    <w:rsid w:val="3BC608D8"/>
    <w:rsid w:val="3BC64E1D"/>
    <w:rsid w:val="3BC76121"/>
    <w:rsid w:val="3BC80320"/>
    <w:rsid w:val="3BCA3823"/>
    <w:rsid w:val="3BCB12A4"/>
    <w:rsid w:val="3BCC25A9"/>
    <w:rsid w:val="3BCC5297"/>
    <w:rsid w:val="3BCC56A6"/>
    <w:rsid w:val="3BCC6D26"/>
    <w:rsid w:val="3BCD2229"/>
    <w:rsid w:val="3BCD47A7"/>
    <w:rsid w:val="3BCE5AAC"/>
    <w:rsid w:val="3BCE7CAB"/>
    <w:rsid w:val="3BCF352E"/>
    <w:rsid w:val="3BCF7321"/>
    <w:rsid w:val="3BD00FAF"/>
    <w:rsid w:val="3BD10C2F"/>
    <w:rsid w:val="3BD31F34"/>
    <w:rsid w:val="3BD32474"/>
    <w:rsid w:val="3BD41BB4"/>
    <w:rsid w:val="3BD52EB9"/>
    <w:rsid w:val="3BD55437"/>
    <w:rsid w:val="3BD6093A"/>
    <w:rsid w:val="3BD763BC"/>
    <w:rsid w:val="3BD76E6C"/>
    <w:rsid w:val="3BD864DE"/>
    <w:rsid w:val="3BD866A3"/>
    <w:rsid w:val="3BD918BF"/>
    <w:rsid w:val="3BDB05F6"/>
    <w:rsid w:val="3BDB07BA"/>
    <w:rsid w:val="3BDB4DC2"/>
    <w:rsid w:val="3BDC2844"/>
    <w:rsid w:val="3BDD1B6F"/>
    <w:rsid w:val="3BDE270D"/>
    <w:rsid w:val="3BDE5D47"/>
    <w:rsid w:val="3BDF32AC"/>
    <w:rsid w:val="3BE03C86"/>
    <w:rsid w:val="3BE16CCB"/>
    <w:rsid w:val="3BE2474D"/>
    <w:rsid w:val="3BE251FF"/>
    <w:rsid w:val="3BE321CE"/>
    <w:rsid w:val="3BE42917"/>
    <w:rsid w:val="3BE42C82"/>
    <w:rsid w:val="3BE4693D"/>
    <w:rsid w:val="3BE47C50"/>
    <w:rsid w:val="3BE523F6"/>
    <w:rsid w:val="3BE556D1"/>
    <w:rsid w:val="3BE60890"/>
    <w:rsid w:val="3BE612DE"/>
    <w:rsid w:val="3BE63153"/>
    <w:rsid w:val="3BE70BD5"/>
    <w:rsid w:val="3BE940D8"/>
    <w:rsid w:val="3BEA1B59"/>
    <w:rsid w:val="3BEB75DB"/>
    <w:rsid w:val="3BEC4ABF"/>
    <w:rsid w:val="3BEC4C83"/>
    <w:rsid w:val="3BEE5FE1"/>
    <w:rsid w:val="3BF014E4"/>
    <w:rsid w:val="3BF072E6"/>
    <w:rsid w:val="3BF16F66"/>
    <w:rsid w:val="3BF2188D"/>
    <w:rsid w:val="3BF227E9"/>
    <w:rsid w:val="3BF3026A"/>
    <w:rsid w:val="3BF32469"/>
    <w:rsid w:val="3BF533E5"/>
    <w:rsid w:val="3BF5596C"/>
    <w:rsid w:val="3BF57C96"/>
    <w:rsid w:val="3BF633ED"/>
    <w:rsid w:val="3BF6437E"/>
    <w:rsid w:val="3BF66C71"/>
    <w:rsid w:val="3BF70E6F"/>
    <w:rsid w:val="3BF746F2"/>
    <w:rsid w:val="3BF750E1"/>
    <w:rsid w:val="3BF861C1"/>
    <w:rsid w:val="3BF868F0"/>
    <w:rsid w:val="3BF96496"/>
    <w:rsid w:val="3BF9665A"/>
    <w:rsid w:val="3BFA1DF4"/>
    <w:rsid w:val="3BFA7034"/>
    <w:rsid w:val="3BFB30F8"/>
    <w:rsid w:val="3BFC0B7A"/>
    <w:rsid w:val="3BFD2D78"/>
    <w:rsid w:val="3BFE407D"/>
    <w:rsid w:val="3BFF627B"/>
    <w:rsid w:val="3C003CFD"/>
    <w:rsid w:val="3C0149A1"/>
    <w:rsid w:val="3C015002"/>
    <w:rsid w:val="3C022A83"/>
    <w:rsid w:val="3C0267B9"/>
    <w:rsid w:val="3C030505"/>
    <w:rsid w:val="3C034C82"/>
    <w:rsid w:val="3C0360E3"/>
    <w:rsid w:val="3C046AB8"/>
    <w:rsid w:val="3C052615"/>
    <w:rsid w:val="3C053A08"/>
    <w:rsid w:val="3C057493"/>
    <w:rsid w:val="3C063688"/>
    <w:rsid w:val="3C076F0B"/>
    <w:rsid w:val="3C08498D"/>
    <w:rsid w:val="3C086B8B"/>
    <w:rsid w:val="3C09460C"/>
    <w:rsid w:val="3C0A208E"/>
    <w:rsid w:val="3C0B5911"/>
    <w:rsid w:val="3C0B7B0F"/>
    <w:rsid w:val="3C0C3393"/>
    <w:rsid w:val="3C0C409C"/>
    <w:rsid w:val="3C0D3013"/>
    <w:rsid w:val="3C0E5615"/>
    <w:rsid w:val="3C0E6896"/>
    <w:rsid w:val="3C0F1D99"/>
    <w:rsid w:val="3C0F6516"/>
    <w:rsid w:val="3C1014B7"/>
    <w:rsid w:val="3C101822"/>
    <w:rsid w:val="3C101D43"/>
    <w:rsid w:val="3C10781A"/>
    <w:rsid w:val="3C11070A"/>
    <w:rsid w:val="3C122D1E"/>
    <w:rsid w:val="3C12749A"/>
    <w:rsid w:val="3C134F1C"/>
    <w:rsid w:val="3C1423E3"/>
    <w:rsid w:val="3C161724"/>
    <w:rsid w:val="3C165EA1"/>
    <w:rsid w:val="3C173922"/>
    <w:rsid w:val="3C174336"/>
    <w:rsid w:val="3C1771A5"/>
    <w:rsid w:val="3C1813A4"/>
    <w:rsid w:val="3C184C27"/>
    <w:rsid w:val="3C184ED4"/>
    <w:rsid w:val="3C196E25"/>
    <w:rsid w:val="3C1A48A7"/>
    <w:rsid w:val="3C1A644D"/>
    <w:rsid w:val="3C1A6612"/>
    <w:rsid w:val="3C1A71B0"/>
    <w:rsid w:val="3C1B5BAC"/>
    <w:rsid w:val="3C1B7B8B"/>
    <w:rsid w:val="3C1C0565"/>
    <w:rsid w:val="3C1C7DAA"/>
    <w:rsid w:val="3C1D10AF"/>
    <w:rsid w:val="3C1E6B30"/>
    <w:rsid w:val="3C1F3929"/>
    <w:rsid w:val="3C1F45B2"/>
    <w:rsid w:val="3C1F67B0"/>
    <w:rsid w:val="3C211CB3"/>
    <w:rsid w:val="3C225536"/>
    <w:rsid w:val="3C227735"/>
    <w:rsid w:val="3C232FB8"/>
    <w:rsid w:val="3C2351B6"/>
    <w:rsid w:val="3C240A39"/>
    <w:rsid w:val="3C242C38"/>
    <w:rsid w:val="3C2564BB"/>
    <w:rsid w:val="3C2568AB"/>
    <w:rsid w:val="3C256A70"/>
    <w:rsid w:val="3C2619BE"/>
    <w:rsid w:val="3C263F3D"/>
    <w:rsid w:val="3C26613B"/>
    <w:rsid w:val="3C26744A"/>
    <w:rsid w:val="3C270B87"/>
    <w:rsid w:val="3C277E24"/>
    <w:rsid w:val="3C2809C3"/>
    <w:rsid w:val="3C28163E"/>
    <w:rsid w:val="3C284EC1"/>
    <w:rsid w:val="3C291F3C"/>
    <w:rsid w:val="3C292943"/>
    <w:rsid w:val="3C2A03C4"/>
    <w:rsid w:val="3C2A4B41"/>
    <w:rsid w:val="3C2B25C3"/>
    <w:rsid w:val="3C2B34B5"/>
    <w:rsid w:val="3C2C38C7"/>
    <w:rsid w:val="3C2C4053"/>
    <w:rsid w:val="3C2D1349"/>
    <w:rsid w:val="3C2E5791"/>
    <w:rsid w:val="3C2F0FC9"/>
    <w:rsid w:val="3C2F484C"/>
    <w:rsid w:val="3C2F4917"/>
    <w:rsid w:val="3C2F4C83"/>
    <w:rsid w:val="3C2F6E1E"/>
    <w:rsid w:val="3C3144CC"/>
    <w:rsid w:val="3C3176E4"/>
    <w:rsid w:val="3C317D4F"/>
    <w:rsid w:val="3C320447"/>
    <w:rsid w:val="3C3257D1"/>
    <w:rsid w:val="3C3379CF"/>
    <w:rsid w:val="3C340CD4"/>
    <w:rsid w:val="3C35239A"/>
    <w:rsid w:val="3C35255E"/>
    <w:rsid w:val="3C360954"/>
    <w:rsid w:val="3C362D74"/>
    <w:rsid w:val="3C3641D7"/>
    <w:rsid w:val="3C371C58"/>
    <w:rsid w:val="3C373913"/>
    <w:rsid w:val="3C39515C"/>
    <w:rsid w:val="3C395BEF"/>
    <w:rsid w:val="3C3A2BDD"/>
    <w:rsid w:val="3C3A65C9"/>
    <w:rsid w:val="3C3B065F"/>
    <w:rsid w:val="3C3B7168"/>
    <w:rsid w:val="3C3C7D06"/>
    <w:rsid w:val="3C3D3B62"/>
    <w:rsid w:val="3C3E15E3"/>
    <w:rsid w:val="3C3F4AE6"/>
    <w:rsid w:val="3C402568"/>
    <w:rsid w:val="3C4131D2"/>
    <w:rsid w:val="3C425A6B"/>
    <w:rsid w:val="3C4334ED"/>
    <w:rsid w:val="3C440F6E"/>
    <w:rsid w:val="3C456863"/>
    <w:rsid w:val="3C4569F0"/>
    <w:rsid w:val="3C464471"/>
    <w:rsid w:val="3C4675C6"/>
    <w:rsid w:val="3C471EF3"/>
    <w:rsid w:val="3C477FA0"/>
    <w:rsid w:val="3C48097A"/>
    <w:rsid w:val="3C487974"/>
    <w:rsid w:val="3C4953F6"/>
    <w:rsid w:val="3C4A342B"/>
    <w:rsid w:val="3C4B267E"/>
    <w:rsid w:val="3C4B2C56"/>
    <w:rsid w:val="3C4C637B"/>
    <w:rsid w:val="3C4D3DFC"/>
    <w:rsid w:val="3C4E187E"/>
    <w:rsid w:val="3C4F64BA"/>
    <w:rsid w:val="3C4F72FF"/>
    <w:rsid w:val="3C504D81"/>
    <w:rsid w:val="3C512802"/>
    <w:rsid w:val="3C516CC1"/>
    <w:rsid w:val="3C516E85"/>
    <w:rsid w:val="3C520284"/>
    <w:rsid w:val="3C543787"/>
    <w:rsid w:val="3C54700A"/>
    <w:rsid w:val="3C554A8C"/>
    <w:rsid w:val="3C57218D"/>
    <w:rsid w:val="3C573A8F"/>
    <w:rsid w:val="3C577F8F"/>
    <w:rsid w:val="3C585C08"/>
    <w:rsid w:val="3C587C0F"/>
    <w:rsid w:val="3C593492"/>
    <w:rsid w:val="3C595690"/>
    <w:rsid w:val="3C5A0F14"/>
    <w:rsid w:val="3C5B6995"/>
    <w:rsid w:val="3C5C711F"/>
    <w:rsid w:val="3C601C11"/>
    <w:rsid w:val="3C612A9D"/>
    <w:rsid w:val="3C616320"/>
    <w:rsid w:val="3C62051E"/>
    <w:rsid w:val="3C623D29"/>
    <w:rsid w:val="3C645466"/>
    <w:rsid w:val="3C6472A5"/>
    <w:rsid w:val="3C654D26"/>
    <w:rsid w:val="3C656005"/>
    <w:rsid w:val="3C670229"/>
    <w:rsid w:val="3C67757D"/>
    <w:rsid w:val="3C677D0F"/>
    <w:rsid w:val="3C690932"/>
    <w:rsid w:val="3C6A592B"/>
    <w:rsid w:val="3C6B33AC"/>
    <w:rsid w:val="3C6B6C2F"/>
    <w:rsid w:val="3C6C46B1"/>
    <w:rsid w:val="3C6D2D06"/>
    <w:rsid w:val="3C6D68AF"/>
    <w:rsid w:val="3C6E1DB2"/>
    <w:rsid w:val="3C6E7BB4"/>
    <w:rsid w:val="3C6F5636"/>
    <w:rsid w:val="3C6F5700"/>
    <w:rsid w:val="3C7030B7"/>
    <w:rsid w:val="3C716C78"/>
    <w:rsid w:val="3C73403C"/>
    <w:rsid w:val="3C741ABD"/>
    <w:rsid w:val="3C75173D"/>
    <w:rsid w:val="3C762309"/>
    <w:rsid w:val="3C764FC0"/>
    <w:rsid w:val="3C7671BF"/>
    <w:rsid w:val="3C774C40"/>
    <w:rsid w:val="3C7826C2"/>
    <w:rsid w:val="3C785EBB"/>
    <w:rsid w:val="3C785F45"/>
    <w:rsid w:val="3C7A1448"/>
    <w:rsid w:val="3C7A4FBF"/>
    <w:rsid w:val="3C7A5BC5"/>
    <w:rsid w:val="3C7B6ECA"/>
    <w:rsid w:val="3C7C10C8"/>
    <w:rsid w:val="3C7C494B"/>
    <w:rsid w:val="3C7D23CD"/>
    <w:rsid w:val="3C7D6B4A"/>
    <w:rsid w:val="3C7E45CB"/>
    <w:rsid w:val="3C7E7E4E"/>
    <w:rsid w:val="3C801BC8"/>
    <w:rsid w:val="3C815550"/>
    <w:rsid w:val="3C822FD1"/>
    <w:rsid w:val="3C823306"/>
    <w:rsid w:val="3C826855"/>
    <w:rsid w:val="3C853F56"/>
    <w:rsid w:val="3C8577D9"/>
    <w:rsid w:val="3C8619D8"/>
    <w:rsid w:val="3C8623C3"/>
    <w:rsid w:val="3C86525B"/>
    <w:rsid w:val="3C865DF7"/>
    <w:rsid w:val="3C865FBC"/>
    <w:rsid w:val="3C872CDC"/>
    <w:rsid w:val="3C88075E"/>
    <w:rsid w:val="3C88295C"/>
    <w:rsid w:val="3C8903DE"/>
    <w:rsid w:val="3C8A1488"/>
    <w:rsid w:val="3C8A164C"/>
    <w:rsid w:val="3C8A3C61"/>
    <w:rsid w:val="3C8B2027"/>
    <w:rsid w:val="3C8D4BE6"/>
    <w:rsid w:val="3C8E2667"/>
    <w:rsid w:val="3C8E4303"/>
    <w:rsid w:val="3C8E4865"/>
    <w:rsid w:val="3C8F22E7"/>
    <w:rsid w:val="3C8F5B6A"/>
    <w:rsid w:val="3C9035EC"/>
    <w:rsid w:val="3C907D69"/>
    <w:rsid w:val="3C91106D"/>
    <w:rsid w:val="3C92326C"/>
    <w:rsid w:val="3C934571"/>
    <w:rsid w:val="3C936A65"/>
    <w:rsid w:val="3C937993"/>
    <w:rsid w:val="3C941FF2"/>
    <w:rsid w:val="3C94676F"/>
    <w:rsid w:val="3C9541F0"/>
    <w:rsid w:val="3C957A74"/>
    <w:rsid w:val="3C973023"/>
    <w:rsid w:val="3C9809F8"/>
    <w:rsid w:val="3C9839FE"/>
    <w:rsid w:val="3C99647A"/>
    <w:rsid w:val="3C9A0678"/>
    <w:rsid w:val="3C9B197D"/>
    <w:rsid w:val="3C9B5B15"/>
    <w:rsid w:val="3C9B60FA"/>
    <w:rsid w:val="3C9C3B7B"/>
    <w:rsid w:val="3C9C73FE"/>
    <w:rsid w:val="3C9D15FD"/>
    <w:rsid w:val="3C9D4E80"/>
    <w:rsid w:val="3C9E2902"/>
    <w:rsid w:val="3C9E707E"/>
    <w:rsid w:val="3C9F07CB"/>
    <w:rsid w:val="3C9F2581"/>
    <w:rsid w:val="3CA00003"/>
    <w:rsid w:val="3CA05E05"/>
    <w:rsid w:val="3CA13886"/>
    <w:rsid w:val="3CA23F97"/>
    <w:rsid w:val="3CA4480B"/>
    <w:rsid w:val="3CA449FA"/>
    <w:rsid w:val="3CA4693B"/>
    <w:rsid w:val="3CA5228C"/>
    <w:rsid w:val="3CA65F73"/>
    <w:rsid w:val="3CA67D0E"/>
    <w:rsid w:val="3CA73211"/>
    <w:rsid w:val="3CA7694E"/>
    <w:rsid w:val="3CA80C93"/>
    <w:rsid w:val="3CA96714"/>
    <w:rsid w:val="3CAA4196"/>
    <w:rsid w:val="3CAC7699"/>
    <w:rsid w:val="3CAD697D"/>
    <w:rsid w:val="3CAF061D"/>
    <w:rsid w:val="3CAF40F6"/>
    <w:rsid w:val="3CAF4F46"/>
    <w:rsid w:val="3CAF753A"/>
    <w:rsid w:val="3CB02FDD"/>
    <w:rsid w:val="3CB0609F"/>
    <w:rsid w:val="3CB12230"/>
    <w:rsid w:val="3CB13B21"/>
    <w:rsid w:val="3CB163D2"/>
    <w:rsid w:val="3CB20F63"/>
    <w:rsid w:val="3CB37786"/>
    <w:rsid w:val="3CB40325"/>
    <w:rsid w:val="3CB50CFF"/>
    <w:rsid w:val="3CB6189E"/>
    <w:rsid w:val="3CB61A62"/>
    <w:rsid w:val="3CB7243C"/>
    <w:rsid w:val="3CB75A2A"/>
    <w:rsid w:val="3CBA2232"/>
    <w:rsid w:val="3CBA69AE"/>
    <w:rsid w:val="3CBB4F2E"/>
    <w:rsid w:val="3CBB50F2"/>
    <w:rsid w:val="3CBC5735"/>
    <w:rsid w:val="3CBD666B"/>
    <w:rsid w:val="3CBE53B5"/>
    <w:rsid w:val="3CBE720A"/>
    <w:rsid w:val="3CBE7BFC"/>
    <w:rsid w:val="3CBE7DA9"/>
    <w:rsid w:val="3CBF544F"/>
    <w:rsid w:val="3CBF7768"/>
    <w:rsid w:val="3CBF7F20"/>
    <w:rsid w:val="3CC03C61"/>
    <w:rsid w:val="3CC0413B"/>
    <w:rsid w:val="3CC06339"/>
    <w:rsid w:val="3CC13DBB"/>
    <w:rsid w:val="3CC2289A"/>
    <w:rsid w:val="3CC2763E"/>
    <w:rsid w:val="3CC33439"/>
    <w:rsid w:val="3CC372BE"/>
    <w:rsid w:val="3CC42B41"/>
    <w:rsid w:val="3CC43E13"/>
    <w:rsid w:val="3CC505C3"/>
    <w:rsid w:val="3CC527C1"/>
    <w:rsid w:val="3CC66044"/>
    <w:rsid w:val="3CC71547"/>
    <w:rsid w:val="3CC73AC6"/>
    <w:rsid w:val="3CC86905"/>
    <w:rsid w:val="3CC86AC9"/>
    <w:rsid w:val="3CC911C7"/>
    <w:rsid w:val="3CCA24CC"/>
    <w:rsid w:val="3CCA6154"/>
    <w:rsid w:val="3CCC15BB"/>
    <w:rsid w:val="3CCC214C"/>
    <w:rsid w:val="3CCE564F"/>
    <w:rsid w:val="3CCF30D1"/>
    <w:rsid w:val="3CCF4271"/>
    <w:rsid w:val="3CCF60D3"/>
    <w:rsid w:val="3CCF6954"/>
    <w:rsid w:val="3CD00B52"/>
    <w:rsid w:val="3CD043D5"/>
    <w:rsid w:val="3CD04C4C"/>
    <w:rsid w:val="3CD04E10"/>
    <w:rsid w:val="3CD11E57"/>
    <w:rsid w:val="3CD26389"/>
    <w:rsid w:val="3CD278D9"/>
    <w:rsid w:val="3CD31AD7"/>
    <w:rsid w:val="3CD4773D"/>
    <w:rsid w:val="3CD662DF"/>
    <w:rsid w:val="3CD704DD"/>
    <w:rsid w:val="3CD70C03"/>
    <w:rsid w:val="3CD73D60"/>
    <w:rsid w:val="3CD75F5F"/>
    <w:rsid w:val="3CD839E0"/>
    <w:rsid w:val="3CD97263"/>
    <w:rsid w:val="3CDA245A"/>
    <w:rsid w:val="3CDA396C"/>
    <w:rsid w:val="3CDA3B31"/>
    <w:rsid w:val="3CDA4CE5"/>
    <w:rsid w:val="3CDA6EE3"/>
    <w:rsid w:val="3CDB2766"/>
    <w:rsid w:val="3CDC01E8"/>
    <w:rsid w:val="3CDC5C48"/>
    <w:rsid w:val="3CDD06FA"/>
    <w:rsid w:val="3CDD12F1"/>
    <w:rsid w:val="3CDE58E9"/>
    <w:rsid w:val="3CDE71C1"/>
    <w:rsid w:val="3CDF6BEE"/>
    <w:rsid w:val="3CE00DEC"/>
    <w:rsid w:val="3CE04670"/>
    <w:rsid w:val="3CE1686E"/>
    <w:rsid w:val="3CE27B73"/>
    <w:rsid w:val="3CE32852"/>
    <w:rsid w:val="3CE43076"/>
    <w:rsid w:val="3CE50AF7"/>
    <w:rsid w:val="3CE62CF6"/>
    <w:rsid w:val="3CE64969"/>
    <w:rsid w:val="3CE70777"/>
    <w:rsid w:val="3CE73FFB"/>
    <w:rsid w:val="3CE81A7C"/>
    <w:rsid w:val="3CE93C7A"/>
    <w:rsid w:val="3CE968BC"/>
    <w:rsid w:val="3CE974FE"/>
    <w:rsid w:val="3CEA16FC"/>
    <w:rsid w:val="3CEB0B98"/>
    <w:rsid w:val="3CEB2A01"/>
    <w:rsid w:val="3CEC0482"/>
    <w:rsid w:val="3CEC1573"/>
    <w:rsid w:val="3CEC308D"/>
    <w:rsid w:val="3CEF5B84"/>
    <w:rsid w:val="3CF01087"/>
    <w:rsid w:val="3CF03605"/>
    <w:rsid w:val="3CF04064"/>
    <w:rsid w:val="3CF06E89"/>
    <w:rsid w:val="3CF1490A"/>
    <w:rsid w:val="3CF16B08"/>
    <w:rsid w:val="3CF2458A"/>
    <w:rsid w:val="3CF257A2"/>
    <w:rsid w:val="3CF3200B"/>
    <w:rsid w:val="3CF4588F"/>
    <w:rsid w:val="3CF46EDF"/>
    <w:rsid w:val="3CF47A8D"/>
    <w:rsid w:val="3CF5550F"/>
    <w:rsid w:val="3CF60D92"/>
    <w:rsid w:val="3CF60FF7"/>
    <w:rsid w:val="3CF62F90"/>
    <w:rsid w:val="3CF81D16"/>
    <w:rsid w:val="3CF84295"/>
    <w:rsid w:val="3CF93F15"/>
    <w:rsid w:val="3CF960F6"/>
    <w:rsid w:val="3CF97798"/>
    <w:rsid w:val="3CFA521A"/>
    <w:rsid w:val="3CFB2C9B"/>
    <w:rsid w:val="3CFB4ABD"/>
    <w:rsid w:val="3CFB4FDE"/>
    <w:rsid w:val="3CFC071D"/>
    <w:rsid w:val="3CFD291B"/>
    <w:rsid w:val="3CFD5C00"/>
    <w:rsid w:val="3CFD619E"/>
    <w:rsid w:val="3CFE039D"/>
    <w:rsid w:val="3CFE3C20"/>
    <w:rsid w:val="3CFE65DA"/>
    <w:rsid w:val="3CFF16A1"/>
    <w:rsid w:val="3D007123"/>
    <w:rsid w:val="3D014BA4"/>
    <w:rsid w:val="3D021290"/>
    <w:rsid w:val="3D0433A8"/>
    <w:rsid w:val="3D045B29"/>
    <w:rsid w:val="3D053D82"/>
    <w:rsid w:val="3D057D27"/>
    <w:rsid w:val="3D06102C"/>
    <w:rsid w:val="3D0657A9"/>
    <w:rsid w:val="3D07115F"/>
    <w:rsid w:val="3D07322A"/>
    <w:rsid w:val="3D076AAE"/>
    <w:rsid w:val="3D08452F"/>
    <w:rsid w:val="3D08605E"/>
    <w:rsid w:val="3D0B54B4"/>
    <w:rsid w:val="3D0C2F35"/>
    <w:rsid w:val="3D0D09B7"/>
    <w:rsid w:val="3D0E228D"/>
    <w:rsid w:val="3D0F2AA3"/>
    <w:rsid w:val="3D0F2C67"/>
    <w:rsid w:val="3D0F3EBA"/>
    <w:rsid w:val="3D10193C"/>
    <w:rsid w:val="3D1228C0"/>
    <w:rsid w:val="3D12591E"/>
    <w:rsid w:val="3D130342"/>
    <w:rsid w:val="3D145DC3"/>
    <w:rsid w:val="3D153845"/>
    <w:rsid w:val="3D163786"/>
    <w:rsid w:val="3D17214E"/>
    <w:rsid w:val="3D181B4D"/>
    <w:rsid w:val="3D1847CA"/>
    <w:rsid w:val="3D19224B"/>
    <w:rsid w:val="3D1A7CCD"/>
    <w:rsid w:val="3D1C31D0"/>
    <w:rsid w:val="3D1C447A"/>
    <w:rsid w:val="3D1C463E"/>
    <w:rsid w:val="3D1E06B7"/>
    <w:rsid w:val="3D1E5BB7"/>
    <w:rsid w:val="3D1F4154"/>
    <w:rsid w:val="3D1F6756"/>
    <w:rsid w:val="3D200AD3"/>
    <w:rsid w:val="3D201BD6"/>
    <w:rsid w:val="3D205459"/>
    <w:rsid w:val="3D217658"/>
    <w:rsid w:val="3D2427C1"/>
    <w:rsid w:val="3D243E5F"/>
    <w:rsid w:val="3D245A43"/>
    <w:rsid w:val="3D2518E1"/>
    <w:rsid w:val="3D25605E"/>
    <w:rsid w:val="3D263ADF"/>
    <w:rsid w:val="3D26492B"/>
    <w:rsid w:val="3D271561"/>
    <w:rsid w:val="3D2748D8"/>
    <w:rsid w:val="3D274DE4"/>
    <w:rsid w:val="3D282866"/>
    <w:rsid w:val="3D295E51"/>
    <w:rsid w:val="3D2A7F67"/>
    <w:rsid w:val="3D2B37EA"/>
    <w:rsid w:val="3D2B59E9"/>
    <w:rsid w:val="3D2B758E"/>
    <w:rsid w:val="3D2C346A"/>
    <w:rsid w:val="3D2D0B07"/>
    <w:rsid w:val="3D2D0EEC"/>
    <w:rsid w:val="3D2D6CED"/>
    <w:rsid w:val="3D2E476F"/>
    <w:rsid w:val="3D2F21F1"/>
    <w:rsid w:val="3D2F43EF"/>
    <w:rsid w:val="3D313175"/>
    <w:rsid w:val="3D31435C"/>
    <w:rsid w:val="3D3178F2"/>
    <w:rsid w:val="3D320BF7"/>
    <w:rsid w:val="3D340877"/>
    <w:rsid w:val="3D3440FA"/>
    <w:rsid w:val="3D3562F8"/>
    <w:rsid w:val="3D356C89"/>
    <w:rsid w:val="3D363D7A"/>
    <w:rsid w:val="3D3717FB"/>
    <w:rsid w:val="3D380F65"/>
    <w:rsid w:val="3D383EEB"/>
    <w:rsid w:val="3D3A6003"/>
    <w:rsid w:val="3D3B0201"/>
    <w:rsid w:val="3D3B2EB9"/>
    <w:rsid w:val="3D3D3705"/>
    <w:rsid w:val="3D3D6F88"/>
    <w:rsid w:val="3D3E1186"/>
    <w:rsid w:val="3D3E4A09"/>
    <w:rsid w:val="3D3F0B93"/>
    <w:rsid w:val="3D3F6549"/>
    <w:rsid w:val="3D40210B"/>
    <w:rsid w:val="3D4072AC"/>
    <w:rsid w:val="3D412D68"/>
    <w:rsid w:val="3D420661"/>
    <w:rsid w:val="3D4218E5"/>
    <w:rsid w:val="3D4311FF"/>
    <w:rsid w:val="3D43308F"/>
    <w:rsid w:val="3D4402AC"/>
    <w:rsid w:val="3D452778"/>
    <w:rsid w:val="3D454394"/>
    <w:rsid w:val="3D461E16"/>
    <w:rsid w:val="3D464014"/>
    <w:rsid w:val="3D466670"/>
    <w:rsid w:val="3D473EB5"/>
    <w:rsid w:val="3D477897"/>
    <w:rsid w:val="3D482D9A"/>
    <w:rsid w:val="3D485319"/>
    <w:rsid w:val="3D4A6972"/>
    <w:rsid w:val="3D4B049C"/>
    <w:rsid w:val="3D4B3D1F"/>
    <w:rsid w:val="3D4B7546"/>
    <w:rsid w:val="3D4C17A1"/>
    <w:rsid w:val="3D4C5F1D"/>
    <w:rsid w:val="3D4D399F"/>
    <w:rsid w:val="3D4D7222"/>
    <w:rsid w:val="3D4E1420"/>
    <w:rsid w:val="3D4E4CA4"/>
    <w:rsid w:val="3D4F2725"/>
    <w:rsid w:val="3D4F2F4A"/>
    <w:rsid w:val="3D504798"/>
    <w:rsid w:val="3D524314"/>
    <w:rsid w:val="3D527E27"/>
    <w:rsid w:val="3D534EB2"/>
    <w:rsid w:val="3D5358A8"/>
    <w:rsid w:val="3D54332A"/>
    <w:rsid w:val="3D56682D"/>
    <w:rsid w:val="3D5777E0"/>
    <w:rsid w:val="3D577B32"/>
    <w:rsid w:val="3D5855B3"/>
    <w:rsid w:val="3D5877B1"/>
    <w:rsid w:val="3D595233"/>
    <w:rsid w:val="3D5A0AB6"/>
    <w:rsid w:val="3D5A265A"/>
    <w:rsid w:val="3D5B0736"/>
    <w:rsid w:val="3D5B2AD3"/>
    <w:rsid w:val="3D5B3034"/>
    <w:rsid w:val="3D5C3FB9"/>
    <w:rsid w:val="3D5C61B8"/>
    <w:rsid w:val="3D5D1A3B"/>
    <w:rsid w:val="3D5E74BC"/>
    <w:rsid w:val="3D5F713C"/>
    <w:rsid w:val="3D600441"/>
    <w:rsid w:val="3D6029C0"/>
    <w:rsid w:val="3D6066C5"/>
    <w:rsid w:val="3D615EC3"/>
    <w:rsid w:val="3D61709F"/>
    <w:rsid w:val="3D6200C1"/>
    <w:rsid w:val="3D627C3E"/>
    <w:rsid w:val="3D6307DC"/>
    <w:rsid w:val="3D6435C4"/>
    <w:rsid w:val="3D646E47"/>
    <w:rsid w:val="3D651046"/>
    <w:rsid w:val="3D653486"/>
    <w:rsid w:val="3D66234A"/>
    <w:rsid w:val="3D666AC7"/>
    <w:rsid w:val="3D673E6D"/>
    <w:rsid w:val="3D681FCA"/>
    <w:rsid w:val="3D684847"/>
    <w:rsid w:val="3D68584E"/>
    <w:rsid w:val="3D697A4C"/>
    <w:rsid w:val="3D6A0D51"/>
    <w:rsid w:val="3D6B67D2"/>
    <w:rsid w:val="3D6B6B23"/>
    <w:rsid w:val="3D6C74FD"/>
    <w:rsid w:val="3D6C76C2"/>
    <w:rsid w:val="3D6D009C"/>
    <w:rsid w:val="3D6D13E7"/>
    <w:rsid w:val="3D6D1ABE"/>
    <w:rsid w:val="3D6D6452"/>
    <w:rsid w:val="3D6E7757"/>
    <w:rsid w:val="3D6F51D8"/>
    <w:rsid w:val="3D707D6C"/>
    <w:rsid w:val="3D72372C"/>
    <w:rsid w:val="3D733BDF"/>
    <w:rsid w:val="3D734107"/>
    <w:rsid w:val="3D741660"/>
    <w:rsid w:val="3D75621E"/>
    <w:rsid w:val="3D764B63"/>
    <w:rsid w:val="3D766F81"/>
    <w:rsid w:val="3D791D75"/>
    <w:rsid w:val="3D795AE8"/>
    <w:rsid w:val="3D7A1A73"/>
    <w:rsid w:val="3D7C44EE"/>
    <w:rsid w:val="3D7D2C62"/>
    <w:rsid w:val="3D7E1B4A"/>
    <w:rsid w:val="3D7E79F1"/>
    <w:rsid w:val="3D7F5473"/>
    <w:rsid w:val="3D805CA2"/>
    <w:rsid w:val="3D810976"/>
    <w:rsid w:val="3D8263F7"/>
    <w:rsid w:val="3D827BF5"/>
    <w:rsid w:val="3D830958"/>
    <w:rsid w:val="3D8418FA"/>
    <w:rsid w:val="3D864DFE"/>
    <w:rsid w:val="3D87287F"/>
    <w:rsid w:val="3D880301"/>
    <w:rsid w:val="3D883B84"/>
    <w:rsid w:val="3D8A670D"/>
    <w:rsid w:val="3D8B4B09"/>
    <w:rsid w:val="3D8B5F3C"/>
    <w:rsid w:val="3D8C6D07"/>
    <w:rsid w:val="3D8D000C"/>
    <w:rsid w:val="3D8E220A"/>
    <w:rsid w:val="3D8E5A8D"/>
    <w:rsid w:val="3D8F0C19"/>
    <w:rsid w:val="3D910C10"/>
    <w:rsid w:val="3D9126AB"/>
    <w:rsid w:val="3D91318F"/>
    <w:rsid w:val="3D916A12"/>
    <w:rsid w:val="3D924493"/>
    <w:rsid w:val="3D926692"/>
    <w:rsid w:val="3D934282"/>
    <w:rsid w:val="3D941B95"/>
    <w:rsid w:val="3D944E21"/>
    <w:rsid w:val="3D955418"/>
    <w:rsid w:val="3D957616"/>
    <w:rsid w:val="3D965098"/>
    <w:rsid w:val="3D96639A"/>
    <w:rsid w:val="3D97091B"/>
    <w:rsid w:val="3D972B19"/>
    <w:rsid w:val="3D98059B"/>
    <w:rsid w:val="3D9842E8"/>
    <w:rsid w:val="3D9902ED"/>
    <w:rsid w:val="3D9918A0"/>
    <w:rsid w:val="3D993E1E"/>
    <w:rsid w:val="3D99601D"/>
    <w:rsid w:val="3D9A76D5"/>
    <w:rsid w:val="3D9B1520"/>
    <w:rsid w:val="3D9B1A2A"/>
    <w:rsid w:val="3D9D02A6"/>
    <w:rsid w:val="3D9D3B42"/>
    <w:rsid w:val="3D9E5D28"/>
    <w:rsid w:val="3D9F50BB"/>
    <w:rsid w:val="3D9F7F26"/>
    <w:rsid w:val="3DA0122B"/>
    <w:rsid w:val="3DA167F8"/>
    <w:rsid w:val="3DA2472E"/>
    <w:rsid w:val="3DA27397"/>
    <w:rsid w:val="3DA321AF"/>
    <w:rsid w:val="3DA37D71"/>
    <w:rsid w:val="3DA40910"/>
    <w:rsid w:val="3DA443AE"/>
    <w:rsid w:val="3DA45043"/>
    <w:rsid w:val="3DA556B2"/>
    <w:rsid w:val="3DA61E89"/>
    <w:rsid w:val="3DA678B1"/>
    <w:rsid w:val="3DA70BB6"/>
    <w:rsid w:val="3DA72863"/>
    <w:rsid w:val="3DA819B8"/>
    <w:rsid w:val="3DA81ED8"/>
    <w:rsid w:val="3DA82DB4"/>
    <w:rsid w:val="3DA85FA7"/>
    <w:rsid w:val="3DA86637"/>
    <w:rsid w:val="3DA90835"/>
    <w:rsid w:val="3DA93DDC"/>
    <w:rsid w:val="3DA93FA0"/>
    <w:rsid w:val="3DA940B9"/>
    <w:rsid w:val="3DAA3D38"/>
    <w:rsid w:val="3DAA497A"/>
    <w:rsid w:val="3DAB17BA"/>
    <w:rsid w:val="3DAB60B8"/>
    <w:rsid w:val="3DAB75BC"/>
    <w:rsid w:val="3DAD4CBD"/>
    <w:rsid w:val="3DAE0540"/>
    <w:rsid w:val="3DAE273F"/>
    <w:rsid w:val="3DAF01C0"/>
    <w:rsid w:val="3DB07174"/>
    <w:rsid w:val="3DB136C3"/>
    <w:rsid w:val="3DB16F47"/>
    <w:rsid w:val="3DB21145"/>
    <w:rsid w:val="3DB22CC1"/>
    <w:rsid w:val="3DB32CC8"/>
    <w:rsid w:val="3DB36BC6"/>
    <w:rsid w:val="3DB443FE"/>
    <w:rsid w:val="3DB520C9"/>
    <w:rsid w:val="3DB5594D"/>
    <w:rsid w:val="3DB657B3"/>
    <w:rsid w:val="3DB65977"/>
    <w:rsid w:val="3DB67B4B"/>
    <w:rsid w:val="3DB70D74"/>
    <w:rsid w:val="3DB70E50"/>
    <w:rsid w:val="3DB73753"/>
    <w:rsid w:val="3DB73909"/>
    <w:rsid w:val="3DB8304E"/>
    <w:rsid w:val="3DB868D1"/>
    <w:rsid w:val="3DB86D2C"/>
    <w:rsid w:val="3DB878CA"/>
    <w:rsid w:val="3DB90AD0"/>
    <w:rsid w:val="3DB94353"/>
    <w:rsid w:val="3DBA1DD5"/>
    <w:rsid w:val="3DBA6551"/>
    <w:rsid w:val="3DBB3FD3"/>
    <w:rsid w:val="3DBB7856"/>
    <w:rsid w:val="3DBC1A54"/>
    <w:rsid w:val="3DBC52D8"/>
    <w:rsid w:val="3DBD2D59"/>
    <w:rsid w:val="3DBD5FF0"/>
    <w:rsid w:val="3DBE07DB"/>
    <w:rsid w:val="3DBE3CBE"/>
    <w:rsid w:val="3DBE4F57"/>
    <w:rsid w:val="3DBF29D9"/>
    <w:rsid w:val="3DC03CDE"/>
    <w:rsid w:val="3DC267B0"/>
    <w:rsid w:val="3DC271E1"/>
    <w:rsid w:val="3DC50166"/>
    <w:rsid w:val="3DC50703"/>
    <w:rsid w:val="3DC5216B"/>
    <w:rsid w:val="3DC52364"/>
    <w:rsid w:val="3DC56E93"/>
    <w:rsid w:val="3DC65BE7"/>
    <w:rsid w:val="3DC729DF"/>
    <w:rsid w:val="3DC75867"/>
    <w:rsid w:val="3DC810EA"/>
    <w:rsid w:val="3DC833B9"/>
    <w:rsid w:val="3DC90D6A"/>
    <w:rsid w:val="3DC93E69"/>
    <w:rsid w:val="3DCA4AF6"/>
    <w:rsid w:val="3DCA67EC"/>
    <w:rsid w:val="3DCB7AF0"/>
    <w:rsid w:val="3DCC1CEF"/>
    <w:rsid w:val="3DCC5572"/>
    <w:rsid w:val="3DCC606F"/>
    <w:rsid w:val="3DCC6ADF"/>
    <w:rsid w:val="3DCD2FF3"/>
    <w:rsid w:val="3DCE0A75"/>
    <w:rsid w:val="3DCE51F2"/>
    <w:rsid w:val="3DCE75E8"/>
    <w:rsid w:val="3DCF2C73"/>
    <w:rsid w:val="3DCF64F7"/>
    <w:rsid w:val="3DD006F5"/>
    <w:rsid w:val="3DD113D0"/>
    <w:rsid w:val="3DD119FA"/>
    <w:rsid w:val="3DD16176"/>
    <w:rsid w:val="3DD22E3D"/>
    <w:rsid w:val="3DD23BF8"/>
    <w:rsid w:val="3DD2747B"/>
    <w:rsid w:val="3DD3114F"/>
    <w:rsid w:val="3DD31670"/>
    <w:rsid w:val="3DD33817"/>
    <w:rsid w:val="3DD65E81"/>
    <w:rsid w:val="3DD73903"/>
    <w:rsid w:val="3DD76309"/>
    <w:rsid w:val="3DD81385"/>
    <w:rsid w:val="3DD86EA7"/>
    <w:rsid w:val="3DDA0420"/>
    <w:rsid w:val="3DDB2309"/>
    <w:rsid w:val="3DDC7D8B"/>
    <w:rsid w:val="3DDD580C"/>
    <w:rsid w:val="3DDE328E"/>
    <w:rsid w:val="3DE06791"/>
    <w:rsid w:val="3DE1436E"/>
    <w:rsid w:val="3DE2392C"/>
    <w:rsid w:val="3DE23AE2"/>
    <w:rsid w:val="3DE35197"/>
    <w:rsid w:val="3DE42C19"/>
    <w:rsid w:val="3DE448B3"/>
    <w:rsid w:val="3DE6141D"/>
    <w:rsid w:val="3DE71DF7"/>
    <w:rsid w:val="3DE8161F"/>
    <w:rsid w:val="3DE93535"/>
    <w:rsid w:val="3DEB25A4"/>
    <w:rsid w:val="3DEB48E9"/>
    <w:rsid w:val="3DEC0025"/>
    <w:rsid w:val="3DEC38A8"/>
    <w:rsid w:val="3DEC5488"/>
    <w:rsid w:val="3DED5AA7"/>
    <w:rsid w:val="3DED6027"/>
    <w:rsid w:val="3DED6BC5"/>
    <w:rsid w:val="3DEE3528"/>
    <w:rsid w:val="3DEE6DAB"/>
    <w:rsid w:val="3DEF013E"/>
    <w:rsid w:val="3DEF482D"/>
    <w:rsid w:val="3DF022AF"/>
    <w:rsid w:val="3DF05F54"/>
    <w:rsid w:val="3DF06995"/>
    <w:rsid w:val="3DF06A2B"/>
    <w:rsid w:val="3DF17D30"/>
    <w:rsid w:val="3DF21F2E"/>
    <w:rsid w:val="3DF33233"/>
    <w:rsid w:val="3DF45431"/>
    <w:rsid w:val="3DF52EB3"/>
    <w:rsid w:val="3DF641B8"/>
    <w:rsid w:val="3DF64D47"/>
    <w:rsid w:val="3DF75525"/>
    <w:rsid w:val="3DF763B6"/>
    <w:rsid w:val="3DF876BB"/>
    <w:rsid w:val="3DF9513C"/>
    <w:rsid w:val="3DF96E5F"/>
    <w:rsid w:val="3DFA2BBE"/>
    <w:rsid w:val="3DFA4DBC"/>
    <w:rsid w:val="3DFA733B"/>
    <w:rsid w:val="3DFB059C"/>
    <w:rsid w:val="3DFB0640"/>
    <w:rsid w:val="3DFC60C1"/>
    <w:rsid w:val="3DFD26B4"/>
    <w:rsid w:val="3DFE15C4"/>
    <w:rsid w:val="3DFE37C3"/>
    <w:rsid w:val="3DFF005A"/>
    <w:rsid w:val="3DFF0210"/>
    <w:rsid w:val="3DFF7B39"/>
    <w:rsid w:val="3DFF7CEF"/>
    <w:rsid w:val="3E006CC6"/>
    <w:rsid w:val="3E007984"/>
    <w:rsid w:val="3E012549"/>
    <w:rsid w:val="3E025A4C"/>
    <w:rsid w:val="3E025B80"/>
    <w:rsid w:val="3E027FCA"/>
    <w:rsid w:val="3E0334CE"/>
    <w:rsid w:val="3E037C4A"/>
    <w:rsid w:val="3E0470F9"/>
    <w:rsid w:val="3E0569D1"/>
    <w:rsid w:val="3E057C97"/>
    <w:rsid w:val="3E060BCF"/>
    <w:rsid w:val="3E071210"/>
    <w:rsid w:val="3E071ED4"/>
    <w:rsid w:val="3E076650"/>
    <w:rsid w:val="3E0840D2"/>
    <w:rsid w:val="3E0953D7"/>
    <w:rsid w:val="3E0A1D77"/>
    <w:rsid w:val="3E0A2E58"/>
    <w:rsid w:val="3E0A3328"/>
    <w:rsid w:val="3E0B08DA"/>
    <w:rsid w:val="3E0C635B"/>
    <w:rsid w:val="3E0D2BA2"/>
    <w:rsid w:val="3E0D3DDD"/>
    <w:rsid w:val="3E0E185F"/>
    <w:rsid w:val="3E0E1A8B"/>
    <w:rsid w:val="3E0F3A5D"/>
    <w:rsid w:val="3E0F5D1F"/>
    <w:rsid w:val="3E1014DE"/>
    <w:rsid w:val="3E110AD0"/>
    <w:rsid w:val="3E1127E3"/>
    <w:rsid w:val="3E116A1F"/>
    <w:rsid w:val="3E116F60"/>
    <w:rsid w:val="3E121833"/>
    <w:rsid w:val="3E1249E2"/>
    <w:rsid w:val="3E135CE6"/>
    <w:rsid w:val="3E137EE5"/>
    <w:rsid w:val="3E1533E8"/>
    <w:rsid w:val="3E15394A"/>
    <w:rsid w:val="3E18436C"/>
    <w:rsid w:val="3E197BF0"/>
    <w:rsid w:val="3E1A5671"/>
    <w:rsid w:val="3E1A6A53"/>
    <w:rsid w:val="3E1A786F"/>
    <w:rsid w:val="3E1B0B74"/>
    <w:rsid w:val="3E1B52F1"/>
    <w:rsid w:val="3E1B58A0"/>
    <w:rsid w:val="3E1B5A56"/>
    <w:rsid w:val="3E1C2D73"/>
    <w:rsid w:val="3E1C4788"/>
    <w:rsid w:val="3E1C65F6"/>
    <w:rsid w:val="3E1D07F4"/>
    <w:rsid w:val="3E1D4077"/>
    <w:rsid w:val="3E1E1AF9"/>
    <w:rsid w:val="3E1E3305"/>
    <w:rsid w:val="3E1E6276"/>
    <w:rsid w:val="3E1F3CF7"/>
    <w:rsid w:val="3E1F757A"/>
    <w:rsid w:val="3E201779"/>
    <w:rsid w:val="3E203BE4"/>
    <w:rsid w:val="3E204FFC"/>
    <w:rsid w:val="3E212A7E"/>
    <w:rsid w:val="3E2171FA"/>
    <w:rsid w:val="3E2204FF"/>
    <w:rsid w:val="3E22515D"/>
    <w:rsid w:val="3E225321"/>
    <w:rsid w:val="3E2326FD"/>
    <w:rsid w:val="3E2345EB"/>
    <w:rsid w:val="3E235F81"/>
    <w:rsid w:val="3E24017F"/>
    <w:rsid w:val="3E243A02"/>
    <w:rsid w:val="3E2505C7"/>
    <w:rsid w:val="3E2609B2"/>
    <w:rsid w:val="3E271104"/>
    <w:rsid w:val="3E274FD0"/>
    <w:rsid w:val="3E286B85"/>
    <w:rsid w:val="3E292905"/>
    <w:rsid w:val="3E294607"/>
    <w:rsid w:val="3E297E8A"/>
    <w:rsid w:val="3E2A2088"/>
    <w:rsid w:val="3E2A590C"/>
    <w:rsid w:val="3E2A7B0A"/>
    <w:rsid w:val="3E2B558B"/>
    <w:rsid w:val="3E2B711B"/>
    <w:rsid w:val="3E2E5F95"/>
    <w:rsid w:val="3E2E615A"/>
    <w:rsid w:val="3E2E6510"/>
    <w:rsid w:val="3E2F1D93"/>
    <w:rsid w:val="3E2F3F92"/>
    <w:rsid w:val="3E307815"/>
    <w:rsid w:val="3E315296"/>
    <w:rsid w:val="3E320799"/>
    <w:rsid w:val="3E322D18"/>
    <w:rsid w:val="3E33621B"/>
    <w:rsid w:val="3E35171E"/>
    <w:rsid w:val="3E353902"/>
    <w:rsid w:val="3E355E9B"/>
    <w:rsid w:val="3E36391C"/>
    <w:rsid w:val="3E37139E"/>
    <w:rsid w:val="3E374CB6"/>
    <w:rsid w:val="3E374E7B"/>
    <w:rsid w:val="3E3826A3"/>
    <w:rsid w:val="3E385855"/>
    <w:rsid w:val="3E385A19"/>
    <w:rsid w:val="3E386E20"/>
    <w:rsid w:val="3E390124"/>
    <w:rsid w:val="3E3913D7"/>
    <w:rsid w:val="3E3963F4"/>
    <w:rsid w:val="3E3B3627"/>
    <w:rsid w:val="3E3B7F54"/>
    <w:rsid w:val="3E3C10A9"/>
    <w:rsid w:val="3E3D0EE5"/>
    <w:rsid w:val="3E3D10AA"/>
    <w:rsid w:val="3E3D6B2B"/>
    <w:rsid w:val="3E3E1A84"/>
    <w:rsid w:val="3E3E1C48"/>
    <w:rsid w:val="3E3F202E"/>
    <w:rsid w:val="3E407AAF"/>
    <w:rsid w:val="3E414576"/>
    <w:rsid w:val="3E416068"/>
    <w:rsid w:val="3E425114"/>
    <w:rsid w:val="3E430A34"/>
    <w:rsid w:val="3E453F37"/>
    <w:rsid w:val="3E470969"/>
    <w:rsid w:val="3E47743A"/>
    <w:rsid w:val="3E484EBC"/>
    <w:rsid w:val="3E49293D"/>
    <w:rsid w:val="3E4A03BF"/>
    <w:rsid w:val="3E4A678D"/>
    <w:rsid w:val="3E4C1343"/>
    <w:rsid w:val="3E4D6DC5"/>
    <w:rsid w:val="3E4E4846"/>
    <w:rsid w:val="3E507D4A"/>
    <w:rsid w:val="3E510064"/>
    <w:rsid w:val="3E510819"/>
    <w:rsid w:val="3E5157CB"/>
    <w:rsid w:val="3E520C03"/>
    <w:rsid w:val="3E52324D"/>
    <w:rsid w:val="3E526AD0"/>
    <w:rsid w:val="3E530CCE"/>
    <w:rsid w:val="3E534551"/>
    <w:rsid w:val="3E541FD3"/>
    <w:rsid w:val="3E542340"/>
    <w:rsid w:val="3E546750"/>
    <w:rsid w:val="3E557A55"/>
    <w:rsid w:val="3E5636F5"/>
    <w:rsid w:val="3E5654D6"/>
    <w:rsid w:val="3E57579A"/>
    <w:rsid w:val="3E5776D4"/>
    <w:rsid w:val="3E5809D9"/>
    <w:rsid w:val="3E584682"/>
    <w:rsid w:val="3E585156"/>
    <w:rsid w:val="3E5906E4"/>
    <w:rsid w:val="3E592BD7"/>
    <w:rsid w:val="3E59645B"/>
    <w:rsid w:val="3E5A0659"/>
    <w:rsid w:val="3E5B60DB"/>
    <w:rsid w:val="3E5B7AE8"/>
    <w:rsid w:val="3E5C3B5C"/>
    <w:rsid w:val="3E5C7924"/>
    <w:rsid w:val="3E5D4E61"/>
    <w:rsid w:val="3E5E28E2"/>
    <w:rsid w:val="3E5E705F"/>
    <w:rsid w:val="3E602562"/>
    <w:rsid w:val="3E602FB4"/>
    <w:rsid w:val="3E613867"/>
    <w:rsid w:val="3E6212E9"/>
    <w:rsid w:val="3E6246F2"/>
    <w:rsid w:val="3E630F69"/>
    <w:rsid w:val="3E633482"/>
    <w:rsid w:val="3E6350CC"/>
    <w:rsid w:val="3E635290"/>
    <w:rsid w:val="3E636D6A"/>
    <w:rsid w:val="3E6415B0"/>
    <w:rsid w:val="3E6447EC"/>
    <w:rsid w:val="3E645C6A"/>
    <w:rsid w:val="3E6469EA"/>
    <w:rsid w:val="3E65064E"/>
    <w:rsid w:val="3E65226D"/>
    <w:rsid w:val="3E65446C"/>
    <w:rsid w:val="3E666CAA"/>
    <w:rsid w:val="3E667380"/>
    <w:rsid w:val="3E6676EB"/>
    <w:rsid w:val="3E675770"/>
    <w:rsid w:val="3E67796F"/>
    <w:rsid w:val="3E68075C"/>
    <w:rsid w:val="3E6831F2"/>
    <w:rsid w:val="3E6853F0"/>
    <w:rsid w:val="3E690C74"/>
    <w:rsid w:val="3E692E72"/>
    <w:rsid w:val="3E6A2A38"/>
    <w:rsid w:val="3E6A66F5"/>
    <w:rsid w:val="3E6B2874"/>
    <w:rsid w:val="3E6B4177"/>
    <w:rsid w:val="3E6B6375"/>
    <w:rsid w:val="3E6C3DF6"/>
    <w:rsid w:val="3E6C767A"/>
    <w:rsid w:val="3E6D498B"/>
    <w:rsid w:val="3E6D4B50"/>
    <w:rsid w:val="3E6E72FA"/>
    <w:rsid w:val="3E6F05FE"/>
    <w:rsid w:val="3E6F4D7B"/>
    <w:rsid w:val="3E6F60C9"/>
    <w:rsid w:val="3E71027E"/>
    <w:rsid w:val="3E713B01"/>
    <w:rsid w:val="3E7201E0"/>
    <w:rsid w:val="3E7277C4"/>
    <w:rsid w:val="3E730D7F"/>
    <w:rsid w:val="3E733501"/>
    <w:rsid w:val="3E733781"/>
    <w:rsid w:val="3E737005"/>
    <w:rsid w:val="3E741203"/>
    <w:rsid w:val="3E741759"/>
    <w:rsid w:val="3E742755"/>
    <w:rsid w:val="3E744A86"/>
    <w:rsid w:val="3E752508"/>
    <w:rsid w:val="3E764706"/>
    <w:rsid w:val="3E767F89"/>
    <w:rsid w:val="3E78348C"/>
    <w:rsid w:val="3E784FAE"/>
    <w:rsid w:val="3E7A310C"/>
    <w:rsid w:val="3E7A6362"/>
    <w:rsid w:val="3E7A698F"/>
    <w:rsid w:val="3E7B0B8E"/>
    <w:rsid w:val="3E7B660F"/>
    <w:rsid w:val="3E7B6F01"/>
    <w:rsid w:val="3E7C1E93"/>
    <w:rsid w:val="3E7C24D6"/>
    <w:rsid w:val="3E7C4091"/>
    <w:rsid w:val="3E7C78DB"/>
    <w:rsid w:val="3E7D1B12"/>
    <w:rsid w:val="3E7D7914"/>
    <w:rsid w:val="3E7F2E17"/>
    <w:rsid w:val="3E813130"/>
    <w:rsid w:val="3E83181D"/>
    <w:rsid w:val="3E833A1C"/>
    <w:rsid w:val="3E833C64"/>
    <w:rsid w:val="3E83729F"/>
    <w:rsid w:val="3E844D20"/>
    <w:rsid w:val="3E845248"/>
    <w:rsid w:val="3E845DE6"/>
    <w:rsid w:val="3E856F1F"/>
    <w:rsid w:val="3E860224"/>
    <w:rsid w:val="3E8649A0"/>
    <w:rsid w:val="3E86719B"/>
    <w:rsid w:val="3E872422"/>
    <w:rsid w:val="3E875CA5"/>
    <w:rsid w:val="3E877EFE"/>
    <w:rsid w:val="3E8808D8"/>
    <w:rsid w:val="3E883727"/>
    <w:rsid w:val="3E887EA3"/>
    <w:rsid w:val="3E8911A8"/>
    <w:rsid w:val="3E895925"/>
    <w:rsid w:val="3E8A33A6"/>
    <w:rsid w:val="3E8A6C2A"/>
    <w:rsid w:val="3E8B0E28"/>
    <w:rsid w:val="3E8B46AB"/>
    <w:rsid w:val="3E8C33CA"/>
    <w:rsid w:val="3E8D018C"/>
    <w:rsid w:val="3E8D42D9"/>
    <w:rsid w:val="3E8D432B"/>
    <w:rsid w:val="3E8D7BAE"/>
    <w:rsid w:val="3E8E1DAD"/>
    <w:rsid w:val="3E8F30B2"/>
    <w:rsid w:val="3E8F54E1"/>
    <w:rsid w:val="3E9052B0"/>
    <w:rsid w:val="3E906080"/>
    <w:rsid w:val="3E912D31"/>
    <w:rsid w:val="3E9207B3"/>
    <w:rsid w:val="3E9277BD"/>
    <w:rsid w:val="3E93265B"/>
    <w:rsid w:val="3E933CB6"/>
    <w:rsid w:val="3E941738"/>
    <w:rsid w:val="3E9418D5"/>
    <w:rsid w:val="3E942C1B"/>
    <w:rsid w:val="3E95247A"/>
    <w:rsid w:val="3E954FBB"/>
    <w:rsid w:val="3E964C3B"/>
    <w:rsid w:val="3E973828"/>
    <w:rsid w:val="3E995BBF"/>
    <w:rsid w:val="3E9A3641"/>
    <w:rsid w:val="3E9A5940"/>
    <w:rsid w:val="3E9B10C2"/>
    <w:rsid w:val="3E9B4946"/>
    <w:rsid w:val="3E9C6B44"/>
    <w:rsid w:val="3E9C707D"/>
    <w:rsid w:val="3E9D2C8E"/>
    <w:rsid w:val="3E9E2047"/>
    <w:rsid w:val="3E9E74C7"/>
    <w:rsid w:val="3E9F0FD0"/>
    <w:rsid w:val="3E9F7AC9"/>
    <w:rsid w:val="3EA00DCD"/>
    <w:rsid w:val="3EA00DD4"/>
    <w:rsid w:val="3EA130E8"/>
    <w:rsid w:val="3EA1684F"/>
    <w:rsid w:val="3EA16B7F"/>
    <w:rsid w:val="3EA242D1"/>
    <w:rsid w:val="3EA55D9E"/>
    <w:rsid w:val="3EA87EB5"/>
    <w:rsid w:val="3EA93C5B"/>
    <w:rsid w:val="3EAA142E"/>
    <w:rsid w:val="3EAA16DD"/>
    <w:rsid w:val="3EAB715E"/>
    <w:rsid w:val="3EAC2B6C"/>
    <w:rsid w:val="3EAD2662"/>
    <w:rsid w:val="3EAD3546"/>
    <w:rsid w:val="3EAD4D9F"/>
    <w:rsid w:val="3EAE00E3"/>
    <w:rsid w:val="3EAE3090"/>
    <w:rsid w:val="3EAF565D"/>
    <w:rsid w:val="3EB035E6"/>
    <w:rsid w:val="3EB06037"/>
    <w:rsid w:val="3EB11068"/>
    <w:rsid w:val="3EB26AE9"/>
    <w:rsid w:val="3EB30313"/>
    <w:rsid w:val="3EB3456B"/>
    <w:rsid w:val="3EB47A6E"/>
    <w:rsid w:val="3EB62267"/>
    <w:rsid w:val="3EB72E05"/>
    <w:rsid w:val="3EB86474"/>
    <w:rsid w:val="3EB91CF7"/>
    <w:rsid w:val="3EB93EF6"/>
    <w:rsid w:val="3EBA1977"/>
    <w:rsid w:val="3EBA4F1D"/>
    <w:rsid w:val="3EBA7779"/>
    <w:rsid w:val="3EBB2C7C"/>
    <w:rsid w:val="3EBB51FB"/>
    <w:rsid w:val="3EBB5ABB"/>
    <w:rsid w:val="3EBB73F9"/>
    <w:rsid w:val="3EBC06FE"/>
    <w:rsid w:val="3EBC4E7A"/>
    <w:rsid w:val="3EBC6464"/>
    <w:rsid w:val="3EBC6496"/>
    <w:rsid w:val="3EBD4FE1"/>
    <w:rsid w:val="3EBD617F"/>
    <w:rsid w:val="3EBE3C01"/>
    <w:rsid w:val="3EBF114C"/>
    <w:rsid w:val="3EBF1682"/>
    <w:rsid w:val="3EBF5DFF"/>
    <w:rsid w:val="3EC03881"/>
    <w:rsid w:val="3EC07104"/>
    <w:rsid w:val="3EC11302"/>
    <w:rsid w:val="3EC12500"/>
    <w:rsid w:val="3EC14B85"/>
    <w:rsid w:val="3EC26D84"/>
    <w:rsid w:val="3EC30088"/>
    <w:rsid w:val="3EC34805"/>
    <w:rsid w:val="3EC42287"/>
    <w:rsid w:val="3EC5358C"/>
    <w:rsid w:val="3EC5537B"/>
    <w:rsid w:val="3EC80C8D"/>
    <w:rsid w:val="3EC90A0B"/>
    <w:rsid w:val="3EC91F92"/>
    <w:rsid w:val="3EC930B6"/>
    <w:rsid w:val="3EC9670E"/>
    <w:rsid w:val="3ECA0DF7"/>
    <w:rsid w:val="3ECA4190"/>
    <w:rsid w:val="3ECB004A"/>
    <w:rsid w:val="3ECB1C12"/>
    <w:rsid w:val="3ECB1F84"/>
    <w:rsid w:val="3ECB5495"/>
    <w:rsid w:val="3ECB7693"/>
    <w:rsid w:val="3ECC295E"/>
    <w:rsid w:val="3ECC2F16"/>
    <w:rsid w:val="3ECD0998"/>
    <w:rsid w:val="3ECD2B96"/>
    <w:rsid w:val="3ECE641A"/>
    <w:rsid w:val="3ECF6099"/>
    <w:rsid w:val="3ED05615"/>
    <w:rsid w:val="3ED1159C"/>
    <w:rsid w:val="3ED1523D"/>
    <w:rsid w:val="3ED26D52"/>
    <w:rsid w:val="3ED2701E"/>
    <w:rsid w:val="3ED30323"/>
    <w:rsid w:val="3ED328A1"/>
    <w:rsid w:val="3ED34AA0"/>
    <w:rsid w:val="3ED45DA4"/>
    <w:rsid w:val="3ED53826"/>
    <w:rsid w:val="3ED612A7"/>
    <w:rsid w:val="3ED6167F"/>
    <w:rsid w:val="3ED65A24"/>
    <w:rsid w:val="3ED7221E"/>
    <w:rsid w:val="3ED734A6"/>
    <w:rsid w:val="3ED76D29"/>
    <w:rsid w:val="3ED847AB"/>
    <w:rsid w:val="3ED9341F"/>
    <w:rsid w:val="3ED94336"/>
    <w:rsid w:val="3ED944FA"/>
    <w:rsid w:val="3ED969A9"/>
    <w:rsid w:val="3EDA0523"/>
    <w:rsid w:val="3EDA442A"/>
    <w:rsid w:val="3EDB1EAC"/>
    <w:rsid w:val="3EDC31B1"/>
    <w:rsid w:val="3EDD0C32"/>
    <w:rsid w:val="3EDD53AF"/>
    <w:rsid w:val="3EDE66B4"/>
    <w:rsid w:val="3EDF08B2"/>
    <w:rsid w:val="3EDF4135"/>
    <w:rsid w:val="3EE06334"/>
    <w:rsid w:val="3EE13DB5"/>
    <w:rsid w:val="3EE17638"/>
    <w:rsid w:val="3EE21837"/>
    <w:rsid w:val="3EE2267C"/>
    <w:rsid w:val="3EE250BA"/>
    <w:rsid w:val="3EE32B3C"/>
    <w:rsid w:val="3EE33056"/>
    <w:rsid w:val="3EE405BD"/>
    <w:rsid w:val="3EE43BF5"/>
    <w:rsid w:val="3EE5023D"/>
    <w:rsid w:val="3EE54794"/>
    <w:rsid w:val="3EE55332"/>
    <w:rsid w:val="3EE5603F"/>
    <w:rsid w:val="3EE63AC0"/>
    <w:rsid w:val="3EE65D0D"/>
    <w:rsid w:val="3EE71542"/>
    <w:rsid w:val="3EE73740"/>
    <w:rsid w:val="3EE80126"/>
    <w:rsid w:val="3EE811C2"/>
    <w:rsid w:val="3EE8492E"/>
    <w:rsid w:val="3EE94A45"/>
    <w:rsid w:val="3EE96C43"/>
    <w:rsid w:val="3EEA07FE"/>
    <w:rsid w:val="3EEA24C6"/>
    <w:rsid w:val="3EEA46C5"/>
    <w:rsid w:val="3EEB2146"/>
    <w:rsid w:val="3EEC344B"/>
    <w:rsid w:val="3EEC59CA"/>
    <w:rsid w:val="3EEC7BC8"/>
    <w:rsid w:val="3EED0ECD"/>
    <w:rsid w:val="3EEE30CB"/>
    <w:rsid w:val="3EEE34B5"/>
    <w:rsid w:val="3EEE3679"/>
    <w:rsid w:val="3EEF0B4C"/>
    <w:rsid w:val="3EEF43D0"/>
    <w:rsid w:val="3EF00FF5"/>
    <w:rsid w:val="3EF01E51"/>
    <w:rsid w:val="3EF065CE"/>
    <w:rsid w:val="3EF14050"/>
    <w:rsid w:val="3EF21AD1"/>
    <w:rsid w:val="3EF25354"/>
    <w:rsid w:val="3EF2616B"/>
    <w:rsid w:val="3EF32DD6"/>
    <w:rsid w:val="3EF52A56"/>
    <w:rsid w:val="3EF562D9"/>
    <w:rsid w:val="3EF604D7"/>
    <w:rsid w:val="3EF63D5B"/>
    <w:rsid w:val="3EF7015B"/>
    <w:rsid w:val="3EF717DC"/>
    <w:rsid w:val="3EF82D74"/>
    <w:rsid w:val="3EF82F39"/>
    <w:rsid w:val="3EF839DA"/>
    <w:rsid w:val="3EF94872"/>
    <w:rsid w:val="3EFA2761"/>
    <w:rsid w:val="3EFA6EDE"/>
    <w:rsid w:val="3EFB01E2"/>
    <w:rsid w:val="3EFB495F"/>
    <w:rsid w:val="3EFC23E1"/>
    <w:rsid w:val="3EFC5866"/>
    <w:rsid w:val="3EFC5C64"/>
    <w:rsid w:val="3EFE3365"/>
    <w:rsid w:val="3F00466A"/>
    <w:rsid w:val="3F006868"/>
    <w:rsid w:val="3F0110BB"/>
    <w:rsid w:val="3F0120EC"/>
    <w:rsid w:val="3F0142EA"/>
    <w:rsid w:val="3F021A95"/>
    <w:rsid w:val="3F022634"/>
    <w:rsid w:val="3F027B6D"/>
    <w:rsid w:val="3F0377ED"/>
    <w:rsid w:val="3F042BB6"/>
    <w:rsid w:val="3F04526F"/>
    <w:rsid w:val="3F052CF0"/>
    <w:rsid w:val="3F063FF5"/>
    <w:rsid w:val="3F071A76"/>
    <w:rsid w:val="3F097401"/>
    <w:rsid w:val="3F0A29FB"/>
    <w:rsid w:val="3F0A7FA0"/>
    <w:rsid w:val="3F0B047D"/>
    <w:rsid w:val="3F0B097A"/>
    <w:rsid w:val="3F0C5EFE"/>
    <w:rsid w:val="3F0D1EF3"/>
    <w:rsid w:val="3F0D3980"/>
    <w:rsid w:val="3F0F6E83"/>
    <w:rsid w:val="3F104904"/>
    <w:rsid w:val="3F115584"/>
    <w:rsid w:val="3F127E08"/>
    <w:rsid w:val="3F135889"/>
    <w:rsid w:val="3F136AFC"/>
    <w:rsid w:val="3F136CC1"/>
    <w:rsid w:val="3F14330B"/>
    <w:rsid w:val="3F150D8C"/>
    <w:rsid w:val="3F16680E"/>
    <w:rsid w:val="3F1717B3"/>
    <w:rsid w:val="3F17428F"/>
    <w:rsid w:val="3F1A5214"/>
    <w:rsid w:val="3F1B2C95"/>
    <w:rsid w:val="3F1C0717"/>
    <w:rsid w:val="3F1C59E2"/>
    <w:rsid w:val="3F1D3C1A"/>
    <w:rsid w:val="3F200698"/>
    <w:rsid w:val="3F204B9F"/>
    <w:rsid w:val="3F210422"/>
    <w:rsid w:val="3F212620"/>
    <w:rsid w:val="3F2200A2"/>
    <w:rsid w:val="3F221C11"/>
    <w:rsid w:val="3F225EA4"/>
    <w:rsid w:val="3F2268A2"/>
    <w:rsid w:val="3F2325EB"/>
    <w:rsid w:val="3F2327AF"/>
    <w:rsid w:val="3F233925"/>
    <w:rsid w:val="3F2350B4"/>
    <w:rsid w:val="3F2413A7"/>
    <w:rsid w:val="3F24318A"/>
    <w:rsid w:val="3F2435A5"/>
    <w:rsid w:val="3F246E28"/>
    <w:rsid w:val="3F253B64"/>
    <w:rsid w:val="3F2548AA"/>
    <w:rsid w:val="3F26232B"/>
    <w:rsid w:val="3F27452A"/>
    <w:rsid w:val="3F277DAD"/>
    <w:rsid w:val="3F281FAB"/>
    <w:rsid w:val="3F28582E"/>
    <w:rsid w:val="3F285C7B"/>
    <w:rsid w:val="3F2932B0"/>
    <w:rsid w:val="3F297A2D"/>
    <w:rsid w:val="3F2A0D32"/>
    <w:rsid w:val="3F2A54AE"/>
    <w:rsid w:val="3F2C09B1"/>
    <w:rsid w:val="3F2C130C"/>
    <w:rsid w:val="3F2C14D0"/>
    <w:rsid w:val="3F2C4235"/>
    <w:rsid w:val="3F2D1CB6"/>
    <w:rsid w:val="3F2E2A49"/>
    <w:rsid w:val="3F2E7738"/>
    <w:rsid w:val="3F2F51B9"/>
    <w:rsid w:val="3F303FC2"/>
    <w:rsid w:val="3F304187"/>
    <w:rsid w:val="3F3228BB"/>
    <w:rsid w:val="3F327891"/>
    <w:rsid w:val="3F33033C"/>
    <w:rsid w:val="3F341641"/>
    <w:rsid w:val="3F345DBE"/>
    <w:rsid w:val="3F3570C3"/>
    <w:rsid w:val="3F357817"/>
    <w:rsid w:val="3F3603B6"/>
    <w:rsid w:val="3F364B44"/>
    <w:rsid w:val="3F370BCB"/>
    <w:rsid w:val="3F3725C6"/>
    <w:rsid w:val="3F3747C4"/>
    <w:rsid w:val="3F38176A"/>
    <w:rsid w:val="3F395AC9"/>
    <w:rsid w:val="3F3A5749"/>
    <w:rsid w:val="3F3B31CA"/>
    <w:rsid w:val="3F3C0C4C"/>
    <w:rsid w:val="3F3C44CF"/>
    <w:rsid w:val="3F3C4DFA"/>
    <w:rsid w:val="3F3C6A4D"/>
    <w:rsid w:val="3F3E79D2"/>
    <w:rsid w:val="3F3F1BD0"/>
    <w:rsid w:val="3F3F5454"/>
    <w:rsid w:val="3F402ED5"/>
    <w:rsid w:val="3F407AB1"/>
    <w:rsid w:val="3F411B4D"/>
    <w:rsid w:val="3F422B55"/>
    <w:rsid w:val="3F4263D8"/>
    <w:rsid w:val="3F4305D7"/>
    <w:rsid w:val="3F4418DB"/>
    <w:rsid w:val="3F4425A2"/>
    <w:rsid w:val="3F446058"/>
    <w:rsid w:val="3F450160"/>
    <w:rsid w:val="3F453ADA"/>
    <w:rsid w:val="3F45735D"/>
    <w:rsid w:val="3F464DDE"/>
    <w:rsid w:val="3F4802E2"/>
    <w:rsid w:val="3F495D63"/>
    <w:rsid w:val="3F496996"/>
    <w:rsid w:val="3F4A37E5"/>
    <w:rsid w:val="3F4C08E9"/>
    <w:rsid w:val="3F4C3465"/>
    <w:rsid w:val="3F4C6CE8"/>
    <w:rsid w:val="3F4D603A"/>
    <w:rsid w:val="3F4D63A5"/>
    <w:rsid w:val="3F4D7170"/>
    <w:rsid w:val="3F4E1E62"/>
    <w:rsid w:val="3F4E43E9"/>
    <w:rsid w:val="3F4F2A01"/>
    <w:rsid w:val="3F4F3FBF"/>
    <w:rsid w:val="3F4F7C6C"/>
    <w:rsid w:val="3F50551A"/>
    <w:rsid w:val="3F5056EE"/>
    <w:rsid w:val="3F520BF1"/>
    <w:rsid w:val="3F522DEF"/>
    <w:rsid w:val="3F52505A"/>
    <w:rsid w:val="3F530871"/>
    <w:rsid w:val="3F536673"/>
    <w:rsid w:val="3F5462F2"/>
    <w:rsid w:val="3F551B76"/>
    <w:rsid w:val="3F5617F6"/>
    <w:rsid w:val="3F565079"/>
    <w:rsid w:val="3F570D47"/>
    <w:rsid w:val="3F577277"/>
    <w:rsid w:val="3F584CF9"/>
    <w:rsid w:val="3F595FFD"/>
    <w:rsid w:val="3F5974E6"/>
    <w:rsid w:val="3F5B0661"/>
    <w:rsid w:val="3F5B1501"/>
    <w:rsid w:val="3F5B5C7D"/>
    <w:rsid w:val="3F5C36FF"/>
    <w:rsid w:val="3F5D4F76"/>
    <w:rsid w:val="3F5D679C"/>
    <w:rsid w:val="3F5D7028"/>
    <w:rsid w:val="3F5E5B15"/>
    <w:rsid w:val="3F5E6431"/>
    <w:rsid w:val="3F5F4684"/>
    <w:rsid w:val="3F5F64EF"/>
    <w:rsid w:val="3F602105"/>
    <w:rsid w:val="3F60708E"/>
    <w:rsid w:val="3F607C2D"/>
    <w:rsid w:val="3F610607"/>
    <w:rsid w:val="3F61340A"/>
    <w:rsid w:val="3F617A68"/>
    <w:rsid w:val="3F617B87"/>
    <w:rsid w:val="3F620E8B"/>
    <w:rsid w:val="3F6211A5"/>
    <w:rsid w:val="3F625608"/>
    <w:rsid w:val="3F631B80"/>
    <w:rsid w:val="3F63308A"/>
    <w:rsid w:val="3F63690D"/>
    <w:rsid w:val="3F64438F"/>
    <w:rsid w:val="3F651E10"/>
    <w:rsid w:val="3F661A90"/>
    <w:rsid w:val="3F663E5C"/>
    <w:rsid w:val="3F675313"/>
    <w:rsid w:val="3F677511"/>
    <w:rsid w:val="3F682D95"/>
    <w:rsid w:val="3F685210"/>
    <w:rsid w:val="3F690816"/>
    <w:rsid w:val="3F6A0496"/>
    <w:rsid w:val="3F6A23FD"/>
    <w:rsid w:val="3F6A6298"/>
    <w:rsid w:val="3F6B2091"/>
    <w:rsid w:val="3F6B3D19"/>
    <w:rsid w:val="3F6B5F18"/>
    <w:rsid w:val="3F6B74EC"/>
    <w:rsid w:val="3F6C0F7A"/>
    <w:rsid w:val="3F6C112F"/>
    <w:rsid w:val="3F6C179B"/>
    <w:rsid w:val="3F6D4C9E"/>
    <w:rsid w:val="3F6D721C"/>
    <w:rsid w:val="3F6E4FAF"/>
    <w:rsid w:val="3F6E64A8"/>
    <w:rsid w:val="3F6F01A1"/>
    <w:rsid w:val="3F7029B8"/>
    <w:rsid w:val="3F705C23"/>
    <w:rsid w:val="3F7160E6"/>
    <w:rsid w:val="3F721126"/>
    <w:rsid w:val="3F73566E"/>
    <w:rsid w:val="3F736BA7"/>
    <w:rsid w:val="3F746048"/>
    <w:rsid w:val="3F767786"/>
    <w:rsid w:val="3F767B2C"/>
    <w:rsid w:val="3F770160"/>
    <w:rsid w:val="3F77041B"/>
    <w:rsid w:val="3F7755AE"/>
    <w:rsid w:val="3F785466"/>
    <w:rsid w:val="3F7A243C"/>
    <w:rsid w:val="3F7A3757"/>
    <w:rsid w:val="3F7A3E2D"/>
    <w:rsid w:val="3F7A6532"/>
    <w:rsid w:val="3F7D4F2E"/>
    <w:rsid w:val="3F7E4F38"/>
    <w:rsid w:val="3F7F64A7"/>
    <w:rsid w:val="3F80043B"/>
    <w:rsid w:val="3F807045"/>
    <w:rsid w:val="3F815EBD"/>
    <w:rsid w:val="3F8205BE"/>
    <w:rsid w:val="3F82393F"/>
    <w:rsid w:val="3F8526D6"/>
    <w:rsid w:val="3F85289A"/>
    <w:rsid w:val="3F8630B0"/>
    <w:rsid w:val="3F865BC8"/>
    <w:rsid w:val="3F867DC6"/>
    <w:rsid w:val="3F87364A"/>
    <w:rsid w:val="3F873C4F"/>
    <w:rsid w:val="3F87704C"/>
    <w:rsid w:val="3F8832C9"/>
    <w:rsid w:val="3F890D4B"/>
    <w:rsid w:val="3F89538C"/>
    <w:rsid w:val="3F895A13"/>
    <w:rsid w:val="3F896B4D"/>
    <w:rsid w:val="3F8A45CE"/>
    <w:rsid w:val="3F8A67CD"/>
    <w:rsid w:val="3F8B424E"/>
    <w:rsid w:val="3F8C1CD0"/>
    <w:rsid w:val="3F8C7AD1"/>
    <w:rsid w:val="3F8D0A1C"/>
    <w:rsid w:val="3F8D2FD4"/>
    <w:rsid w:val="3F8E0A56"/>
    <w:rsid w:val="3F8E51D3"/>
    <w:rsid w:val="3F8F1F95"/>
    <w:rsid w:val="3F9006D6"/>
    <w:rsid w:val="3F903F59"/>
    <w:rsid w:val="3F9119DB"/>
    <w:rsid w:val="3F91350E"/>
    <w:rsid w:val="3F916157"/>
    <w:rsid w:val="3F934C4B"/>
    <w:rsid w:val="3F945626"/>
    <w:rsid w:val="3F9470DC"/>
    <w:rsid w:val="3F9503E1"/>
    <w:rsid w:val="3F954B5E"/>
    <w:rsid w:val="3F9625DF"/>
    <w:rsid w:val="3F965E62"/>
    <w:rsid w:val="3F970061"/>
    <w:rsid w:val="3F970A7C"/>
    <w:rsid w:val="3F981365"/>
    <w:rsid w:val="3F991855"/>
    <w:rsid w:val="3F996DE7"/>
    <w:rsid w:val="3F9A0FE5"/>
    <w:rsid w:val="3F9A4869"/>
    <w:rsid w:val="3F9B22EA"/>
    <w:rsid w:val="3F9C396C"/>
    <w:rsid w:val="3F9D1F6A"/>
    <w:rsid w:val="3F9D57ED"/>
    <w:rsid w:val="3F9D6AB3"/>
    <w:rsid w:val="3F9F0CF0"/>
    <w:rsid w:val="3F9F5A84"/>
    <w:rsid w:val="3FA06772"/>
    <w:rsid w:val="3FA163F2"/>
    <w:rsid w:val="3FA171C1"/>
    <w:rsid w:val="3FA21C75"/>
    <w:rsid w:val="3FA3073A"/>
    <w:rsid w:val="3FA376F7"/>
    <w:rsid w:val="3FA45178"/>
    <w:rsid w:val="3FA47376"/>
    <w:rsid w:val="3FA5067B"/>
    <w:rsid w:val="3FA51CB3"/>
    <w:rsid w:val="3FA53AE5"/>
    <w:rsid w:val="3FA54DF8"/>
    <w:rsid w:val="3FA62141"/>
    <w:rsid w:val="3FA62879"/>
    <w:rsid w:val="3FA62B83"/>
    <w:rsid w:val="3FA702FB"/>
    <w:rsid w:val="3FA73B7E"/>
    <w:rsid w:val="3FA85D7D"/>
    <w:rsid w:val="3FA937FE"/>
    <w:rsid w:val="3FA95343"/>
    <w:rsid w:val="3FA97081"/>
    <w:rsid w:val="3FAB2584"/>
    <w:rsid w:val="3FAB6D01"/>
    <w:rsid w:val="3FAC7296"/>
    <w:rsid w:val="3FAC745B"/>
    <w:rsid w:val="3FAD2204"/>
    <w:rsid w:val="3FAE3509"/>
    <w:rsid w:val="3FAE43B6"/>
    <w:rsid w:val="3FAF0F8B"/>
    <w:rsid w:val="3FAF1572"/>
    <w:rsid w:val="3FAF5707"/>
    <w:rsid w:val="3FB03189"/>
    <w:rsid w:val="3FB06A0C"/>
    <w:rsid w:val="3FB12AEB"/>
    <w:rsid w:val="3FB1448E"/>
    <w:rsid w:val="3FB21F0F"/>
    <w:rsid w:val="3FB34229"/>
    <w:rsid w:val="3FB35BEC"/>
    <w:rsid w:val="3FB37991"/>
    <w:rsid w:val="3FB543FD"/>
    <w:rsid w:val="3FB54EFD"/>
    <w:rsid w:val="3FB5617C"/>
    <w:rsid w:val="3FB62B14"/>
    <w:rsid w:val="3FB70595"/>
    <w:rsid w:val="3FB86017"/>
    <w:rsid w:val="3FB9189A"/>
    <w:rsid w:val="3FBA151A"/>
    <w:rsid w:val="3FBA180C"/>
    <w:rsid w:val="3FBA19D1"/>
    <w:rsid w:val="3FBB4D9D"/>
    <w:rsid w:val="3FBC281F"/>
    <w:rsid w:val="3FBC2F4A"/>
    <w:rsid w:val="3FBC4A1D"/>
    <w:rsid w:val="3FBD02A0"/>
    <w:rsid w:val="3FBD249F"/>
    <w:rsid w:val="3FBD3AE8"/>
    <w:rsid w:val="3FBD5D22"/>
    <w:rsid w:val="3FBE20F7"/>
    <w:rsid w:val="3FBE37A3"/>
    <w:rsid w:val="3FBE44C2"/>
    <w:rsid w:val="3FBE7F20"/>
    <w:rsid w:val="3FBF59A2"/>
    <w:rsid w:val="3FC06CA7"/>
    <w:rsid w:val="3FC108EA"/>
    <w:rsid w:val="3FC10A9F"/>
    <w:rsid w:val="3FC14728"/>
    <w:rsid w:val="3FC221AA"/>
    <w:rsid w:val="3FC26926"/>
    <w:rsid w:val="3FC27B53"/>
    <w:rsid w:val="3FC27CF2"/>
    <w:rsid w:val="3FC3686F"/>
    <w:rsid w:val="3FC36BDA"/>
    <w:rsid w:val="3FC3761C"/>
    <w:rsid w:val="3FC37C2B"/>
    <w:rsid w:val="3FC410CC"/>
    <w:rsid w:val="3FC456AD"/>
    <w:rsid w:val="3FC51C6A"/>
    <w:rsid w:val="3FC6128D"/>
    <w:rsid w:val="3FC6532D"/>
    <w:rsid w:val="3FC840B3"/>
    <w:rsid w:val="3FC91B34"/>
    <w:rsid w:val="3FCA3D33"/>
    <w:rsid w:val="3FCA54BF"/>
    <w:rsid w:val="3FCC2AB9"/>
    <w:rsid w:val="3FCD053B"/>
    <w:rsid w:val="3FCD4A3C"/>
    <w:rsid w:val="3FCD4CB7"/>
    <w:rsid w:val="3FCE742E"/>
    <w:rsid w:val="3FCF3A3E"/>
    <w:rsid w:val="3FCF5C3C"/>
    <w:rsid w:val="3FD1113F"/>
    <w:rsid w:val="3FD1231A"/>
    <w:rsid w:val="3FD12AA3"/>
    <w:rsid w:val="3FD20E97"/>
    <w:rsid w:val="3FD21202"/>
    <w:rsid w:val="3FD249C2"/>
    <w:rsid w:val="3FD47EC6"/>
    <w:rsid w:val="3FD60E4A"/>
    <w:rsid w:val="3FD633C9"/>
    <w:rsid w:val="3FD768CC"/>
    <w:rsid w:val="3FD83D14"/>
    <w:rsid w:val="3FD8434D"/>
    <w:rsid w:val="3FD9024B"/>
    <w:rsid w:val="3FDB52D2"/>
    <w:rsid w:val="3FDC2D53"/>
    <w:rsid w:val="3FE0175A"/>
    <w:rsid w:val="3FE03829"/>
    <w:rsid w:val="3FE059F3"/>
    <w:rsid w:val="3FE171DB"/>
    <w:rsid w:val="3FE40160"/>
    <w:rsid w:val="3FE47979"/>
    <w:rsid w:val="3FE63663"/>
    <w:rsid w:val="3FE8335F"/>
    <w:rsid w:val="3FE86B66"/>
    <w:rsid w:val="3FE91433"/>
    <w:rsid w:val="3FE945E8"/>
    <w:rsid w:val="3FEB51AC"/>
    <w:rsid w:val="3FEC0081"/>
    <w:rsid w:val="3FEC0DF0"/>
    <w:rsid w:val="3FEC682B"/>
    <w:rsid w:val="3FED748A"/>
    <w:rsid w:val="3FED758E"/>
    <w:rsid w:val="3FEE42F3"/>
    <w:rsid w:val="3FEE64F1"/>
    <w:rsid w:val="3FEE6527"/>
    <w:rsid w:val="3FEE6A48"/>
    <w:rsid w:val="3FEF1D74"/>
    <w:rsid w:val="3FF016A6"/>
    <w:rsid w:val="3FF11EBC"/>
    <w:rsid w:val="3FF15277"/>
    <w:rsid w:val="3FF17476"/>
    <w:rsid w:val="3FF3077A"/>
    <w:rsid w:val="3FF32979"/>
    <w:rsid w:val="3FF403FA"/>
    <w:rsid w:val="3FF55E7C"/>
    <w:rsid w:val="3FF60466"/>
    <w:rsid w:val="3FF616FF"/>
    <w:rsid w:val="3FF638FD"/>
    <w:rsid w:val="3FF65710"/>
    <w:rsid w:val="3FF67181"/>
    <w:rsid w:val="3FF74C02"/>
    <w:rsid w:val="3FF762AF"/>
    <w:rsid w:val="3FF82684"/>
    <w:rsid w:val="3FF86E00"/>
    <w:rsid w:val="3FFA5B87"/>
    <w:rsid w:val="3FFB7D85"/>
    <w:rsid w:val="3FFC108A"/>
    <w:rsid w:val="3FFC1C67"/>
    <w:rsid w:val="3FFC231A"/>
    <w:rsid w:val="3FFC39B7"/>
    <w:rsid w:val="3FFD6B0B"/>
    <w:rsid w:val="3FFE458D"/>
    <w:rsid w:val="3FFE7A37"/>
    <w:rsid w:val="3FFE7F58"/>
    <w:rsid w:val="3FFF678B"/>
    <w:rsid w:val="4000420D"/>
    <w:rsid w:val="40011C8E"/>
    <w:rsid w:val="400133EE"/>
    <w:rsid w:val="40015512"/>
    <w:rsid w:val="40027710"/>
    <w:rsid w:val="40036064"/>
    <w:rsid w:val="400370E7"/>
    <w:rsid w:val="40042C13"/>
    <w:rsid w:val="40046496"/>
    <w:rsid w:val="40047AC2"/>
    <w:rsid w:val="400511F4"/>
    <w:rsid w:val="40053F18"/>
    <w:rsid w:val="40061999"/>
    <w:rsid w:val="40066116"/>
    <w:rsid w:val="40071619"/>
    <w:rsid w:val="4008709B"/>
    <w:rsid w:val="40094B1C"/>
    <w:rsid w:val="400B001F"/>
    <w:rsid w:val="400B542E"/>
    <w:rsid w:val="400B5E21"/>
    <w:rsid w:val="400C23CA"/>
    <w:rsid w:val="400C38A3"/>
    <w:rsid w:val="400C5AA1"/>
    <w:rsid w:val="400D1324"/>
    <w:rsid w:val="400E0FA4"/>
    <w:rsid w:val="400E4827"/>
    <w:rsid w:val="400F2769"/>
    <w:rsid w:val="401044A7"/>
    <w:rsid w:val="401157AC"/>
    <w:rsid w:val="4012322E"/>
    <w:rsid w:val="401279AA"/>
    <w:rsid w:val="40132A12"/>
    <w:rsid w:val="40142EAD"/>
    <w:rsid w:val="401435B0"/>
    <w:rsid w:val="4014414F"/>
    <w:rsid w:val="4015092F"/>
    <w:rsid w:val="401541B2"/>
    <w:rsid w:val="40154B29"/>
    <w:rsid w:val="401818B4"/>
    <w:rsid w:val="40185137"/>
    <w:rsid w:val="40186C41"/>
    <w:rsid w:val="40186E05"/>
    <w:rsid w:val="40192BB8"/>
    <w:rsid w:val="40197335"/>
    <w:rsid w:val="401977DF"/>
    <w:rsid w:val="401A01BA"/>
    <w:rsid w:val="401A037E"/>
    <w:rsid w:val="401A063A"/>
    <w:rsid w:val="401B2838"/>
    <w:rsid w:val="401B60BB"/>
    <w:rsid w:val="401C02BA"/>
    <w:rsid w:val="401C3B3D"/>
    <w:rsid w:val="401E37BD"/>
    <w:rsid w:val="40202543"/>
    <w:rsid w:val="40204742"/>
    <w:rsid w:val="402121C3"/>
    <w:rsid w:val="40215B26"/>
    <w:rsid w:val="40217FC5"/>
    <w:rsid w:val="40225A46"/>
    <w:rsid w:val="40227C45"/>
    <w:rsid w:val="402334C8"/>
    <w:rsid w:val="4023709F"/>
    <w:rsid w:val="40240F49"/>
    <w:rsid w:val="40243148"/>
    <w:rsid w:val="40250BC9"/>
    <w:rsid w:val="402569CB"/>
    <w:rsid w:val="4026664B"/>
    <w:rsid w:val="402715B4"/>
    <w:rsid w:val="40271B91"/>
    <w:rsid w:val="402A08D4"/>
    <w:rsid w:val="402A5051"/>
    <w:rsid w:val="402C3DD7"/>
    <w:rsid w:val="402D1859"/>
    <w:rsid w:val="402D5FD6"/>
    <w:rsid w:val="402E3A57"/>
    <w:rsid w:val="402E72DA"/>
    <w:rsid w:val="402F14D9"/>
    <w:rsid w:val="4031025F"/>
    <w:rsid w:val="40311450"/>
    <w:rsid w:val="40311615"/>
    <w:rsid w:val="403149DC"/>
    <w:rsid w:val="4032245D"/>
    <w:rsid w:val="40333762"/>
    <w:rsid w:val="40356C65"/>
    <w:rsid w:val="40362FE4"/>
    <w:rsid w:val="40364CA5"/>
    <w:rsid w:val="40372168"/>
    <w:rsid w:val="40374367"/>
    <w:rsid w:val="40375844"/>
    <w:rsid w:val="40387BEA"/>
    <w:rsid w:val="40396DBD"/>
    <w:rsid w:val="403A7797"/>
    <w:rsid w:val="403B0B6F"/>
    <w:rsid w:val="403C0ED4"/>
    <w:rsid w:val="403D4072"/>
    <w:rsid w:val="403F31D8"/>
    <w:rsid w:val="403F4FF6"/>
    <w:rsid w:val="403F7575"/>
    <w:rsid w:val="40445456"/>
    <w:rsid w:val="40454F35"/>
    <w:rsid w:val="40457BF5"/>
    <w:rsid w:val="40471332"/>
    <w:rsid w:val="40472403"/>
    <w:rsid w:val="404843AC"/>
    <w:rsid w:val="40487E84"/>
    <w:rsid w:val="404926E7"/>
    <w:rsid w:val="404A344A"/>
    <w:rsid w:val="404B0950"/>
    <w:rsid w:val="404B0E09"/>
    <w:rsid w:val="404B47FE"/>
    <w:rsid w:val="404C688B"/>
    <w:rsid w:val="404E1D8E"/>
    <w:rsid w:val="404F780F"/>
    <w:rsid w:val="40505291"/>
    <w:rsid w:val="40507E8F"/>
    <w:rsid w:val="40510A2D"/>
    <w:rsid w:val="40516596"/>
    <w:rsid w:val="40520794"/>
    <w:rsid w:val="405232FA"/>
    <w:rsid w:val="40524017"/>
    <w:rsid w:val="40531A99"/>
    <w:rsid w:val="4053216B"/>
    <w:rsid w:val="40542D09"/>
    <w:rsid w:val="40543C97"/>
    <w:rsid w:val="405465FA"/>
    <w:rsid w:val="405467B0"/>
    <w:rsid w:val="4054703C"/>
    <w:rsid w:val="40555BB9"/>
    <w:rsid w:val="4056719A"/>
    <w:rsid w:val="4057049F"/>
    <w:rsid w:val="40574C1C"/>
    <w:rsid w:val="40574C5C"/>
    <w:rsid w:val="4058639A"/>
    <w:rsid w:val="405939A2"/>
    <w:rsid w:val="40595BA0"/>
    <w:rsid w:val="405A3622"/>
    <w:rsid w:val="405A7913"/>
    <w:rsid w:val="405C0C68"/>
    <w:rsid w:val="405D1A2A"/>
    <w:rsid w:val="405E2028"/>
    <w:rsid w:val="405E7E2A"/>
    <w:rsid w:val="405F58AB"/>
    <w:rsid w:val="40603B42"/>
    <w:rsid w:val="40620A2E"/>
    <w:rsid w:val="406242B1"/>
    <w:rsid w:val="40631D33"/>
    <w:rsid w:val="40642868"/>
    <w:rsid w:val="406477B5"/>
    <w:rsid w:val="406519B3"/>
    <w:rsid w:val="40662CB8"/>
    <w:rsid w:val="40667BAC"/>
    <w:rsid w:val="40670739"/>
    <w:rsid w:val="40674EB6"/>
    <w:rsid w:val="40681CC4"/>
    <w:rsid w:val="406861BB"/>
    <w:rsid w:val="40693C3C"/>
    <w:rsid w:val="406A16BE"/>
    <w:rsid w:val="406A3401"/>
    <w:rsid w:val="406B713F"/>
    <w:rsid w:val="406C133E"/>
    <w:rsid w:val="406C4BC1"/>
    <w:rsid w:val="406C64A4"/>
    <w:rsid w:val="406D2642"/>
    <w:rsid w:val="406D5354"/>
    <w:rsid w:val="406D5BC1"/>
    <w:rsid w:val="406D6DBF"/>
    <w:rsid w:val="406F6A92"/>
    <w:rsid w:val="407035C7"/>
    <w:rsid w:val="40703E40"/>
    <w:rsid w:val="40711049"/>
    <w:rsid w:val="40713094"/>
    <w:rsid w:val="40720CC9"/>
    <w:rsid w:val="4073454C"/>
    <w:rsid w:val="40741FCD"/>
    <w:rsid w:val="40751A71"/>
    <w:rsid w:val="40751C4D"/>
    <w:rsid w:val="4075369B"/>
    <w:rsid w:val="40757A4F"/>
    <w:rsid w:val="40764075"/>
    <w:rsid w:val="407709D4"/>
    <w:rsid w:val="40775150"/>
    <w:rsid w:val="40782BD2"/>
    <w:rsid w:val="40786455"/>
    <w:rsid w:val="407A60D5"/>
    <w:rsid w:val="407A6407"/>
    <w:rsid w:val="407B73DA"/>
    <w:rsid w:val="407B7706"/>
    <w:rsid w:val="407C02A4"/>
    <w:rsid w:val="407D0E43"/>
    <w:rsid w:val="407D705A"/>
    <w:rsid w:val="407E19E2"/>
    <w:rsid w:val="407E4ADB"/>
    <w:rsid w:val="407F255D"/>
    <w:rsid w:val="40802F5B"/>
    <w:rsid w:val="40803861"/>
    <w:rsid w:val="408112E3"/>
    <w:rsid w:val="408234E1"/>
    <w:rsid w:val="40826D65"/>
    <w:rsid w:val="40830F63"/>
    <w:rsid w:val="40835C11"/>
    <w:rsid w:val="40842268"/>
    <w:rsid w:val="408467AF"/>
    <w:rsid w:val="4085718A"/>
    <w:rsid w:val="40861EE7"/>
    <w:rsid w:val="4086576B"/>
    <w:rsid w:val="40867B64"/>
    <w:rsid w:val="40867D28"/>
    <w:rsid w:val="408810DD"/>
    <w:rsid w:val="40882E6C"/>
    <w:rsid w:val="40891E40"/>
    <w:rsid w:val="408A4171"/>
    <w:rsid w:val="408B33B9"/>
    <w:rsid w:val="408C1872"/>
    <w:rsid w:val="408C7674"/>
    <w:rsid w:val="408D72F4"/>
    <w:rsid w:val="408E2B77"/>
    <w:rsid w:val="408E4D75"/>
    <w:rsid w:val="408E606F"/>
    <w:rsid w:val="408E7CE2"/>
    <w:rsid w:val="408F27F7"/>
    <w:rsid w:val="40900279"/>
    <w:rsid w:val="40903AFC"/>
    <w:rsid w:val="4091157D"/>
    <w:rsid w:val="40915CFA"/>
    <w:rsid w:val="4093153B"/>
    <w:rsid w:val="40942502"/>
    <w:rsid w:val="40946C7F"/>
    <w:rsid w:val="40952AB4"/>
    <w:rsid w:val="40954700"/>
    <w:rsid w:val="40957F84"/>
    <w:rsid w:val="40965A05"/>
    <w:rsid w:val="40977C03"/>
    <w:rsid w:val="40980F08"/>
    <w:rsid w:val="40985685"/>
    <w:rsid w:val="40993106"/>
    <w:rsid w:val="4099698A"/>
    <w:rsid w:val="409A0B88"/>
    <w:rsid w:val="409B1E8D"/>
    <w:rsid w:val="409B660A"/>
    <w:rsid w:val="409B6EA7"/>
    <w:rsid w:val="409C2B96"/>
    <w:rsid w:val="409C408B"/>
    <w:rsid w:val="409C790E"/>
    <w:rsid w:val="409D1B0D"/>
    <w:rsid w:val="409E1999"/>
    <w:rsid w:val="409E2E12"/>
    <w:rsid w:val="409E758E"/>
    <w:rsid w:val="409F2538"/>
    <w:rsid w:val="40A13D96"/>
    <w:rsid w:val="40A3502A"/>
    <w:rsid w:val="40A37299"/>
    <w:rsid w:val="40A45A04"/>
    <w:rsid w:val="40A45BC8"/>
    <w:rsid w:val="40A5279C"/>
    <w:rsid w:val="40A62E81"/>
    <w:rsid w:val="40A67141"/>
    <w:rsid w:val="40A73721"/>
    <w:rsid w:val="40A75C9F"/>
    <w:rsid w:val="40A77B1B"/>
    <w:rsid w:val="40A8087E"/>
    <w:rsid w:val="40A91259"/>
    <w:rsid w:val="40AA056E"/>
    <w:rsid w:val="40AB2BE8"/>
    <w:rsid w:val="40AC3EF0"/>
    <w:rsid w:val="40AC3F0F"/>
    <w:rsid w:val="40AC4411"/>
    <w:rsid w:val="40AC7BA9"/>
    <w:rsid w:val="40AE52C3"/>
    <w:rsid w:val="40AE5488"/>
    <w:rsid w:val="40B065AF"/>
    <w:rsid w:val="40B1759F"/>
    <w:rsid w:val="40B21AB2"/>
    <w:rsid w:val="40B30B18"/>
    <w:rsid w:val="40B37534"/>
    <w:rsid w:val="40B414F2"/>
    <w:rsid w:val="40B44FB5"/>
    <w:rsid w:val="40B52091"/>
    <w:rsid w:val="40B62C30"/>
    <w:rsid w:val="40B717BD"/>
    <w:rsid w:val="40B9143D"/>
    <w:rsid w:val="40B94CC0"/>
    <w:rsid w:val="40B958E6"/>
    <w:rsid w:val="40BA2742"/>
    <w:rsid w:val="40BB01C3"/>
    <w:rsid w:val="40BB4940"/>
    <w:rsid w:val="40BB5FF7"/>
    <w:rsid w:val="40BB6E5F"/>
    <w:rsid w:val="40BC5C45"/>
    <w:rsid w:val="40BC7839"/>
    <w:rsid w:val="40BD36C6"/>
    <w:rsid w:val="40BE0DB2"/>
    <w:rsid w:val="40BE1148"/>
    <w:rsid w:val="40BE58C5"/>
    <w:rsid w:val="40BF1951"/>
    <w:rsid w:val="40BF6BC9"/>
    <w:rsid w:val="40C00DC8"/>
    <w:rsid w:val="40C024EF"/>
    <w:rsid w:val="40C05905"/>
    <w:rsid w:val="40C06849"/>
    <w:rsid w:val="40C120CD"/>
    <w:rsid w:val="40C1308E"/>
    <w:rsid w:val="40C142CB"/>
    <w:rsid w:val="40C21D4C"/>
    <w:rsid w:val="40C27B4E"/>
    <w:rsid w:val="40C34442"/>
    <w:rsid w:val="40C34607"/>
    <w:rsid w:val="40C43051"/>
    <w:rsid w:val="40C4524F"/>
    <w:rsid w:val="40C52CD1"/>
    <w:rsid w:val="40C57BAE"/>
    <w:rsid w:val="40C66554"/>
    <w:rsid w:val="40C672BD"/>
    <w:rsid w:val="40C724E3"/>
    <w:rsid w:val="40C73FD6"/>
    <w:rsid w:val="40C761D4"/>
    <w:rsid w:val="40C80671"/>
    <w:rsid w:val="40C81A57"/>
    <w:rsid w:val="40C81FC2"/>
    <w:rsid w:val="40C83C56"/>
    <w:rsid w:val="40C874D9"/>
    <w:rsid w:val="40C94F5B"/>
    <w:rsid w:val="40CA7159"/>
    <w:rsid w:val="40CB2789"/>
    <w:rsid w:val="40CB4BDA"/>
    <w:rsid w:val="40CC1257"/>
    <w:rsid w:val="40CC265C"/>
    <w:rsid w:val="40CD00DD"/>
    <w:rsid w:val="40CD3961"/>
    <w:rsid w:val="40CE13E2"/>
    <w:rsid w:val="40CE48A0"/>
    <w:rsid w:val="40CF35E1"/>
    <w:rsid w:val="40CF6E64"/>
    <w:rsid w:val="40D01062"/>
    <w:rsid w:val="40D12367"/>
    <w:rsid w:val="40D1305E"/>
    <w:rsid w:val="40D16AE4"/>
    <w:rsid w:val="40D24565"/>
    <w:rsid w:val="40D27DE8"/>
    <w:rsid w:val="40D3586A"/>
    <w:rsid w:val="40D4166E"/>
    <w:rsid w:val="40D432EC"/>
    <w:rsid w:val="40D52048"/>
    <w:rsid w:val="40D645E9"/>
    <w:rsid w:val="40D667EF"/>
    <w:rsid w:val="40D709ED"/>
    <w:rsid w:val="40D735C1"/>
    <w:rsid w:val="40D74270"/>
    <w:rsid w:val="40D770E1"/>
    <w:rsid w:val="40D77348"/>
    <w:rsid w:val="40D81CF2"/>
    <w:rsid w:val="40D82A90"/>
    <w:rsid w:val="40D83EF0"/>
    <w:rsid w:val="40D84160"/>
    <w:rsid w:val="40DA4E47"/>
    <w:rsid w:val="40DA589D"/>
    <w:rsid w:val="40DB2C76"/>
    <w:rsid w:val="40DD0378"/>
    <w:rsid w:val="40DD6179"/>
    <w:rsid w:val="40DE038F"/>
    <w:rsid w:val="40DE0554"/>
    <w:rsid w:val="40DE3BFB"/>
    <w:rsid w:val="40DE5DF9"/>
    <w:rsid w:val="40DF0F2E"/>
    <w:rsid w:val="40DF387B"/>
    <w:rsid w:val="40E070FE"/>
    <w:rsid w:val="40E124A7"/>
    <w:rsid w:val="40E16D7E"/>
    <w:rsid w:val="40E20083"/>
    <w:rsid w:val="40E22E81"/>
    <w:rsid w:val="40E23A1F"/>
    <w:rsid w:val="40E23BE4"/>
    <w:rsid w:val="40E345BE"/>
    <w:rsid w:val="40E35B04"/>
    <w:rsid w:val="40E43586"/>
    <w:rsid w:val="40E4515D"/>
    <w:rsid w:val="40E51007"/>
    <w:rsid w:val="40E55CFB"/>
    <w:rsid w:val="40E55E64"/>
    <w:rsid w:val="40E63206"/>
    <w:rsid w:val="40E655D8"/>
    <w:rsid w:val="40E66A89"/>
    <w:rsid w:val="40E70C87"/>
    <w:rsid w:val="40E81F8C"/>
    <w:rsid w:val="40E86709"/>
    <w:rsid w:val="40EA548F"/>
    <w:rsid w:val="40EB2F11"/>
    <w:rsid w:val="40EB768D"/>
    <w:rsid w:val="40EC0992"/>
    <w:rsid w:val="40EC510F"/>
    <w:rsid w:val="40ED32DF"/>
    <w:rsid w:val="40ED6414"/>
    <w:rsid w:val="40F14E1A"/>
    <w:rsid w:val="40F17018"/>
    <w:rsid w:val="40F21C7A"/>
    <w:rsid w:val="40F2289C"/>
    <w:rsid w:val="40F24A9A"/>
    <w:rsid w:val="40F3031D"/>
    <w:rsid w:val="40F30ECD"/>
    <w:rsid w:val="40F3251B"/>
    <w:rsid w:val="40F37EE8"/>
    <w:rsid w:val="40F40121"/>
    <w:rsid w:val="40F47F9D"/>
    <w:rsid w:val="40F55A1F"/>
    <w:rsid w:val="40F57529"/>
    <w:rsid w:val="40F612A2"/>
    <w:rsid w:val="40F62000"/>
    <w:rsid w:val="40F76D23"/>
    <w:rsid w:val="40F82226"/>
    <w:rsid w:val="40F91EC7"/>
    <w:rsid w:val="40F942DC"/>
    <w:rsid w:val="40F94425"/>
    <w:rsid w:val="40FA1EA6"/>
    <w:rsid w:val="40FA4CB6"/>
    <w:rsid w:val="40FA572A"/>
    <w:rsid w:val="40FB31AB"/>
    <w:rsid w:val="40FB7928"/>
    <w:rsid w:val="40FC0C2D"/>
    <w:rsid w:val="40FC53A9"/>
    <w:rsid w:val="40FC63F3"/>
    <w:rsid w:val="40FE08AC"/>
    <w:rsid w:val="40FE4130"/>
    <w:rsid w:val="40FF1BB1"/>
    <w:rsid w:val="40FF632E"/>
    <w:rsid w:val="410018BF"/>
    <w:rsid w:val="41003DB0"/>
    <w:rsid w:val="41007633"/>
    <w:rsid w:val="41011831"/>
    <w:rsid w:val="41012622"/>
    <w:rsid w:val="41013BCB"/>
    <w:rsid w:val="410150B4"/>
    <w:rsid w:val="41022AB3"/>
    <w:rsid w:val="410305B7"/>
    <w:rsid w:val="41031B51"/>
    <w:rsid w:val="41032227"/>
    <w:rsid w:val="41034D34"/>
    <w:rsid w:val="41044576"/>
    <w:rsid w:val="41065CB3"/>
    <w:rsid w:val="41076FBE"/>
    <w:rsid w:val="41084A3F"/>
    <w:rsid w:val="41087067"/>
    <w:rsid w:val="410924C1"/>
    <w:rsid w:val="41097DCA"/>
    <w:rsid w:val="410A07A5"/>
    <w:rsid w:val="410A7F42"/>
    <w:rsid w:val="410B117F"/>
    <w:rsid w:val="410C28BC"/>
    <w:rsid w:val="410D0EC7"/>
    <w:rsid w:val="410D3296"/>
    <w:rsid w:val="410E3720"/>
    <w:rsid w:val="41115290"/>
    <w:rsid w:val="41115F4D"/>
    <w:rsid w:val="41140064"/>
    <w:rsid w:val="411462D3"/>
    <w:rsid w:val="41153D55"/>
    <w:rsid w:val="411615DD"/>
    <w:rsid w:val="411617A1"/>
    <w:rsid w:val="411617D6"/>
    <w:rsid w:val="411838B9"/>
    <w:rsid w:val="41184CDA"/>
    <w:rsid w:val="411B5C5E"/>
    <w:rsid w:val="411D1161"/>
    <w:rsid w:val="411D6D85"/>
    <w:rsid w:val="411E0B85"/>
    <w:rsid w:val="41200E9D"/>
    <w:rsid w:val="412010D8"/>
    <w:rsid w:val="412020E6"/>
    <w:rsid w:val="412065EA"/>
    <w:rsid w:val="4120702C"/>
    <w:rsid w:val="41217B68"/>
    <w:rsid w:val="41220E6C"/>
    <w:rsid w:val="412225DA"/>
    <w:rsid w:val="412255E9"/>
    <w:rsid w:val="4123306B"/>
    <w:rsid w:val="412368EE"/>
    <w:rsid w:val="4124436F"/>
    <w:rsid w:val="41267873"/>
    <w:rsid w:val="41271A71"/>
    <w:rsid w:val="41276809"/>
    <w:rsid w:val="41284F74"/>
    <w:rsid w:val="412929F5"/>
    <w:rsid w:val="41297098"/>
    <w:rsid w:val="412B3CFA"/>
    <w:rsid w:val="412B5EF9"/>
    <w:rsid w:val="412C177C"/>
    <w:rsid w:val="412C397A"/>
    <w:rsid w:val="412D2921"/>
    <w:rsid w:val="412D71FD"/>
    <w:rsid w:val="412E324E"/>
    <w:rsid w:val="412E4C7F"/>
    <w:rsid w:val="412F2700"/>
    <w:rsid w:val="412F48FF"/>
    <w:rsid w:val="41300182"/>
    <w:rsid w:val="41302380"/>
    <w:rsid w:val="4130498B"/>
    <w:rsid w:val="41313685"/>
    <w:rsid w:val="41317E02"/>
    <w:rsid w:val="41321107"/>
    <w:rsid w:val="4132171D"/>
    <w:rsid w:val="41325883"/>
    <w:rsid w:val="41325F04"/>
    <w:rsid w:val="41336AA3"/>
    <w:rsid w:val="41336B88"/>
    <w:rsid w:val="41340D87"/>
    <w:rsid w:val="4134460A"/>
    <w:rsid w:val="41347641"/>
    <w:rsid w:val="41356808"/>
    <w:rsid w:val="41361759"/>
    <w:rsid w:val="4136428A"/>
    <w:rsid w:val="4137558E"/>
    <w:rsid w:val="41383010"/>
    <w:rsid w:val="4138778D"/>
    <w:rsid w:val="41390A92"/>
    <w:rsid w:val="413A2C90"/>
    <w:rsid w:val="413A6513"/>
    <w:rsid w:val="413B3F95"/>
    <w:rsid w:val="413B4C25"/>
    <w:rsid w:val="413C46BC"/>
    <w:rsid w:val="413C6193"/>
    <w:rsid w:val="413E6F01"/>
    <w:rsid w:val="413F4150"/>
    <w:rsid w:val="413F7118"/>
    <w:rsid w:val="413F78DB"/>
    <w:rsid w:val="41404B99"/>
    <w:rsid w:val="4141009C"/>
    <w:rsid w:val="41415E9E"/>
    <w:rsid w:val="41422591"/>
    <w:rsid w:val="4143359F"/>
    <w:rsid w:val="414411BA"/>
    <w:rsid w:val="41462326"/>
    <w:rsid w:val="41464524"/>
    <w:rsid w:val="41477DA7"/>
    <w:rsid w:val="41485829"/>
    <w:rsid w:val="414867C0"/>
    <w:rsid w:val="41487299"/>
    <w:rsid w:val="414932AA"/>
    <w:rsid w:val="4149719B"/>
    <w:rsid w:val="414A47BD"/>
    <w:rsid w:val="414A67AD"/>
    <w:rsid w:val="414B09AC"/>
    <w:rsid w:val="414B6458"/>
    <w:rsid w:val="414B67C3"/>
    <w:rsid w:val="414C1CB1"/>
    <w:rsid w:val="414C518A"/>
    <w:rsid w:val="414C5340"/>
    <w:rsid w:val="414C642D"/>
    <w:rsid w:val="414D7732"/>
    <w:rsid w:val="414E1930"/>
    <w:rsid w:val="414E282B"/>
    <w:rsid w:val="414F198B"/>
    <w:rsid w:val="414F2C35"/>
    <w:rsid w:val="415006B7"/>
    <w:rsid w:val="415128B5"/>
    <w:rsid w:val="415154E1"/>
    <w:rsid w:val="41516138"/>
    <w:rsid w:val="41520337"/>
    <w:rsid w:val="4153163B"/>
    <w:rsid w:val="4154383A"/>
    <w:rsid w:val="415470BD"/>
    <w:rsid w:val="415625C0"/>
    <w:rsid w:val="41566D3D"/>
    <w:rsid w:val="41585AC3"/>
    <w:rsid w:val="415914C1"/>
    <w:rsid w:val="41591676"/>
    <w:rsid w:val="41592C89"/>
    <w:rsid w:val="41595743"/>
    <w:rsid w:val="415A055F"/>
    <w:rsid w:val="415A0FC6"/>
    <w:rsid w:val="415A3828"/>
    <w:rsid w:val="415D1F4B"/>
    <w:rsid w:val="415D4149"/>
    <w:rsid w:val="415E1BCB"/>
    <w:rsid w:val="415E6EB8"/>
    <w:rsid w:val="415E79CC"/>
    <w:rsid w:val="415F544E"/>
    <w:rsid w:val="415F764C"/>
    <w:rsid w:val="415F7A57"/>
    <w:rsid w:val="41602ED0"/>
    <w:rsid w:val="41612B4F"/>
    <w:rsid w:val="416219AA"/>
    <w:rsid w:val="416318D6"/>
    <w:rsid w:val="41643AD4"/>
    <w:rsid w:val="41653C86"/>
    <w:rsid w:val="41664660"/>
    <w:rsid w:val="41666FD7"/>
    <w:rsid w:val="416741BF"/>
    <w:rsid w:val="416751FF"/>
    <w:rsid w:val="41683C8E"/>
    <w:rsid w:val="41685BD9"/>
    <w:rsid w:val="41685D5D"/>
    <w:rsid w:val="416922FA"/>
    <w:rsid w:val="416A59DD"/>
    <w:rsid w:val="416B088F"/>
    <w:rsid w:val="416D21E5"/>
    <w:rsid w:val="416F56E8"/>
    <w:rsid w:val="4170316A"/>
    <w:rsid w:val="41714ABE"/>
    <w:rsid w:val="41725499"/>
    <w:rsid w:val="41735E73"/>
    <w:rsid w:val="417575B0"/>
    <w:rsid w:val="417575F2"/>
    <w:rsid w:val="41767F8A"/>
    <w:rsid w:val="41772AF5"/>
    <w:rsid w:val="41780576"/>
    <w:rsid w:val="417816C8"/>
    <w:rsid w:val="41784096"/>
    <w:rsid w:val="41784401"/>
    <w:rsid w:val="41795FF8"/>
    <w:rsid w:val="417A14FB"/>
    <w:rsid w:val="417B6F7C"/>
    <w:rsid w:val="417D5732"/>
    <w:rsid w:val="417D58F7"/>
    <w:rsid w:val="417F5983"/>
    <w:rsid w:val="41837C0C"/>
    <w:rsid w:val="41840E0E"/>
    <w:rsid w:val="4184568E"/>
    <w:rsid w:val="4185310F"/>
    <w:rsid w:val="4185788C"/>
    <w:rsid w:val="41857CF6"/>
    <w:rsid w:val="41860B91"/>
    <w:rsid w:val="41863C3D"/>
    <w:rsid w:val="418670FF"/>
    <w:rsid w:val="418672B4"/>
    <w:rsid w:val="41876612"/>
    <w:rsid w:val="41884094"/>
    <w:rsid w:val="41891B15"/>
    <w:rsid w:val="41896292"/>
    <w:rsid w:val="418A7597"/>
    <w:rsid w:val="418B1795"/>
    <w:rsid w:val="418B7E6D"/>
    <w:rsid w:val="418C2A9A"/>
    <w:rsid w:val="418E1DC0"/>
    <w:rsid w:val="418E1F84"/>
    <w:rsid w:val="418E5F9D"/>
    <w:rsid w:val="418F019B"/>
    <w:rsid w:val="418F3A1F"/>
    <w:rsid w:val="419014A0"/>
    <w:rsid w:val="41911120"/>
    <w:rsid w:val="41923435"/>
    <w:rsid w:val="41932425"/>
    <w:rsid w:val="41935615"/>
    <w:rsid w:val="41947EA6"/>
    <w:rsid w:val="41951050"/>
    <w:rsid w:val="41955928"/>
    <w:rsid w:val="419633AA"/>
    <w:rsid w:val="419655A8"/>
    <w:rsid w:val="419825D7"/>
    <w:rsid w:val="419868AD"/>
    <w:rsid w:val="4199652C"/>
    <w:rsid w:val="419A2BF8"/>
    <w:rsid w:val="419A7831"/>
    <w:rsid w:val="419C4171"/>
    <w:rsid w:val="419D4F33"/>
    <w:rsid w:val="419E6238"/>
    <w:rsid w:val="419F0436"/>
    <w:rsid w:val="41A0173B"/>
    <w:rsid w:val="41A06FEC"/>
    <w:rsid w:val="41A20564"/>
    <w:rsid w:val="41A24C3E"/>
    <w:rsid w:val="41A40141"/>
    <w:rsid w:val="41A5233F"/>
    <w:rsid w:val="41A55BC2"/>
    <w:rsid w:val="41A63644"/>
    <w:rsid w:val="41A63BF5"/>
    <w:rsid w:val="41A67DC1"/>
    <w:rsid w:val="41A710C5"/>
    <w:rsid w:val="41A745CF"/>
    <w:rsid w:val="41A74794"/>
    <w:rsid w:val="41A77FEE"/>
    <w:rsid w:val="41A832C4"/>
    <w:rsid w:val="41A90D45"/>
    <w:rsid w:val="41AA4248"/>
    <w:rsid w:val="41AA67C7"/>
    <w:rsid w:val="41AB1CCA"/>
    <w:rsid w:val="41AB2105"/>
    <w:rsid w:val="41AB7285"/>
    <w:rsid w:val="41AB7ACC"/>
    <w:rsid w:val="41AC7E24"/>
    <w:rsid w:val="41AD09C3"/>
    <w:rsid w:val="41AD1C45"/>
    <w:rsid w:val="41AD2FCF"/>
    <w:rsid w:val="41AE2C4F"/>
    <w:rsid w:val="41AF06D0"/>
    <w:rsid w:val="41AF1D77"/>
    <w:rsid w:val="41AF1F3C"/>
    <w:rsid w:val="41AF64D2"/>
    <w:rsid w:val="41B119D5"/>
    <w:rsid w:val="41B13E8F"/>
    <w:rsid w:val="41B1600A"/>
    <w:rsid w:val="41B161BF"/>
    <w:rsid w:val="41B21655"/>
    <w:rsid w:val="41B24ED8"/>
    <w:rsid w:val="41B25933"/>
    <w:rsid w:val="41B25E54"/>
    <w:rsid w:val="41B355CC"/>
    <w:rsid w:val="41B370D6"/>
    <w:rsid w:val="41B45FA6"/>
    <w:rsid w:val="41B55E5D"/>
    <w:rsid w:val="41B5779B"/>
    <w:rsid w:val="41B6005B"/>
    <w:rsid w:val="41B676E4"/>
    <w:rsid w:val="41B75ADD"/>
    <w:rsid w:val="41B77160"/>
    <w:rsid w:val="41B8355E"/>
    <w:rsid w:val="41B86DE1"/>
    <w:rsid w:val="41BA6A61"/>
    <w:rsid w:val="41BB2BB0"/>
    <w:rsid w:val="41BB7D66"/>
    <w:rsid w:val="41BC3913"/>
    <w:rsid w:val="41BC57E8"/>
    <w:rsid w:val="41BD3269"/>
    <w:rsid w:val="41BD4E8B"/>
    <w:rsid w:val="41BD79E6"/>
    <w:rsid w:val="41BE0CEB"/>
    <w:rsid w:val="41BE5467"/>
    <w:rsid w:val="41BF2EE9"/>
    <w:rsid w:val="41BF676C"/>
    <w:rsid w:val="41C041EE"/>
    <w:rsid w:val="41C11C6F"/>
    <w:rsid w:val="41C218EF"/>
    <w:rsid w:val="41C23E6E"/>
    <w:rsid w:val="41C272E5"/>
    <w:rsid w:val="41C276F1"/>
    <w:rsid w:val="41C42BF4"/>
    <w:rsid w:val="41C44DF2"/>
    <w:rsid w:val="41C50675"/>
    <w:rsid w:val="41C52874"/>
    <w:rsid w:val="41C62D89"/>
    <w:rsid w:val="41C64DF5"/>
    <w:rsid w:val="41C660F7"/>
    <w:rsid w:val="41C73BAC"/>
    <w:rsid w:val="41C837F8"/>
    <w:rsid w:val="41C8474B"/>
    <w:rsid w:val="41C9707C"/>
    <w:rsid w:val="41CA4AFD"/>
    <w:rsid w:val="41CA6CFC"/>
    <w:rsid w:val="41CC21FF"/>
    <w:rsid w:val="41CC5A82"/>
    <w:rsid w:val="41CC723D"/>
    <w:rsid w:val="41CD3503"/>
    <w:rsid w:val="41CD3BBB"/>
    <w:rsid w:val="41CE317A"/>
    <w:rsid w:val="41CE5702"/>
    <w:rsid w:val="41CF18BC"/>
    <w:rsid w:val="41CF1D2F"/>
    <w:rsid w:val="41D00C05"/>
    <w:rsid w:val="41D04488"/>
    <w:rsid w:val="41D11F0A"/>
    <w:rsid w:val="41D2798B"/>
    <w:rsid w:val="41D34BA9"/>
    <w:rsid w:val="41D3540D"/>
    <w:rsid w:val="41D42E8E"/>
    <w:rsid w:val="41D50910"/>
    <w:rsid w:val="41D66391"/>
    <w:rsid w:val="41D66AFC"/>
    <w:rsid w:val="41D8023A"/>
    <w:rsid w:val="41D97316"/>
    <w:rsid w:val="41DA218D"/>
    <w:rsid w:val="41DB2819"/>
    <w:rsid w:val="41DB2D2B"/>
    <w:rsid w:val="41DD42A4"/>
    <w:rsid w:val="41DD50CB"/>
    <w:rsid w:val="41DD5D1C"/>
    <w:rsid w:val="41DF59E2"/>
    <w:rsid w:val="41E06CA1"/>
    <w:rsid w:val="41E16D96"/>
    <w:rsid w:val="41E221A4"/>
    <w:rsid w:val="41E27C26"/>
    <w:rsid w:val="41E304D3"/>
    <w:rsid w:val="41E43129"/>
    <w:rsid w:val="41E6662C"/>
    <w:rsid w:val="41E84702"/>
    <w:rsid w:val="41E975B0"/>
    <w:rsid w:val="41EA08B5"/>
    <w:rsid w:val="41EA2E34"/>
    <w:rsid w:val="41EB2AB3"/>
    <w:rsid w:val="41ED5FB7"/>
    <w:rsid w:val="41EE5DDE"/>
    <w:rsid w:val="41EF14D0"/>
    <w:rsid w:val="41EF4D3D"/>
    <w:rsid w:val="41F027BE"/>
    <w:rsid w:val="41F12A49"/>
    <w:rsid w:val="41F149BD"/>
    <w:rsid w:val="41F25CC2"/>
    <w:rsid w:val="41F33DFE"/>
    <w:rsid w:val="41F33FC2"/>
    <w:rsid w:val="41F36D83"/>
    <w:rsid w:val="41F37EC0"/>
    <w:rsid w:val="41F411C5"/>
    <w:rsid w:val="41F56C46"/>
    <w:rsid w:val="41F646C8"/>
    <w:rsid w:val="41F77652"/>
    <w:rsid w:val="41F84348"/>
    <w:rsid w:val="41F87BCB"/>
    <w:rsid w:val="41F9564C"/>
    <w:rsid w:val="41FA23F0"/>
    <w:rsid w:val="41FA30CE"/>
    <w:rsid w:val="41FA784B"/>
    <w:rsid w:val="41FB0B50"/>
    <w:rsid w:val="41FB148E"/>
    <w:rsid w:val="41FB2309"/>
    <w:rsid w:val="41FB2532"/>
    <w:rsid w:val="41FB2D4E"/>
    <w:rsid w:val="41FC07CF"/>
    <w:rsid w:val="41FC2CE3"/>
    <w:rsid w:val="41FD36BD"/>
    <w:rsid w:val="41FD5DA8"/>
    <w:rsid w:val="41FD6251"/>
    <w:rsid w:val="41FE1AD4"/>
    <w:rsid w:val="41FE3CD2"/>
    <w:rsid w:val="41FE425C"/>
    <w:rsid w:val="4200449D"/>
    <w:rsid w:val="42004FD7"/>
    <w:rsid w:val="42005999"/>
    <w:rsid w:val="42012A59"/>
    <w:rsid w:val="42014C57"/>
    <w:rsid w:val="420226D9"/>
    <w:rsid w:val="42027AB1"/>
    <w:rsid w:val="4203048B"/>
    <w:rsid w:val="420339DD"/>
    <w:rsid w:val="42056EE1"/>
    <w:rsid w:val="420610DF"/>
    <w:rsid w:val="42064962"/>
    <w:rsid w:val="42072F7D"/>
    <w:rsid w:val="420757C4"/>
    <w:rsid w:val="42075CE5"/>
    <w:rsid w:val="42083CE0"/>
    <w:rsid w:val="420845E2"/>
    <w:rsid w:val="42087E65"/>
    <w:rsid w:val="4209418C"/>
    <w:rsid w:val="420958E7"/>
    <w:rsid w:val="420A3368"/>
    <w:rsid w:val="420B0DEA"/>
    <w:rsid w:val="420B5567"/>
    <w:rsid w:val="420C2FE8"/>
    <w:rsid w:val="420C686B"/>
    <w:rsid w:val="420D42ED"/>
    <w:rsid w:val="420D4AD1"/>
    <w:rsid w:val="420D71AC"/>
    <w:rsid w:val="420D7370"/>
    <w:rsid w:val="420E1D6F"/>
    <w:rsid w:val="420E7F0F"/>
    <w:rsid w:val="420F08E9"/>
    <w:rsid w:val="42105272"/>
    <w:rsid w:val="42112CF3"/>
    <w:rsid w:val="42117470"/>
    <w:rsid w:val="42122973"/>
    <w:rsid w:val="4212359F"/>
    <w:rsid w:val="42124EF1"/>
    <w:rsid w:val="421303F5"/>
    <w:rsid w:val="421516F9"/>
    <w:rsid w:val="42161379"/>
    <w:rsid w:val="421673AA"/>
    <w:rsid w:val="42174BFC"/>
    <w:rsid w:val="42176C30"/>
    <w:rsid w:val="4218267E"/>
    <w:rsid w:val="4218487C"/>
    <w:rsid w:val="42185A06"/>
    <w:rsid w:val="421877CE"/>
    <w:rsid w:val="42190100"/>
    <w:rsid w:val="421922FE"/>
    <w:rsid w:val="421A3603"/>
    <w:rsid w:val="421A7D7F"/>
    <w:rsid w:val="421B1084"/>
    <w:rsid w:val="421B5801"/>
    <w:rsid w:val="421B6683"/>
    <w:rsid w:val="421C6B06"/>
    <w:rsid w:val="421D2C9A"/>
    <w:rsid w:val="421D2E5F"/>
    <w:rsid w:val="421E2009"/>
    <w:rsid w:val="421E6786"/>
    <w:rsid w:val="421F4213"/>
    <w:rsid w:val="421F4DB2"/>
    <w:rsid w:val="4220550C"/>
    <w:rsid w:val="4221770A"/>
    <w:rsid w:val="42217818"/>
    <w:rsid w:val="42232C0D"/>
    <w:rsid w:val="42236491"/>
    <w:rsid w:val="422378A4"/>
    <w:rsid w:val="42237A68"/>
    <w:rsid w:val="42240442"/>
    <w:rsid w:val="42243F12"/>
    <w:rsid w:val="42245DA7"/>
    <w:rsid w:val="42250FE1"/>
    <w:rsid w:val="42256110"/>
    <w:rsid w:val="42261B80"/>
    <w:rsid w:val="42263B92"/>
    <w:rsid w:val="42271614"/>
    <w:rsid w:val="42282918"/>
    <w:rsid w:val="422830F8"/>
    <w:rsid w:val="4229039A"/>
    <w:rsid w:val="422A17CF"/>
    <w:rsid w:val="422B001A"/>
    <w:rsid w:val="422B389D"/>
    <w:rsid w:val="422B5DAF"/>
    <w:rsid w:val="422C131F"/>
    <w:rsid w:val="422C5BEA"/>
    <w:rsid w:val="422D6DA0"/>
    <w:rsid w:val="422E6A20"/>
    <w:rsid w:val="422F44A2"/>
    <w:rsid w:val="42301F23"/>
    <w:rsid w:val="42307D25"/>
    <w:rsid w:val="423157A6"/>
    <w:rsid w:val="42323228"/>
    <w:rsid w:val="42330CA9"/>
    <w:rsid w:val="4233229F"/>
    <w:rsid w:val="42332EA8"/>
    <w:rsid w:val="42333557"/>
    <w:rsid w:val="4233672B"/>
    <w:rsid w:val="42340929"/>
    <w:rsid w:val="42343402"/>
    <w:rsid w:val="42343AD8"/>
    <w:rsid w:val="42351C2E"/>
    <w:rsid w:val="42363E2C"/>
    <w:rsid w:val="423654AA"/>
    <w:rsid w:val="4237620D"/>
    <w:rsid w:val="42386A23"/>
    <w:rsid w:val="42386BE7"/>
    <w:rsid w:val="42390634"/>
    <w:rsid w:val="423A3BCC"/>
    <w:rsid w:val="423A60B6"/>
    <w:rsid w:val="423B3B37"/>
    <w:rsid w:val="423C1CEE"/>
    <w:rsid w:val="423C2277"/>
    <w:rsid w:val="423D703A"/>
    <w:rsid w:val="423F253E"/>
    <w:rsid w:val="42404D69"/>
    <w:rsid w:val="42407FBF"/>
    <w:rsid w:val="42415A41"/>
    <w:rsid w:val="4241698C"/>
    <w:rsid w:val="424234C2"/>
    <w:rsid w:val="42426621"/>
    <w:rsid w:val="42432E35"/>
    <w:rsid w:val="42434C7D"/>
    <w:rsid w:val="42436E81"/>
    <w:rsid w:val="424505BE"/>
    <w:rsid w:val="42454447"/>
    <w:rsid w:val="42471B37"/>
    <w:rsid w:val="424726D6"/>
    <w:rsid w:val="4247794A"/>
    <w:rsid w:val="42483274"/>
    <w:rsid w:val="424B538C"/>
    <w:rsid w:val="424B6350"/>
    <w:rsid w:val="424C1853"/>
    <w:rsid w:val="424C5D66"/>
    <w:rsid w:val="424D72D5"/>
    <w:rsid w:val="424E4D56"/>
    <w:rsid w:val="424E57D2"/>
    <w:rsid w:val="424F27D8"/>
    <w:rsid w:val="42515CDB"/>
    <w:rsid w:val="42517CE6"/>
    <w:rsid w:val="42517E9B"/>
    <w:rsid w:val="4252155E"/>
    <w:rsid w:val="42521F95"/>
    <w:rsid w:val="425424E3"/>
    <w:rsid w:val="42545136"/>
    <w:rsid w:val="42546C60"/>
    <w:rsid w:val="42557F64"/>
    <w:rsid w:val="42562163"/>
    <w:rsid w:val="42573468"/>
    <w:rsid w:val="425761C4"/>
    <w:rsid w:val="42580EE9"/>
    <w:rsid w:val="42587B61"/>
    <w:rsid w:val="425930E7"/>
    <w:rsid w:val="4259696B"/>
    <w:rsid w:val="425A0B69"/>
    <w:rsid w:val="425A43EC"/>
    <w:rsid w:val="425B1E6E"/>
    <w:rsid w:val="425B65EB"/>
    <w:rsid w:val="425C78EF"/>
    <w:rsid w:val="425D1AEE"/>
    <w:rsid w:val="425D5371"/>
    <w:rsid w:val="425E2DCE"/>
    <w:rsid w:val="425E2DF2"/>
    <w:rsid w:val="425E3CB1"/>
    <w:rsid w:val="425F2B99"/>
    <w:rsid w:val="425F396C"/>
    <w:rsid w:val="426062F6"/>
    <w:rsid w:val="42625F75"/>
    <w:rsid w:val="426339F7"/>
    <w:rsid w:val="42636FFD"/>
    <w:rsid w:val="42646EFA"/>
    <w:rsid w:val="4265277D"/>
    <w:rsid w:val="4265497C"/>
    <w:rsid w:val="42657F42"/>
    <w:rsid w:val="42675C80"/>
    <w:rsid w:val="42677E7F"/>
    <w:rsid w:val="42685900"/>
    <w:rsid w:val="42693382"/>
    <w:rsid w:val="426A6C05"/>
    <w:rsid w:val="426B2108"/>
    <w:rsid w:val="426B4687"/>
    <w:rsid w:val="426B59C4"/>
    <w:rsid w:val="426B6885"/>
    <w:rsid w:val="426C0794"/>
    <w:rsid w:val="426C517F"/>
    <w:rsid w:val="426C7B8A"/>
    <w:rsid w:val="426D1D88"/>
    <w:rsid w:val="426E68BC"/>
    <w:rsid w:val="426E780A"/>
    <w:rsid w:val="426F3EF3"/>
    <w:rsid w:val="42702D0D"/>
    <w:rsid w:val="42706590"/>
    <w:rsid w:val="42726210"/>
    <w:rsid w:val="42732927"/>
    <w:rsid w:val="42732AEB"/>
    <w:rsid w:val="42737515"/>
    <w:rsid w:val="42741713"/>
    <w:rsid w:val="42744F96"/>
    <w:rsid w:val="42757194"/>
    <w:rsid w:val="42764C03"/>
    <w:rsid w:val="42772697"/>
    <w:rsid w:val="427755DD"/>
    <w:rsid w:val="42785FB7"/>
    <w:rsid w:val="4278617C"/>
    <w:rsid w:val="42796B56"/>
    <w:rsid w:val="42796D1A"/>
    <w:rsid w:val="427B074B"/>
    <w:rsid w:val="427B109E"/>
    <w:rsid w:val="427B4921"/>
    <w:rsid w:val="427B6B1F"/>
    <w:rsid w:val="427C0E32"/>
    <w:rsid w:val="427C23A2"/>
    <w:rsid w:val="427D1648"/>
    <w:rsid w:val="427E7AA4"/>
    <w:rsid w:val="427F3327"/>
    <w:rsid w:val="427F5525"/>
    <w:rsid w:val="42800DA9"/>
    <w:rsid w:val="428044C2"/>
    <w:rsid w:val="42810A28"/>
    <w:rsid w:val="4281682A"/>
    <w:rsid w:val="42825A3B"/>
    <w:rsid w:val="42831D2D"/>
    <w:rsid w:val="42833F2C"/>
    <w:rsid w:val="428377AF"/>
    <w:rsid w:val="428419AD"/>
    <w:rsid w:val="42845230"/>
    <w:rsid w:val="42846FB4"/>
    <w:rsid w:val="42852CB2"/>
    <w:rsid w:val="4285742F"/>
    <w:rsid w:val="42860734"/>
    <w:rsid w:val="42864EB0"/>
    <w:rsid w:val="42872932"/>
    <w:rsid w:val="42881AA6"/>
    <w:rsid w:val="428916B8"/>
    <w:rsid w:val="42895E35"/>
    <w:rsid w:val="428A38B6"/>
    <w:rsid w:val="428B3BBD"/>
    <w:rsid w:val="428C263D"/>
    <w:rsid w:val="428C475C"/>
    <w:rsid w:val="428D00BE"/>
    <w:rsid w:val="428F35C1"/>
    <w:rsid w:val="42901043"/>
    <w:rsid w:val="429057C0"/>
    <w:rsid w:val="42920CC3"/>
    <w:rsid w:val="4292152A"/>
    <w:rsid w:val="42924546"/>
    <w:rsid w:val="42931FC8"/>
    <w:rsid w:val="42941C47"/>
    <w:rsid w:val="42942AA3"/>
    <w:rsid w:val="42953641"/>
    <w:rsid w:val="429554CB"/>
    <w:rsid w:val="429576C9"/>
    <w:rsid w:val="42962F4C"/>
    <w:rsid w:val="429749F6"/>
    <w:rsid w:val="4298064E"/>
    <w:rsid w:val="429960CF"/>
    <w:rsid w:val="429A1953"/>
    <w:rsid w:val="429A3B51"/>
    <w:rsid w:val="429A76AC"/>
    <w:rsid w:val="429B73D4"/>
    <w:rsid w:val="429C4E56"/>
    <w:rsid w:val="429C7054"/>
    <w:rsid w:val="429D0359"/>
    <w:rsid w:val="429D17C3"/>
    <w:rsid w:val="429E219E"/>
    <w:rsid w:val="429E2362"/>
    <w:rsid w:val="429E24FE"/>
    <w:rsid w:val="429E5DDA"/>
    <w:rsid w:val="429F2D3C"/>
    <w:rsid w:val="42A1447A"/>
    <w:rsid w:val="42A16D5F"/>
    <w:rsid w:val="42A247E0"/>
    <w:rsid w:val="42A25018"/>
    <w:rsid w:val="42A55765"/>
    <w:rsid w:val="42A631E7"/>
    <w:rsid w:val="42A706A9"/>
    <w:rsid w:val="42A70C68"/>
    <w:rsid w:val="42A81A5D"/>
    <w:rsid w:val="42A95791"/>
    <w:rsid w:val="42AA1BED"/>
    <w:rsid w:val="42AB3B75"/>
    <w:rsid w:val="42AB3D39"/>
    <w:rsid w:val="42AB766E"/>
    <w:rsid w:val="42AC4713"/>
    <w:rsid w:val="42AC50F0"/>
    <w:rsid w:val="42AF6075"/>
    <w:rsid w:val="42AF682B"/>
    <w:rsid w:val="42B0401C"/>
    <w:rsid w:val="42B26C49"/>
    <w:rsid w:val="42B26FF9"/>
    <w:rsid w:val="42B559FF"/>
    <w:rsid w:val="42B61283"/>
    <w:rsid w:val="42B707FA"/>
    <w:rsid w:val="42B84786"/>
    <w:rsid w:val="42B86984"/>
    <w:rsid w:val="42B92207"/>
    <w:rsid w:val="42BA1E87"/>
    <w:rsid w:val="42BA6C89"/>
    <w:rsid w:val="42BB570A"/>
    <w:rsid w:val="42BB7663"/>
    <w:rsid w:val="42BB7828"/>
    <w:rsid w:val="42BB7909"/>
    <w:rsid w:val="42BC0C0E"/>
    <w:rsid w:val="42BC538A"/>
    <w:rsid w:val="42BD2E0C"/>
    <w:rsid w:val="42BD668F"/>
    <w:rsid w:val="42BE177B"/>
    <w:rsid w:val="42BF1B92"/>
    <w:rsid w:val="42C02CF4"/>
    <w:rsid w:val="42C11812"/>
    <w:rsid w:val="42C13892"/>
    <w:rsid w:val="42C13A57"/>
    <w:rsid w:val="42C22B17"/>
    <w:rsid w:val="42C30598"/>
    <w:rsid w:val="42C34D15"/>
    <w:rsid w:val="42C46549"/>
    <w:rsid w:val="42C50218"/>
    <w:rsid w:val="42C53A9C"/>
    <w:rsid w:val="42C6151D"/>
    <w:rsid w:val="42C76F9F"/>
    <w:rsid w:val="42C84A20"/>
    <w:rsid w:val="42C924A2"/>
    <w:rsid w:val="42C96C1E"/>
    <w:rsid w:val="42CA46A0"/>
    <w:rsid w:val="42CA6073"/>
    <w:rsid w:val="42CA7F23"/>
    <w:rsid w:val="42CB59A5"/>
    <w:rsid w:val="42CC5625"/>
    <w:rsid w:val="42CC7BA3"/>
    <w:rsid w:val="42CD0EA8"/>
    <w:rsid w:val="42CE6929"/>
    <w:rsid w:val="42CF43AB"/>
    <w:rsid w:val="42D01E2D"/>
    <w:rsid w:val="42D0402B"/>
    <w:rsid w:val="42D069A7"/>
    <w:rsid w:val="42D11AAC"/>
    <w:rsid w:val="42D1645A"/>
    <w:rsid w:val="42D178AE"/>
    <w:rsid w:val="42D17F20"/>
    <w:rsid w:val="42D25330"/>
    <w:rsid w:val="42D264A4"/>
    <w:rsid w:val="42D26717"/>
    <w:rsid w:val="42D2752E"/>
    <w:rsid w:val="42D34FAF"/>
    <w:rsid w:val="42D357B4"/>
    <w:rsid w:val="42D409BF"/>
    <w:rsid w:val="42D42037"/>
    <w:rsid w:val="42D44A08"/>
    <w:rsid w:val="42D52BD6"/>
    <w:rsid w:val="42D53D36"/>
    <w:rsid w:val="42D60D72"/>
    <w:rsid w:val="42D617B7"/>
    <w:rsid w:val="42D65F34"/>
    <w:rsid w:val="42D739B6"/>
    <w:rsid w:val="42D73F8A"/>
    <w:rsid w:val="42D81437"/>
    <w:rsid w:val="42D84CBA"/>
    <w:rsid w:val="42D9273C"/>
    <w:rsid w:val="42DA493A"/>
    <w:rsid w:val="42DA6266"/>
    <w:rsid w:val="42DB23BC"/>
    <w:rsid w:val="42DB5C3F"/>
    <w:rsid w:val="42DC7E3D"/>
    <w:rsid w:val="42DD01B9"/>
    <w:rsid w:val="42DD58BF"/>
    <w:rsid w:val="42DE3341"/>
    <w:rsid w:val="42DE6BC4"/>
    <w:rsid w:val="42DF22D1"/>
    <w:rsid w:val="42DF7F75"/>
    <w:rsid w:val="42E06844"/>
    <w:rsid w:val="42E10D3E"/>
    <w:rsid w:val="42E21D47"/>
    <w:rsid w:val="42E255CA"/>
    <w:rsid w:val="42E3304C"/>
    <w:rsid w:val="42E377C8"/>
    <w:rsid w:val="42E40ACD"/>
    <w:rsid w:val="42E42CCB"/>
    <w:rsid w:val="42E4524A"/>
    <w:rsid w:val="42E45B26"/>
    <w:rsid w:val="42E5074D"/>
    <w:rsid w:val="42E56500"/>
    <w:rsid w:val="42E63FD0"/>
    <w:rsid w:val="42E6709F"/>
    <w:rsid w:val="42E71A52"/>
    <w:rsid w:val="42E73C50"/>
    <w:rsid w:val="42E816D2"/>
    <w:rsid w:val="42E874D3"/>
    <w:rsid w:val="42E90FF2"/>
    <w:rsid w:val="42E94F55"/>
    <w:rsid w:val="42E97153"/>
    <w:rsid w:val="42EA29D6"/>
    <w:rsid w:val="42EB0458"/>
    <w:rsid w:val="42EB32CE"/>
    <w:rsid w:val="42EC00D8"/>
    <w:rsid w:val="42EC3109"/>
    <w:rsid w:val="42EC395B"/>
    <w:rsid w:val="42EC3CA8"/>
    <w:rsid w:val="42EC5ED9"/>
    <w:rsid w:val="42EE35DB"/>
    <w:rsid w:val="42EE5221"/>
    <w:rsid w:val="42EE6E5E"/>
    <w:rsid w:val="42EF48E0"/>
    <w:rsid w:val="42F02924"/>
    <w:rsid w:val="42F06ADE"/>
    <w:rsid w:val="42F14560"/>
    <w:rsid w:val="42F17338"/>
    <w:rsid w:val="42F17DE3"/>
    <w:rsid w:val="42F21FE1"/>
    <w:rsid w:val="42F25864"/>
    <w:rsid w:val="42F2710B"/>
    <w:rsid w:val="42F332E6"/>
    <w:rsid w:val="42F40D67"/>
    <w:rsid w:val="42F454E4"/>
    <w:rsid w:val="42F51FEF"/>
    <w:rsid w:val="42F567E9"/>
    <w:rsid w:val="42F6426B"/>
    <w:rsid w:val="42F71CEC"/>
    <w:rsid w:val="42F76469"/>
    <w:rsid w:val="42F84106"/>
    <w:rsid w:val="42F8776E"/>
    <w:rsid w:val="42F9196C"/>
    <w:rsid w:val="42F951EF"/>
    <w:rsid w:val="42FA2C71"/>
    <w:rsid w:val="42FB4E6F"/>
    <w:rsid w:val="42FB6BF8"/>
    <w:rsid w:val="42FC6174"/>
    <w:rsid w:val="42FD0171"/>
    <w:rsid w:val="42FD5DF4"/>
    <w:rsid w:val="42FE1677"/>
    <w:rsid w:val="42FF1DAA"/>
    <w:rsid w:val="42FF70F8"/>
    <w:rsid w:val="43004B7A"/>
    <w:rsid w:val="43006D78"/>
    <w:rsid w:val="430125FC"/>
    <w:rsid w:val="43012E27"/>
    <w:rsid w:val="43014CE6"/>
    <w:rsid w:val="4302007D"/>
    <w:rsid w:val="4302227B"/>
    <w:rsid w:val="43023801"/>
    <w:rsid w:val="43033E10"/>
    <w:rsid w:val="43035AFF"/>
    <w:rsid w:val="43041002"/>
    <w:rsid w:val="430664B8"/>
    <w:rsid w:val="43071F86"/>
    <w:rsid w:val="43076E92"/>
    <w:rsid w:val="43077BF5"/>
    <w:rsid w:val="43087A08"/>
    <w:rsid w:val="4309116E"/>
    <w:rsid w:val="430C30C1"/>
    <w:rsid w:val="430C3285"/>
    <w:rsid w:val="430C640E"/>
    <w:rsid w:val="430D3E90"/>
    <w:rsid w:val="430E645B"/>
    <w:rsid w:val="430F7393"/>
    <w:rsid w:val="43100A85"/>
    <w:rsid w:val="431272F0"/>
    <w:rsid w:val="43135D99"/>
    <w:rsid w:val="43137E8F"/>
    <w:rsid w:val="4315129C"/>
    <w:rsid w:val="43162980"/>
    <w:rsid w:val="43166D1E"/>
    <w:rsid w:val="4317351F"/>
    <w:rsid w:val="431736E3"/>
    <w:rsid w:val="43182221"/>
    <w:rsid w:val="43194A98"/>
    <w:rsid w:val="431B31A5"/>
    <w:rsid w:val="431C0C27"/>
    <w:rsid w:val="431C130F"/>
    <w:rsid w:val="431D0562"/>
    <w:rsid w:val="431D1F2C"/>
    <w:rsid w:val="431D66A9"/>
    <w:rsid w:val="431E02ED"/>
    <w:rsid w:val="431E7600"/>
    <w:rsid w:val="431E79AD"/>
    <w:rsid w:val="431F762D"/>
    <w:rsid w:val="432050AF"/>
    <w:rsid w:val="43210932"/>
    <w:rsid w:val="43212B30"/>
    <w:rsid w:val="432205B2"/>
    <w:rsid w:val="432418B7"/>
    <w:rsid w:val="43244357"/>
    <w:rsid w:val="43251536"/>
    <w:rsid w:val="43255A95"/>
    <w:rsid w:val="43257338"/>
    <w:rsid w:val="4326283B"/>
    <w:rsid w:val="432824BB"/>
    <w:rsid w:val="4329074B"/>
    <w:rsid w:val="432937C0"/>
    <w:rsid w:val="43297F3D"/>
    <w:rsid w:val="432A0004"/>
    <w:rsid w:val="432A1241"/>
    <w:rsid w:val="432A59BE"/>
    <w:rsid w:val="432B3440"/>
    <w:rsid w:val="432B6CC3"/>
    <w:rsid w:val="432C0EC1"/>
    <w:rsid w:val="432C1DDD"/>
    <w:rsid w:val="432C2669"/>
    <w:rsid w:val="432C2862"/>
    <w:rsid w:val="432C4745"/>
    <w:rsid w:val="432D21C6"/>
    <w:rsid w:val="432D6943"/>
    <w:rsid w:val="432E43C4"/>
    <w:rsid w:val="432E7C48"/>
    <w:rsid w:val="432F1E46"/>
    <w:rsid w:val="4330314B"/>
    <w:rsid w:val="43310BCC"/>
    <w:rsid w:val="43315349"/>
    <w:rsid w:val="43322DCB"/>
    <w:rsid w:val="433272A7"/>
    <w:rsid w:val="4333084C"/>
    <w:rsid w:val="433340CF"/>
    <w:rsid w:val="43341B51"/>
    <w:rsid w:val="433462CE"/>
    <w:rsid w:val="43351583"/>
    <w:rsid w:val="433517D1"/>
    <w:rsid w:val="43361F5E"/>
    <w:rsid w:val="43372AD6"/>
    <w:rsid w:val="43380557"/>
    <w:rsid w:val="433901D7"/>
    <w:rsid w:val="43394075"/>
    <w:rsid w:val="43395FD9"/>
    <w:rsid w:val="433A6FE6"/>
    <w:rsid w:val="433B36DA"/>
    <w:rsid w:val="433B45BA"/>
    <w:rsid w:val="433B55EE"/>
    <w:rsid w:val="433C6F5D"/>
    <w:rsid w:val="433D6B67"/>
    <w:rsid w:val="433D6BDD"/>
    <w:rsid w:val="433F0C7E"/>
    <w:rsid w:val="433F11B1"/>
    <w:rsid w:val="4340181D"/>
    <w:rsid w:val="434033E5"/>
    <w:rsid w:val="43407B62"/>
    <w:rsid w:val="43410E67"/>
    <w:rsid w:val="434121F7"/>
    <w:rsid w:val="434155E3"/>
    <w:rsid w:val="43423065"/>
    <w:rsid w:val="43433935"/>
    <w:rsid w:val="4343436A"/>
    <w:rsid w:val="43441DEB"/>
    <w:rsid w:val="434444D3"/>
    <w:rsid w:val="43453FEA"/>
    <w:rsid w:val="43454EAD"/>
    <w:rsid w:val="4345786D"/>
    <w:rsid w:val="43461A6B"/>
    <w:rsid w:val="434652EE"/>
    <w:rsid w:val="43465A4C"/>
    <w:rsid w:val="43470585"/>
    <w:rsid w:val="43472D70"/>
    <w:rsid w:val="434765EB"/>
    <w:rsid w:val="43480868"/>
    <w:rsid w:val="4348798E"/>
    <w:rsid w:val="434929F0"/>
    <w:rsid w:val="43496273"/>
    <w:rsid w:val="43496D97"/>
    <w:rsid w:val="434A3CF5"/>
    <w:rsid w:val="434B10DD"/>
    <w:rsid w:val="434B1776"/>
    <w:rsid w:val="434C281A"/>
    <w:rsid w:val="434C3974"/>
    <w:rsid w:val="434D13F6"/>
    <w:rsid w:val="434D4C79"/>
    <w:rsid w:val="434D6E78"/>
    <w:rsid w:val="434E26FB"/>
    <w:rsid w:val="434E48F9"/>
    <w:rsid w:val="4350530C"/>
    <w:rsid w:val="4350713C"/>
    <w:rsid w:val="4351367F"/>
    <w:rsid w:val="43515CE6"/>
    <w:rsid w:val="43515EAA"/>
    <w:rsid w:val="435232FF"/>
    <w:rsid w:val="43526A49"/>
    <w:rsid w:val="43530D81"/>
    <w:rsid w:val="43536B83"/>
    <w:rsid w:val="43546802"/>
    <w:rsid w:val="435530CD"/>
    <w:rsid w:val="43565589"/>
    <w:rsid w:val="43571729"/>
    <w:rsid w:val="435720D9"/>
    <w:rsid w:val="4357300A"/>
    <w:rsid w:val="43592C8A"/>
    <w:rsid w:val="4359650D"/>
    <w:rsid w:val="435A3F8F"/>
    <w:rsid w:val="435B1A11"/>
    <w:rsid w:val="435B618D"/>
    <w:rsid w:val="435C3C0F"/>
    <w:rsid w:val="435C7492"/>
    <w:rsid w:val="435D1690"/>
    <w:rsid w:val="435D4F14"/>
    <w:rsid w:val="435E2995"/>
    <w:rsid w:val="435E7881"/>
    <w:rsid w:val="435F025C"/>
    <w:rsid w:val="435F0417"/>
    <w:rsid w:val="435F4B93"/>
    <w:rsid w:val="43600DFA"/>
    <w:rsid w:val="43602615"/>
    <w:rsid w:val="43610097"/>
    <w:rsid w:val="4361653B"/>
    <w:rsid w:val="43620BE0"/>
    <w:rsid w:val="4362139B"/>
    <w:rsid w:val="43622373"/>
    <w:rsid w:val="43625B18"/>
    <w:rsid w:val="43631293"/>
    <w:rsid w:val="4364101B"/>
    <w:rsid w:val="4364489E"/>
    <w:rsid w:val="4364553F"/>
    <w:rsid w:val="43652320"/>
    <w:rsid w:val="4365451E"/>
    <w:rsid w:val="4366367B"/>
    <w:rsid w:val="436653E0"/>
    <w:rsid w:val="43667DA2"/>
    <w:rsid w:val="436721C3"/>
    <w:rsid w:val="43675823"/>
    <w:rsid w:val="43683283"/>
    <w:rsid w:val="436832A5"/>
    <w:rsid w:val="436854A3"/>
    <w:rsid w:val="436865A2"/>
    <w:rsid w:val="43690D26"/>
    <w:rsid w:val="436B4229"/>
    <w:rsid w:val="436D51AE"/>
    <w:rsid w:val="436E2C30"/>
    <w:rsid w:val="436E3370"/>
    <w:rsid w:val="436F06B1"/>
    <w:rsid w:val="43704724"/>
    <w:rsid w:val="437048E9"/>
    <w:rsid w:val="43706133"/>
    <w:rsid w:val="43713BB4"/>
    <w:rsid w:val="437152C3"/>
    <w:rsid w:val="43721636"/>
    <w:rsid w:val="43725E62"/>
    <w:rsid w:val="437370B7"/>
    <w:rsid w:val="437379B1"/>
    <w:rsid w:val="43737B67"/>
    <w:rsid w:val="43744B39"/>
    <w:rsid w:val="43746378"/>
    <w:rsid w:val="43747DE7"/>
    <w:rsid w:val="437525BA"/>
    <w:rsid w:val="4378353F"/>
    <w:rsid w:val="437A3FE4"/>
    <w:rsid w:val="437A41A8"/>
    <w:rsid w:val="437B44C4"/>
    <w:rsid w:val="437B4B83"/>
    <w:rsid w:val="437C1F45"/>
    <w:rsid w:val="437D19E5"/>
    <w:rsid w:val="437D62C0"/>
    <w:rsid w:val="437D79C7"/>
    <w:rsid w:val="437E5448"/>
    <w:rsid w:val="437F2ECA"/>
    <w:rsid w:val="438003D7"/>
    <w:rsid w:val="4380094B"/>
    <w:rsid w:val="43810DB2"/>
    <w:rsid w:val="43811AB8"/>
    <w:rsid w:val="43811C6D"/>
    <w:rsid w:val="438163CD"/>
    <w:rsid w:val="43823E4F"/>
    <w:rsid w:val="438324EF"/>
    <w:rsid w:val="43832EC9"/>
    <w:rsid w:val="43835153"/>
    <w:rsid w:val="43842BD5"/>
    <w:rsid w:val="438438A3"/>
    <w:rsid w:val="43847352"/>
    <w:rsid w:val="43850656"/>
    <w:rsid w:val="43854DD3"/>
    <w:rsid w:val="438602D6"/>
    <w:rsid w:val="43862855"/>
    <w:rsid w:val="438660D8"/>
    <w:rsid w:val="43873B5A"/>
    <w:rsid w:val="43875D58"/>
    <w:rsid w:val="4389705D"/>
    <w:rsid w:val="438970F8"/>
    <w:rsid w:val="438A4ADE"/>
    <w:rsid w:val="438B7449"/>
    <w:rsid w:val="438C1210"/>
    <w:rsid w:val="438C21E0"/>
    <w:rsid w:val="438D1BEA"/>
    <w:rsid w:val="438D1DAF"/>
    <w:rsid w:val="438D34E4"/>
    <w:rsid w:val="438D5A63"/>
    <w:rsid w:val="438D7C61"/>
    <w:rsid w:val="438E0F66"/>
    <w:rsid w:val="438E56E3"/>
    <w:rsid w:val="438F69E7"/>
    <w:rsid w:val="43900BE6"/>
    <w:rsid w:val="43904469"/>
    <w:rsid w:val="43904600"/>
    <w:rsid w:val="43916667"/>
    <w:rsid w:val="4392796C"/>
    <w:rsid w:val="439475EC"/>
    <w:rsid w:val="439508F1"/>
    <w:rsid w:val="4395506D"/>
    <w:rsid w:val="43962AEF"/>
    <w:rsid w:val="43966372"/>
    <w:rsid w:val="43973DF4"/>
    <w:rsid w:val="43982048"/>
    <w:rsid w:val="43985FF2"/>
    <w:rsid w:val="43992BE7"/>
    <w:rsid w:val="439972F7"/>
    <w:rsid w:val="439A14F5"/>
    <w:rsid w:val="439A3786"/>
    <w:rsid w:val="439A4D79"/>
    <w:rsid w:val="439B27FA"/>
    <w:rsid w:val="439B6F77"/>
    <w:rsid w:val="439E377F"/>
    <w:rsid w:val="439E60B3"/>
    <w:rsid w:val="439E6E16"/>
    <w:rsid w:val="439F1200"/>
    <w:rsid w:val="43A001CA"/>
    <w:rsid w:val="43A00E80"/>
    <w:rsid w:val="43A06C82"/>
    <w:rsid w:val="43A10F2E"/>
    <w:rsid w:val="43A144D7"/>
    <w:rsid w:val="43A14703"/>
    <w:rsid w:val="43A22185"/>
    <w:rsid w:val="43A31E05"/>
    <w:rsid w:val="43A322E2"/>
    <w:rsid w:val="43A324A6"/>
    <w:rsid w:val="43A34F66"/>
    <w:rsid w:val="43A37C06"/>
    <w:rsid w:val="43A45688"/>
    <w:rsid w:val="43A5310A"/>
    <w:rsid w:val="43A62D89"/>
    <w:rsid w:val="43A643FA"/>
    <w:rsid w:val="43A645BE"/>
    <w:rsid w:val="43A7080B"/>
    <w:rsid w:val="43A7408E"/>
    <w:rsid w:val="43A81B10"/>
    <w:rsid w:val="43A93D0E"/>
    <w:rsid w:val="43A96511"/>
    <w:rsid w:val="43AA1790"/>
    <w:rsid w:val="43AA5013"/>
    <w:rsid w:val="43AB2A94"/>
    <w:rsid w:val="43AB7A8A"/>
    <w:rsid w:val="43AC0516"/>
    <w:rsid w:val="43AC07ED"/>
    <w:rsid w:val="43AD11C7"/>
    <w:rsid w:val="43AD1BA2"/>
    <w:rsid w:val="43AD2714"/>
    <w:rsid w:val="43AD5F98"/>
    <w:rsid w:val="43AE0196"/>
    <w:rsid w:val="43AE2740"/>
    <w:rsid w:val="43AE3A19"/>
    <w:rsid w:val="43AE647A"/>
    <w:rsid w:val="43AF149B"/>
    <w:rsid w:val="43AF5C17"/>
    <w:rsid w:val="43AF701F"/>
    <w:rsid w:val="43B03699"/>
    <w:rsid w:val="43B03CB9"/>
    <w:rsid w:val="43B03E7E"/>
    <w:rsid w:val="43B06F1C"/>
    <w:rsid w:val="43B1111A"/>
    <w:rsid w:val="43B2241F"/>
    <w:rsid w:val="43B253F6"/>
    <w:rsid w:val="43B26B9C"/>
    <w:rsid w:val="43B45922"/>
    <w:rsid w:val="43B47230"/>
    <w:rsid w:val="43B63024"/>
    <w:rsid w:val="43B655A2"/>
    <w:rsid w:val="43B70AA5"/>
    <w:rsid w:val="43B81461"/>
    <w:rsid w:val="43B81625"/>
    <w:rsid w:val="43B86527"/>
    <w:rsid w:val="43B91DAA"/>
    <w:rsid w:val="43BA782C"/>
    <w:rsid w:val="43BB4117"/>
    <w:rsid w:val="43BB52AD"/>
    <w:rsid w:val="43BC4F2D"/>
    <w:rsid w:val="43BD29AF"/>
    <w:rsid w:val="43BE0430"/>
    <w:rsid w:val="43BE3CB3"/>
    <w:rsid w:val="43BE6232"/>
    <w:rsid w:val="43BF1735"/>
    <w:rsid w:val="43BF6DCD"/>
    <w:rsid w:val="43C071B6"/>
    <w:rsid w:val="43C0796C"/>
    <w:rsid w:val="43C10182"/>
    <w:rsid w:val="43C14C38"/>
    <w:rsid w:val="43C20EE5"/>
    <w:rsid w:val="43C21C49"/>
    <w:rsid w:val="43C226BA"/>
    <w:rsid w:val="43C3013B"/>
    <w:rsid w:val="43C42038"/>
    <w:rsid w:val="43C42299"/>
    <w:rsid w:val="43C42339"/>
    <w:rsid w:val="43C4245E"/>
    <w:rsid w:val="43C4431A"/>
    <w:rsid w:val="43C5363E"/>
    <w:rsid w:val="43C6583D"/>
    <w:rsid w:val="43C743B1"/>
    <w:rsid w:val="43C74575"/>
    <w:rsid w:val="43C80D40"/>
    <w:rsid w:val="43C845C3"/>
    <w:rsid w:val="43C85AEE"/>
    <w:rsid w:val="43C964C9"/>
    <w:rsid w:val="43C967C1"/>
    <w:rsid w:val="43CA4243"/>
    <w:rsid w:val="43CB1CC4"/>
    <w:rsid w:val="43CC05E0"/>
    <w:rsid w:val="43CC7746"/>
    <w:rsid w:val="43CD0A4B"/>
    <w:rsid w:val="43CD117F"/>
    <w:rsid w:val="43CE1B59"/>
    <w:rsid w:val="43CE2C49"/>
    <w:rsid w:val="43CE64CC"/>
    <w:rsid w:val="43CF3F4E"/>
    <w:rsid w:val="43CF7E17"/>
    <w:rsid w:val="43D13E35"/>
    <w:rsid w:val="43D2655C"/>
    <w:rsid w:val="43D403D5"/>
    <w:rsid w:val="43D4331E"/>
    <w:rsid w:val="43D51496"/>
    <w:rsid w:val="43D6135A"/>
    <w:rsid w:val="43D76DDC"/>
    <w:rsid w:val="43D80310"/>
    <w:rsid w:val="43D922DF"/>
    <w:rsid w:val="43D97A84"/>
    <w:rsid w:val="43DA2B56"/>
    <w:rsid w:val="43DD0CE5"/>
    <w:rsid w:val="43DE5648"/>
    <w:rsid w:val="43DF41E8"/>
    <w:rsid w:val="43DF63AB"/>
    <w:rsid w:val="43E06BC0"/>
    <w:rsid w:val="43E176EB"/>
    <w:rsid w:val="43E17924"/>
    <w:rsid w:val="43E52DF0"/>
    <w:rsid w:val="43E52FB4"/>
    <w:rsid w:val="43E71B8B"/>
    <w:rsid w:val="43E71D40"/>
    <w:rsid w:val="43E71EF6"/>
    <w:rsid w:val="43E72261"/>
    <w:rsid w:val="43E7452D"/>
    <w:rsid w:val="43E828F9"/>
    <w:rsid w:val="43E87076"/>
    <w:rsid w:val="43E94AF8"/>
    <w:rsid w:val="43E95C6A"/>
    <w:rsid w:val="43EA2579"/>
    <w:rsid w:val="43EA5DFC"/>
    <w:rsid w:val="43EB1D58"/>
    <w:rsid w:val="43EB7FFB"/>
    <w:rsid w:val="43ED34FE"/>
    <w:rsid w:val="43EF1CD5"/>
    <w:rsid w:val="43F01F04"/>
    <w:rsid w:val="43F02CAE"/>
    <w:rsid w:val="43F07D06"/>
    <w:rsid w:val="43F17986"/>
    <w:rsid w:val="43F23209"/>
    <w:rsid w:val="43F25407"/>
    <w:rsid w:val="43F32E89"/>
    <w:rsid w:val="43F35365"/>
    <w:rsid w:val="43F45F04"/>
    <w:rsid w:val="43F5638C"/>
    <w:rsid w:val="43F56AA3"/>
    <w:rsid w:val="43F61C0F"/>
    <w:rsid w:val="43F63E0D"/>
    <w:rsid w:val="43F6747D"/>
    <w:rsid w:val="43F67691"/>
    <w:rsid w:val="43F7001B"/>
    <w:rsid w:val="43F7188F"/>
    <w:rsid w:val="43F72B79"/>
    <w:rsid w:val="43F82B94"/>
    <w:rsid w:val="43F90615"/>
    <w:rsid w:val="43FA1F6F"/>
    <w:rsid w:val="43FA2813"/>
    <w:rsid w:val="43FA6097"/>
    <w:rsid w:val="43FD4086"/>
    <w:rsid w:val="43FD424B"/>
    <w:rsid w:val="43FD701B"/>
    <w:rsid w:val="43FE121A"/>
    <w:rsid w:val="43FE4A9D"/>
    <w:rsid w:val="43FF55FF"/>
    <w:rsid w:val="44007FA0"/>
    <w:rsid w:val="4401219E"/>
    <w:rsid w:val="44027C20"/>
    <w:rsid w:val="44030E54"/>
    <w:rsid w:val="4404182E"/>
    <w:rsid w:val="440467DA"/>
    <w:rsid w:val="44050BA5"/>
    <w:rsid w:val="440523CD"/>
    <w:rsid w:val="44052591"/>
    <w:rsid w:val="44054428"/>
    <w:rsid w:val="44055F4E"/>
    <w:rsid w:val="44062F6B"/>
    <w:rsid w:val="440656C2"/>
    <w:rsid w:val="44066626"/>
    <w:rsid w:val="44071B29"/>
    <w:rsid w:val="4407792B"/>
    <w:rsid w:val="440844E4"/>
    <w:rsid w:val="440853AC"/>
    <w:rsid w:val="44092E2E"/>
    <w:rsid w:val="44094EBE"/>
    <w:rsid w:val="4409502C"/>
    <w:rsid w:val="44095083"/>
    <w:rsid w:val="440A08B0"/>
    <w:rsid w:val="440A15E0"/>
    <w:rsid w:val="440A2AAE"/>
    <w:rsid w:val="440A5C22"/>
    <w:rsid w:val="440B052F"/>
    <w:rsid w:val="440B6331"/>
    <w:rsid w:val="440C5FB1"/>
    <w:rsid w:val="440C6FD6"/>
    <w:rsid w:val="440C719A"/>
    <w:rsid w:val="440C7D39"/>
    <w:rsid w:val="440D1834"/>
    <w:rsid w:val="440D3A32"/>
    <w:rsid w:val="440E14B4"/>
    <w:rsid w:val="440E72B6"/>
    <w:rsid w:val="4410023A"/>
    <w:rsid w:val="44113205"/>
    <w:rsid w:val="44115CBC"/>
    <w:rsid w:val="44134942"/>
    <w:rsid w:val="441433BD"/>
    <w:rsid w:val="4414531D"/>
    <w:rsid w:val="44146C41"/>
    <w:rsid w:val="44155EBB"/>
    <w:rsid w:val="441655A2"/>
    <w:rsid w:val="441668C0"/>
    <w:rsid w:val="44166A5A"/>
    <w:rsid w:val="44181DC4"/>
    <w:rsid w:val="44185647"/>
    <w:rsid w:val="441930C8"/>
    <w:rsid w:val="44197845"/>
    <w:rsid w:val="441A0B4A"/>
    <w:rsid w:val="441D4202"/>
    <w:rsid w:val="441D624B"/>
    <w:rsid w:val="441E3CCD"/>
    <w:rsid w:val="441E499E"/>
    <w:rsid w:val="441E726E"/>
    <w:rsid w:val="441E7550"/>
    <w:rsid w:val="441F4FD2"/>
    <w:rsid w:val="441F71D0"/>
    <w:rsid w:val="44202A53"/>
    <w:rsid w:val="44204C51"/>
    <w:rsid w:val="4420631A"/>
    <w:rsid w:val="442104D5"/>
    <w:rsid w:val="442126D3"/>
    <w:rsid w:val="442135DE"/>
    <w:rsid w:val="44213949"/>
    <w:rsid w:val="44216CF4"/>
    <w:rsid w:val="44220155"/>
    <w:rsid w:val="44230431"/>
    <w:rsid w:val="4423215B"/>
    <w:rsid w:val="44235BD6"/>
    <w:rsid w:val="44241459"/>
    <w:rsid w:val="44243658"/>
    <w:rsid w:val="442517E5"/>
    <w:rsid w:val="44266B5B"/>
    <w:rsid w:val="442723DE"/>
    <w:rsid w:val="44277E60"/>
    <w:rsid w:val="4428205E"/>
    <w:rsid w:val="44283AC1"/>
    <w:rsid w:val="442858E1"/>
    <w:rsid w:val="44293363"/>
    <w:rsid w:val="4429449C"/>
    <w:rsid w:val="4429503A"/>
    <w:rsid w:val="442B2FE3"/>
    <w:rsid w:val="442C42E7"/>
    <w:rsid w:val="44301C44"/>
    <w:rsid w:val="44301E08"/>
    <w:rsid w:val="44302CEE"/>
    <w:rsid w:val="4430746A"/>
    <w:rsid w:val="443127E2"/>
    <w:rsid w:val="44314AEE"/>
    <w:rsid w:val="4432296D"/>
    <w:rsid w:val="443303EF"/>
    <w:rsid w:val="44333C72"/>
    <w:rsid w:val="443416F4"/>
    <w:rsid w:val="443448FA"/>
    <w:rsid w:val="443538F2"/>
    <w:rsid w:val="44355BC3"/>
    <w:rsid w:val="44357175"/>
    <w:rsid w:val="44365E73"/>
    <w:rsid w:val="44366A11"/>
    <w:rsid w:val="443773EC"/>
    <w:rsid w:val="44387F8A"/>
    <w:rsid w:val="44395B7B"/>
    <w:rsid w:val="443A35FD"/>
    <w:rsid w:val="443C6B00"/>
    <w:rsid w:val="443D37DF"/>
    <w:rsid w:val="443D4582"/>
    <w:rsid w:val="443E2003"/>
    <w:rsid w:val="443E7EC2"/>
    <w:rsid w:val="443F4B94"/>
    <w:rsid w:val="443F7A85"/>
    <w:rsid w:val="44402F88"/>
    <w:rsid w:val="44410A09"/>
    <w:rsid w:val="4442648B"/>
    <w:rsid w:val="44433F0D"/>
    <w:rsid w:val="44440F87"/>
    <w:rsid w:val="44457410"/>
    <w:rsid w:val="44464E91"/>
    <w:rsid w:val="44472913"/>
    <w:rsid w:val="44480394"/>
    <w:rsid w:val="44494453"/>
    <w:rsid w:val="44495E16"/>
    <w:rsid w:val="444B1319"/>
    <w:rsid w:val="444C6D9A"/>
    <w:rsid w:val="444D481C"/>
    <w:rsid w:val="444E1AA8"/>
    <w:rsid w:val="444E229E"/>
    <w:rsid w:val="444E3E15"/>
    <w:rsid w:val="444E5B21"/>
    <w:rsid w:val="444F7D1F"/>
    <w:rsid w:val="445057A1"/>
    <w:rsid w:val="44513222"/>
    <w:rsid w:val="4452279A"/>
    <w:rsid w:val="44531FA9"/>
    <w:rsid w:val="44536725"/>
    <w:rsid w:val="44547A2A"/>
    <w:rsid w:val="445676AA"/>
    <w:rsid w:val="4457512C"/>
    <w:rsid w:val="44586430"/>
    <w:rsid w:val="44590106"/>
    <w:rsid w:val="445906FB"/>
    <w:rsid w:val="445960B0"/>
    <w:rsid w:val="445A1933"/>
    <w:rsid w:val="445A3B32"/>
    <w:rsid w:val="445B15B3"/>
    <w:rsid w:val="445B167F"/>
    <w:rsid w:val="445B73B5"/>
    <w:rsid w:val="445C4E37"/>
    <w:rsid w:val="445D28B8"/>
    <w:rsid w:val="445D2BF8"/>
    <w:rsid w:val="445D34D8"/>
    <w:rsid w:val="445D4AB6"/>
    <w:rsid w:val="445E2538"/>
    <w:rsid w:val="445F7FB9"/>
    <w:rsid w:val="446012BE"/>
    <w:rsid w:val="446016ED"/>
    <w:rsid w:val="446058AE"/>
    <w:rsid w:val="44605A3B"/>
    <w:rsid w:val="446134BD"/>
    <w:rsid w:val="44616288"/>
    <w:rsid w:val="44620F3E"/>
    <w:rsid w:val="446247C1"/>
    <w:rsid w:val="44632243"/>
    <w:rsid w:val="44637801"/>
    <w:rsid w:val="44647CC4"/>
    <w:rsid w:val="44650F3F"/>
    <w:rsid w:val="44661ADD"/>
    <w:rsid w:val="44667944"/>
    <w:rsid w:val="44670C49"/>
    <w:rsid w:val="446753C6"/>
    <w:rsid w:val="44682E47"/>
    <w:rsid w:val="446908C9"/>
    <w:rsid w:val="44697430"/>
    <w:rsid w:val="446A7138"/>
    <w:rsid w:val="446B4FA9"/>
    <w:rsid w:val="446B516E"/>
    <w:rsid w:val="446B66F7"/>
    <w:rsid w:val="446B764F"/>
    <w:rsid w:val="446C50D1"/>
    <w:rsid w:val="446C5B48"/>
    <w:rsid w:val="446D6522"/>
    <w:rsid w:val="446E4D51"/>
    <w:rsid w:val="446F0254"/>
    <w:rsid w:val="446F07FE"/>
    <w:rsid w:val="4470139D"/>
    <w:rsid w:val="44703AD7"/>
    <w:rsid w:val="44705CD5"/>
    <w:rsid w:val="44711559"/>
    <w:rsid w:val="447268EA"/>
    <w:rsid w:val="447332F0"/>
    <w:rsid w:val="447366D6"/>
    <w:rsid w:val="447424DD"/>
    <w:rsid w:val="44743CCA"/>
    <w:rsid w:val="447446DC"/>
    <w:rsid w:val="44754869"/>
    <w:rsid w:val="44756528"/>
    <w:rsid w:val="447659E0"/>
    <w:rsid w:val="44767BDF"/>
    <w:rsid w:val="44770EE3"/>
    <w:rsid w:val="44773462"/>
    <w:rsid w:val="44775660"/>
    <w:rsid w:val="447830E2"/>
    <w:rsid w:val="44786965"/>
    <w:rsid w:val="44786B45"/>
    <w:rsid w:val="44790B63"/>
    <w:rsid w:val="4479108A"/>
    <w:rsid w:val="4479751F"/>
    <w:rsid w:val="447A7F72"/>
    <w:rsid w:val="447B0A98"/>
    <w:rsid w:val="447B78EA"/>
    <w:rsid w:val="447C2011"/>
    <w:rsid w:val="447C536B"/>
    <w:rsid w:val="447E4FEB"/>
    <w:rsid w:val="447F2A6D"/>
    <w:rsid w:val="44826240"/>
    <w:rsid w:val="44827275"/>
    <w:rsid w:val="44834CF6"/>
    <w:rsid w:val="44842778"/>
    <w:rsid w:val="448501F9"/>
    <w:rsid w:val="44854976"/>
    <w:rsid w:val="44865C7B"/>
    <w:rsid w:val="448736FC"/>
    <w:rsid w:val="44873D87"/>
    <w:rsid w:val="4488117E"/>
    <w:rsid w:val="44883190"/>
    <w:rsid w:val="448858FB"/>
    <w:rsid w:val="44890DFE"/>
    <w:rsid w:val="44892E49"/>
    <w:rsid w:val="44896BFF"/>
    <w:rsid w:val="448B2102"/>
    <w:rsid w:val="448B4301"/>
    <w:rsid w:val="448B4F61"/>
    <w:rsid w:val="448B5125"/>
    <w:rsid w:val="448C1D82"/>
    <w:rsid w:val="448E5285"/>
    <w:rsid w:val="44900788"/>
    <w:rsid w:val="44911190"/>
    <w:rsid w:val="4491620A"/>
    <w:rsid w:val="44921D2E"/>
    <w:rsid w:val="44923C8C"/>
    <w:rsid w:val="4492750F"/>
    <w:rsid w:val="4493170D"/>
    <w:rsid w:val="449328CD"/>
    <w:rsid w:val="44934F90"/>
    <w:rsid w:val="449432A7"/>
    <w:rsid w:val="4494718F"/>
    <w:rsid w:val="44954C10"/>
    <w:rsid w:val="44962692"/>
    <w:rsid w:val="44965F15"/>
    <w:rsid w:val="44973997"/>
    <w:rsid w:val="44981418"/>
    <w:rsid w:val="44993616"/>
    <w:rsid w:val="44996E9A"/>
    <w:rsid w:val="449A1098"/>
    <w:rsid w:val="449A491B"/>
    <w:rsid w:val="449B0A4F"/>
    <w:rsid w:val="449D1FC8"/>
    <w:rsid w:val="449D58A0"/>
    <w:rsid w:val="449E1A23"/>
    <w:rsid w:val="449F0DA3"/>
    <w:rsid w:val="44A042A4"/>
    <w:rsid w:val="44A142A6"/>
    <w:rsid w:val="44A14C7E"/>
    <w:rsid w:val="44A14E43"/>
    <w:rsid w:val="44A377A9"/>
    <w:rsid w:val="44A5030F"/>
    <w:rsid w:val="44A504D3"/>
    <w:rsid w:val="44A6072E"/>
    <w:rsid w:val="44A60EAD"/>
    <w:rsid w:val="44A660D0"/>
    <w:rsid w:val="44A97134"/>
    <w:rsid w:val="44AA399F"/>
    <w:rsid w:val="44AA3B64"/>
    <w:rsid w:val="44AC00B9"/>
    <w:rsid w:val="44AD5B3A"/>
    <w:rsid w:val="44AE35BC"/>
    <w:rsid w:val="44AE681A"/>
    <w:rsid w:val="44AF71F4"/>
    <w:rsid w:val="44B06ABF"/>
    <w:rsid w:val="44B07702"/>
    <w:rsid w:val="44B21CE6"/>
    <w:rsid w:val="44B3209C"/>
    <w:rsid w:val="44B32884"/>
    <w:rsid w:val="44B32ADD"/>
    <w:rsid w:val="44B40D48"/>
    <w:rsid w:val="44B53FC2"/>
    <w:rsid w:val="44B567CA"/>
    <w:rsid w:val="44B6424B"/>
    <w:rsid w:val="44B74D42"/>
    <w:rsid w:val="44B75376"/>
    <w:rsid w:val="44B7553B"/>
    <w:rsid w:val="44B7644A"/>
    <w:rsid w:val="44B83ECB"/>
    <w:rsid w:val="44B9194D"/>
    <w:rsid w:val="44B951CC"/>
    <w:rsid w:val="44B96AB4"/>
    <w:rsid w:val="44BA2C52"/>
    <w:rsid w:val="44BB06D3"/>
    <w:rsid w:val="44BC6155"/>
    <w:rsid w:val="44BD0353"/>
    <w:rsid w:val="44BD176A"/>
    <w:rsid w:val="44BD3BD6"/>
    <w:rsid w:val="44BE1658"/>
    <w:rsid w:val="44BF2B1E"/>
    <w:rsid w:val="44BF3856"/>
    <w:rsid w:val="44BF3881"/>
    <w:rsid w:val="44BF70D9"/>
    <w:rsid w:val="44C012D8"/>
    <w:rsid w:val="44C0425C"/>
    <w:rsid w:val="44C06D59"/>
    <w:rsid w:val="44C125DD"/>
    <w:rsid w:val="44C2005E"/>
    <w:rsid w:val="44C2225C"/>
    <w:rsid w:val="44C257D4"/>
    <w:rsid w:val="44C33761"/>
    <w:rsid w:val="44C35AE0"/>
    <w:rsid w:val="44C43561"/>
    <w:rsid w:val="44C4575F"/>
    <w:rsid w:val="44C531E1"/>
    <w:rsid w:val="44C578EC"/>
    <w:rsid w:val="44C602C6"/>
    <w:rsid w:val="44C60C63"/>
    <w:rsid w:val="44C66A64"/>
    <w:rsid w:val="44C744E6"/>
    <w:rsid w:val="44C766E4"/>
    <w:rsid w:val="44C91BE7"/>
    <w:rsid w:val="44C9546A"/>
    <w:rsid w:val="44CA3141"/>
    <w:rsid w:val="44CA7669"/>
    <w:rsid w:val="44CB096E"/>
    <w:rsid w:val="44CC46BA"/>
    <w:rsid w:val="44CD14E0"/>
    <w:rsid w:val="44CD3E71"/>
    <w:rsid w:val="44CE18F2"/>
    <w:rsid w:val="44CE67D1"/>
    <w:rsid w:val="44CF3AF0"/>
    <w:rsid w:val="44CF78E2"/>
    <w:rsid w:val="44D01572"/>
    <w:rsid w:val="44D04DF5"/>
    <w:rsid w:val="44D07D4A"/>
    <w:rsid w:val="44D12877"/>
    <w:rsid w:val="44D24A75"/>
    <w:rsid w:val="44D30CA3"/>
    <w:rsid w:val="44D437FB"/>
    <w:rsid w:val="44D47F78"/>
    <w:rsid w:val="44D5127D"/>
    <w:rsid w:val="44D84400"/>
    <w:rsid w:val="44D8532E"/>
    <w:rsid w:val="44D8697E"/>
    <w:rsid w:val="44D97C83"/>
    <w:rsid w:val="44DA5705"/>
    <w:rsid w:val="44DB3186"/>
    <w:rsid w:val="44DB7445"/>
    <w:rsid w:val="44DB7FE4"/>
    <w:rsid w:val="44DC2E06"/>
    <w:rsid w:val="44DE167D"/>
    <w:rsid w:val="44DE1B9E"/>
    <w:rsid w:val="44DE1F09"/>
    <w:rsid w:val="44DE22C0"/>
    <w:rsid w:val="44DF0DF1"/>
    <w:rsid w:val="44DF0FA7"/>
    <w:rsid w:val="44DF2AD6"/>
    <w:rsid w:val="44DF3D8B"/>
    <w:rsid w:val="44E05090"/>
    <w:rsid w:val="44E0760E"/>
    <w:rsid w:val="44E24D0F"/>
    <w:rsid w:val="44E24DB2"/>
    <w:rsid w:val="44E63716"/>
    <w:rsid w:val="44E66F99"/>
    <w:rsid w:val="44E67A68"/>
    <w:rsid w:val="44E71197"/>
    <w:rsid w:val="44E74A1A"/>
    <w:rsid w:val="44E81B7F"/>
    <w:rsid w:val="44E919BB"/>
    <w:rsid w:val="44E9469A"/>
    <w:rsid w:val="44EA30F8"/>
    <w:rsid w:val="44EA599F"/>
    <w:rsid w:val="44EB3421"/>
    <w:rsid w:val="44EC0EA2"/>
    <w:rsid w:val="44EC561F"/>
    <w:rsid w:val="44ED4010"/>
    <w:rsid w:val="44ED6924"/>
    <w:rsid w:val="44EE0B22"/>
    <w:rsid w:val="44EF1A75"/>
    <w:rsid w:val="44EF24B6"/>
    <w:rsid w:val="44F07163"/>
    <w:rsid w:val="44F11AA7"/>
    <w:rsid w:val="44F1532A"/>
    <w:rsid w:val="44F206DC"/>
    <w:rsid w:val="44F20B0B"/>
    <w:rsid w:val="44F22DAC"/>
    <w:rsid w:val="44F27385"/>
    <w:rsid w:val="44F41E19"/>
    <w:rsid w:val="44F42526"/>
    <w:rsid w:val="44F462AF"/>
    <w:rsid w:val="44F529B8"/>
    <w:rsid w:val="44F53D30"/>
    <w:rsid w:val="44F55F2E"/>
    <w:rsid w:val="44F617B2"/>
    <w:rsid w:val="44F63392"/>
    <w:rsid w:val="44F639B0"/>
    <w:rsid w:val="44F63F31"/>
    <w:rsid w:val="44F77233"/>
    <w:rsid w:val="44F92736"/>
    <w:rsid w:val="44F95E84"/>
    <w:rsid w:val="44FA23B6"/>
    <w:rsid w:val="44FB36BB"/>
    <w:rsid w:val="44FB6637"/>
    <w:rsid w:val="44FB7E38"/>
    <w:rsid w:val="44FC58B9"/>
    <w:rsid w:val="44FC5BF6"/>
    <w:rsid w:val="44FD333B"/>
    <w:rsid w:val="44FD6BBE"/>
    <w:rsid w:val="44FE0DBC"/>
    <w:rsid w:val="44FE4252"/>
    <w:rsid w:val="44FE4640"/>
    <w:rsid w:val="44FF20C1"/>
    <w:rsid w:val="44FF2277"/>
    <w:rsid w:val="450042C0"/>
    <w:rsid w:val="45007B43"/>
    <w:rsid w:val="450155C4"/>
    <w:rsid w:val="45023046"/>
    <w:rsid w:val="4502438F"/>
    <w:rsid w:val="45043AB2"/>
    <w:rsid w:val="45046549"/>
    <w:rsid w:val="45053FCB"/>
    <w:rsid w:val="450665E4"/>
    <w:rsid w:val="4506785B"/>
    <w:rsid w:val="450929D1"/>
    <w:rsid w:val="450A0452"/>
    <w:rsid w:val="450C3955"/>
    <w:rsid w:val="450C66C4"/>
    <w:rsid w:val="450E6E58"/>
    <w:rsid w:val="450F48DA"/>
    <w:rsid w:val="4510235C"/>
    <w:rsid w:val="45104466"/>
    <w:rsid w:val="45117DDD"/>
    <w:rsid w:val="45120858"/>
    <w:rsid w:val="45124285"/>
    <w:rsid w:val="451459F0"/>
    <w:rsid w:val="45161CE6"/>
    <w:rsid w:val="45177768"/>
    <w:rsid w:val="451851EA"/>
    <w:rsid w:val="45192845"/>
    <w:rsid w:val="45195625"/>
    <w:rsid w:val="451A06ED"/>
    <w:rsid w:val="451A18E2"/>
    <w:rsid w:val="451B19F1"/>
    <w:rsid w:val="451B616E"/>
    <w:rsid w:val="451C7579"/>
    <w:rsid w:val="451D4EF5"/>
    <w:rsid w:val="451D7F53"/>
    <w:rsid w:val="451E0AF1"/>
    <w:rsid w:val="451E2976"/>
    <w:rsid w:val="451E70F3"/>
    <w:rsid w:val="451F222F"/>
    <w:rsid w:val="451F4B74"/>
    <w:rsid w:val="452025F6"/>
    <w:rsid w:val="45205E79"/>
    <w:rsid w:val="45210077"/>
    <w:rsid w:val="4522137C"/>
    <w:rsid w:val="45224182"/>
    <w:rsid w:val="45225AF9"/>
    <w:rsid w:val="4523357B"/>
    <w:rsid w:val="45236DFE"/>
    <w:rsid w:val="4524487F"/>
    <w:rsid w:val="452456FB"/>
    <w:rsid w:val="45256299"/>
    <w:rsid w:val="45267D82"/>
    <w:rsid w:val="45271F81"/>
    <w:rsid w:val="45275022"/>
    <w:rsid w:val="45275543"/>
    <w:rsid w:val="45275804"/>
    <w:rsid w:val="45277812"/>
    <w:rsid w:val="45283286"/>
    <w:rsid w:val="452840C0"/>
    <w:rsid w:val="45284275"/>
    <w:rsid w:val="452845E0"/>
    <w:rsid w:val="45287A02"/>
    <w:rsid w:val="45290D07"/>
    <w:rsid w:val="45290F50"/>
    <w:rsid w:val="4529115C"/>
    <w:rsid w:val="45293313"/>
    <w:rsid w:val="45295484"/>
    <w:rsid w:val="452B420A"/>
    <w:rsid w:val="452B6409"/>
    <w:rsid w:val="452C1C8C"/>
    <w:rsid w:val="452D190C"/>
    <w:rsid w:val="452D3C06"/>
    <w:rsid w:val="452D770D"/>
    <w:rsid w:val="452E5F4C"/>
    <w:rsid w:val="452E738D"/>
    <w:rsid w:val="452E780E"/>
    <w:rsid w:val="452F2C10"/>
    <w:rsid w:val="452F4E0F"/>
    <w:rsid w:val="45310312"/>
    <w:rsid w:val="45313B95"/>
    <w:rsid w:val="45321617"/>
    <w:rsid w:val="45327C70"/>
    <w:rsid w:val="4533080F"/>
    <w:rsid w:val="45333815"/>
    <w:rsid w:val="45337098"/>
    <w:rsid w:val="45341296"/>
    <w:rsid w:val="453413AE"/>
    <w:rsid w:val="45351D88"/>
    <w:rsid w:val="45351F4C"/>
    <w:rsid w:val="4535259B"/>
    <w:rsid w:val="45356D18"/>
    <w:rsid w:val="4536001D"/>
    <w:rsid w:val="45373301"/>
    <w:rsid w:val="4537689D"/>
    <w:rsid w:val="45383520"/>
    <w:rsid w:val="45390FA1"/>
    <w:rsid w:val="4539549E"/>
    <w:rsid w:val="4539571E"/>
    <w:rsid w:val="45397B98"/>
    <w:rsid w:val="453A55DD"/>
    <w:rsid w:val="453A6A23"/>
    <w:rsid w:val="453B0C21"/>
    <w:rsid w:val="453B44A5"/>
    <w:rsid w:val="453B6B56"/>
    <w:rsid w:val="453C6A5A"/>
    <w:rsid w:val="453C7530"/>
    <w:rsid w:val="453C76F4"/>
    <w:rsid w:val="453D4124"/>
    <w:rsid w:val="453E5429"/>
    <w:rsid w:val="453E7B2C"/>
    <w:rsid w:val="453F1647"/>
    <w:rsid w:val="453F2EAB"/>
    <w:rsid w:val="4540092C"/>
    <w:rsid w:val="45412B2B"/>
    <w:rsid w:val="4542602E"/>
    <w:rsid w:val="45434139"/>
    <w:rsid w:val="45444CD8"/>
    <w:rsid w:val="45444E9C"/>
    <w:rsid w:val="45447333"/>
    <w:rsid w:val="45454DB4"/>
    <w:rsid w:val="45455877"/>
    <w:rsid w:val="45456FB2"/>
    <w:rsid w:val="45464A34"/>
    <w:rsid w:val="45467BF7"/>
    <w:rsid w:val="45485D39"/>
    <w:rsid w:val="45487F37"/>
    <w:rsid w:val="454937BA"/>
    <w:rsid w:val="454959B9"/>
    <w:rsid w:val="454A343A"/>
    <w:rsid w:val="454A6CBD"/>
    <w:rsid w:val="454B0EBC"/>
    <w:rsid w:val="454B2480"/>
    <w:rsid w:val="454B473F"/>
    <w:rsid w:val="454C21C0"/>
    <w:rsid w:val="454C693D"/>
    <w:rsid w:val="454F3145"/>
    <w:rsid w:val="45500BC7"/>
    <w:rsid w:val="45505343"/>
    <w:rsid w:val="45520847"/>
    <w:rsid w:val="45531B4B"/>
    <w:rsid w:val="455362C8"/>
    <w:rsid w:val="45537C28"/>
    <w:rsid w:val="45537DEC"/>
    <w:rsid w:val="4554098B"/>
    <w:rsid w:val="455517CB"/>
    <w:rsid w:val="45562AD0"/>
    <w:rsid w:val="4556724D"/>
    <w:rsid w:val="45570552"/>
    <w:rsid w:val="4557299B"/>
    <w:rsid w:val="45582750"/>
    <w:rsid w:val="455901D1"/>
    <w:rsid w:val="455A14D6"/>
    <w:rsid w:val="455A36D4"/>
    <w:rsid w:val="455A53D0"/>
    <w:rsid w:val="455B1156"/>
    <w:rsid w:val="455B164D"/>
    <w:rsid w:val="455B5F6E"/>
    <w:rsid w:val="455B6133"/>
    <w:rsid w:val="455B6F58"/>
    <w:rsid w:val="455C32C3"/>
    <w:rsid w:val="455C49D9"/>
    <w:rsid w:val="455D4659"/>
    <w:rsid w:val="455E0086"/>
    <w:rsid w:val="455E024A"/>
    <w:rsid w:val="455E5698"/>
    <w:rsid w:val="455E7EDC"/>
    <w:rsid w:val="455F0C25"/>
    <w:rsid w:val="455F7B5C"/>
    <w:rsid w:val="456055DE"/>
    <w:rsid w:val="45612018"/>
    <w:rsid w:val="45614FDD"/>
    <w:rsid w:val="456168E3"/>
    <w:rsid w:val="45620AE1"/>
    <w:rsid w:val="45624364"/>
    <w:rsid w:val="45643FE4"/>
    <w:rsid w:val="45644E54"/>
    <w:rsid w:val="45647867"/>
    <w:rsid w:val="45651A65"/>
    <w:rsid w:val="45662D6A"/>
    <w:rsid w:val="456674E7"/>
    <w:rsid w:val="45676DA7"/>
    <w:rsid w:val="45685D52"/>
    <w:rsid w:val="4568626D"/>
    <w:rsid w:val="45687946"/>
    <w:rsid w:val="45690320"/>
    <w:rsid w:val="456B4496"/>
    <w:rsid w:val="456C4C74"/>
    <w:rsid w:val="456D26F5"/>
    <w:rsid w:val="456F5BF8"/>
    <w:rsid w:val="457050EE"/>
    <w:rsid w:val="457052B2"/>
    <w:rsid w:val="45717DCF"/>
    <w:rsid w:val="45726B02"/>
    <w:rsid w:val="457271D8"/>
    <w:rsid w:val="457345FE"/>
    <w:rsid w:val="45737205"/>
    <w:rsid w:val="45737BDF"/>
    <w:rsid w:val="4574077E"/>
    <w:rsid w:val="45757B02"/>
    <w:rsid w:val="45761CF7"/>
    <w:rsid w:val="45772A5A"/>
    <w:rsid w:val="45773005"/>
    <w:rsid w:val="45780A86"/>
    <w:rsid w:val="45783434"/>
    <w:rsid w:val="45796508"/>
    <w:rsid w:val="457A3F89"/>
    <w:rsid w:val="457B554C"/>
    <w:rsid w:val="457C4F0E"/>
    <w:rsid w:val="457D6C89"/>
    <w:rsid w:val="457E7663"/>
    <w:rsid w:val="457F003D"/>
    <w:rsid w:val="457F2C28"/>
    <w:rsid w:val="457F2C83"/>
    <w:rsid w:val="457F3A42"/>
    <w:rsid w:val="45810F74"/>
    <w:rsid w:val="45811396"/>
    <w:rsid w:val="45812155"/>
    <w:rsid w:val="45812319"/>
    <w:rsid w:val="45817197"/>
    <w:rsid w:val="45824C19"/>
    <w:rsid w:val="4583011C"/>
    <w:rsid w:val="458336CE"/>
    <w:rsid w:val="4584231A"/>
    <w:rsid w:val="45845B9E"/>
    <w:rsid w:val="458610A1"/>
    <w:rsid w:val="45876B22"/>
    <w:rsid w:val="45880D21"/>
    <w:rsid w:val="458845A4"/>
    <w:rsid w:val="458852CD"/>
    <w:rsid w:val="45886F23"/>
    <w:rsid w:val="45892025"/>
    <w:rsid w:val="458946E9"/>
    <w:rsid w:val="458967A2"/>
    <w:rsid w:val="458A049C"/>
    <w:rsid w:val="458A4224"/>
    <w:rsid w:val="458A7AA7"/>
    <w:rsid w:val="458B103A"/>
    <w:rsid w:val="458B5528"/>
    <w:rsid w:val="458D3152"/>
    <w:rsid w:val="458E2C2A"/>
    <w:rsid w:val="458E64AD"/>
    <w:rsid w:val="458F46CB"/>
    <w:rsid w:val="459052C6"/>
    <w:rsid w:val="4590612D"/>
    <w:rsid w:val="45921630"/>
    <w:rsid w:val="459270B2"/>
    <w:rsid w:val="45932935"/>
    <w:rsid w:val="45950735"/>
    <w:rsid w:val="45955E38"/>
    <w:rsid w:val="459638BA"/>
    <w:rsid w:val="4597133B"/>
    <w:rsid w:val="45973539"/>
    <w:rsid w:val="4599483E"/>
    <w:rsid w:val="459A22C0"/>
    <w:rsid w:val="459A44BE"/>
    <w:rsid w:val="459C3244"/>
    <w:rsid w:val="459C6CDB"/>
    <w:rsid w:val="459C79C1"/>
    <w:rsid w:val="459D4988"/>
    <w:rsid w:val="459D60E3"/>
    <w:rsid w:val="459D696F"/>
    <w:rsid w:val="459E2EC4"/>
    <w:rsid w:val="459E6747"/>
    <w:rsid w:val="459F01B9"/>
    <w:rsid w:val="459F7FF5"/>
    <w:rsid w:val="45A00B94"/>
    <w:rsid w:val="45A01C4B"/>
    <w:rsid w:val="45A13E49"/>
    <w:rsid w:val="45A16078"/>
    <w:rsid w:val="45A176CC"/>
    <w:rsid w:val="45A20B66"/>
    <w:rsid w:val="45A218CA"/>
    <w:rsid w:val="45A278D6"/>
    <w:rsid w:val="45A32BCF"/>
    <w:rsid w:val="45A32CAB"/>
    <w:rsid w:val="45A4384A"/>
    <w:rsid w:val="45A47C0E"/>
    <w:rsid w:val="45A5284F"/>
    <w:rsid w:val="45A54224"/>
    <w:rsid w:val="45A560D2"/>
    <w:rsid w:val="45A7579D"/>
    <w:rsid w:val="45A837D4"/>
    <w:rsid w:val="45A8633B"/>
    <w:rsid w:val="45A87057"/>
    <w:rsid w:val="45A91255"/>
    <w:rsid w:val="45AA255A"/>
    <w:rsid w:val="45AA2785"/>
    <w:rsid w:val="45AA6CD7"/>
    <w:rsid w:val="45AA78B4"/>
    <w:rsid w:val="45AB0DE1"/>
    <w:rsid w:val="45AC5A5D"/>
    <w:rsid w:val="45AD34DF"/>
    <w:rsid w:val="45AD56DD"/>
    <w:rsid w:val="45AE0F60"/>
    <w:rsid w:val="45AF69E2"/>
    <w:rsid w:val="45B06662"/>
    <w:rsid w:val="45B11EE5"/>
    <w:rsid w:val="45B1505C"/>
    <w:rsid w:val="45B32E6A"/>
    <w:rsid w:val="45B3679A"/>
    <w:rsid w:val="45B408EB"/>
    <w:rsid w:val="45B47174"/>
    <w:rsid w:val="45B47338"/>
    <w:rsid w:val="45B52AE9"/>
    <w:rsid w:val="45B57ED7"/>
    <w:rsid w:val="45B6056B"/>
    <w:rsid w:val="45B71870"/>
    <w:rsid w:val="45B71FEF"/>
    <w:rsid w:val="45B83A6E"/>
    <w:rsid w:val="45B872F1"/>
    <w:rsid w:val="45B914F0"/>
    <w:rsid w:val="45B933A3"/>
    <w:rsid w:val="45B94D73"/>
    <w:rsid w:val="45BA29C7"/>
    <w:rsid w:val="45BA3F42"/>
    <w:rsid w:val="45BB0276"/>
    <w:rsid w:val="45BB49F3"/>
    <w:rsid w:val="45BB4AE0"/>
    <w:rsid w:val="45BC2474"/>
    <w:rsid w:val="45BC54BB"/>
    <w:rsid w:val="45BD7EF6"/>
    <w:rsid w:val="45BE11FB"/>
    <w:rsid w:val="45BF33F9"/>
    <w:rsid w:val="45BF6C7C"/>
    <w:rsid w:val="45BF75D2"/>
    <w:rsid w:val="45C046FE"/>
    <w:rsid w:val="45C1217F"/>
    <w:rsid w:val="45C218AE"/>
    <w:rsid w:val="45C21DFF"/>
    <w:rsid w:val="45C2437E"/>
    <w:rsid w:val="45C37881"/>
    <w:rsid w:val="45C43104"/>
    <w:rsid w:val="45C543A0"/>
    <w:rsid w:val="45C66607"/>
    <w:rsid w:val="45C864B7"/>
    <w:rsid w:val="45C97056"/>
    <w:rsid w:val="45C9758C"/>
    <w:rsid w:val="45CA2A8F"/>
    <w:rsid w:val="45CB05CF"/>
    <w:rsid w:val="45CC270F"/>
    <w:rsid w:val="45CD0190"/>
    <w:rsid w:val="45CD1B48"/>
    <w:rsid w:val="45CE1495"/>
    <w:rsid w:val="45D03C5F"/>
    <w:rsid w:val="45D04998"/>
    <w:rsid w:val="45D1241A"/>
    <w:rsid w:val="45D1463A"/>
    <w:rsid w:val="45D147FE"/>
    <w:rsid w:val="45D14C98"/>
    <w:rsid w:val="45D27E9B"/>
    <w:rsid w:val="45D3591D"/>
    <w:rsid w:val="45D4339E"/>
    <w:rsid w:val="45D603C3"/>
    <w:rsid w:val="45D61170"/>
    <w:rsid w:val="45D71407"/>
    <w:rsid w:val="45D74323"/>
    <w:rsid w:val="45D81DA4"/>
    <w:rsid w:val="45D82E39"/>
    <w:rsid w:val="45D86D8A"/>
    <w:rsid w:val="45D872AB"/>
    <w:rsid w:val="45D97826"/>
    <w:rsid w:val="45DA52A8"/>
    <w:rsid w:val="45DB3EF9"/>
    <w:rsid w:val="45DD139D"/>
    <w:rsid w:val="45DD3D90"/>
    <w:rsid w:val="45DD622C"/>
    <w:rsid w:val="45DE61D5"/>
    <w:rsid w:val="45E10CC7"/>
    <w:rsid w:val="45E1211F"/>
    <w:rsid w:val="45E20DFA"/>
    <w:rsid w:val="45E21865"/>
    <w:rsid w:val="45E32240"/>
    <w:rsid w:val="45E35336"/>
    <w:rsid w:val="45E42DDE"/>
    <w:rsid w:val="45E46305"/>
    <w:rsid w:val="45E52BA0"/>
    <w:rsid w:val="45E61DF3"/>
    <w:rsid w:val="45E61FA9"/>
    <w:rsid w:val="45E66B3C"/>
    <w:rsid w:val="45E745BD"/>
    <w:rsid w:val="45E87E40"/>
    <w:rsid w:val="45E958C2"/>
    <w:rsid w:val="45E9646F"/>
    <w:rsid w:val="45E97AC0"/>
    <w:rsid w:val="45EC0A45"/>
    <w:rsid w:val="45ED1D4A"/>
    <w:rsid w:val="45ED64C7"/>
    <w:rsid w:val="45EE77CB"/>
    <w:rsid w:val="45EF524D"/>
    <w:rsid w:val="45F02CCE"/>
    <w:rsid w:val="45F0744B"/>
    <w:rsid w:val="45F10750"/>
    <w:rsid w:val="45F14ECD"/>
    <w:rsid w:val="45F25F74"/>
    <w:rsid w:val="45F303D0"/>
    <w:rsid w:val="45F33C53"/>
    <w:rsid w:val="45F416D5"/>
    <w:rsid w:val="45F4493C"/>
    <w:rsid w:val="45F44CA7"/>
    <w:rsid w:val="45F45E51"/>
    <w:rsid w:val="45F57156"/>
    <w:rsid w:val="45F67579"/>
    <w:rsid w:val="45F709E5"/>
    <w:rsid w:val="45F76DD6"/>
    <w:rsid w:val="45F800DB"/>
    <w:rsid w:val="45F84858"/>
    <w:rsid w:val="45F922D9"/>
    <w:rsid w:val="45FA2938"/>
    <w:rsid w:val="45FA2AFC"/>
    <w:rsid w:val="45FA35DE"/>
    <w:rsid w:val="45FA7D5B"/>
    <w:rsid w:val="45FB325E"/>
    <w:rsid w:val="45FC0CDF"/>
    <w:rsid w:val="45FC4A4F"/>
    <w:rsid w:val="45FD4563"/>
    <w:rsid w:val="45FD6761"/>
    <w:rsid w:val="45FE41E2"/>
    <w:rsid w:val="45FF1C64"/>
    <w:rsid w:val="45FF6B67"/>
    <w:rsid w:val="45FF7A66"/>
    <w:rsid w:val="460054E7"/>
    <w:rsid w:val="460100E0"/>
    <w:rsid w:val="46012F69"/>
    <w:rsid w:val="46015167"/>
    <w:rsid w:val="46017EC5"/>
    <w:rsid w:val="460209EA"/>
    <w:rsid w:val="46022BE9"/>
    <w:rsid w:val="4603181D"/>
    <w:rsid w:val="4603646C"/>
    <w:rsid w:val="4603688D"/>
    <w:rsid w:val="4604196F"/>
    <w:rsid w:val="460460EC"/>
    <w:rsid w:val="46063770"/>
    <w:rsid w:val="46064E72"/>
    <w:rsid w:val="460744D3"/>
    <w:rsid w:val="46077070"/>
    <w:rsid w:val="46080375"/>
    <w:rsid w:val="46084AF2"/>
    <w:rsid w:val="46095A4C"/>
    <w:rsid w:val="460A3878"/>
    <w:rsid w:val="460B12FA"/>
    <w:rsid w:val="460B5A77"/>
    <w:rsid w:val="460D0F7A"/>
    <w:rsid w:val="460D47FD"/>
    <w:rsid w:val="460E227E"/>
    <w:rsid w:val="460E69FB"/>
    <w:rsid w:val="460F2655"/>
    <w:rsid w:val="460F447D"/>
    <w:rsid w:val="46101AAB"/>
    <w:rsid w:val="46101EFE"/>
    <w:rsid w:val="46102858"/>
    <w:rsid w:val="461118F6"/>
    <w:rsid w:val="461202BD"/>
    <w:rsid w:val="46132E83"/>
    <w:rsid w:val="46133C06"/>
    <w:rsid w:val="46135147"/>
    <w:rsid w:val="461566C0"/>
    <w:rsid w:val="46156884"/>
    <w:rsid w:val="46161889"/>
    <w:rsid w:val="4616725F"/>
    <w:rsid w:val="4616768B"/>
    <w:rsid w:val="46172422"/>
    <w:rsid w:val="4617510C"/>
    <w:rsid w:val="4617730B"/>
    <w:rsid w:val="46181376"/>
    <w:rsid w:val="46182B8E"/>
    <w:rsid w:val="46184D8C"/>
    <w:rsid w:val="46190610"/>
    <w:rsid w:val="4619280E"/>
    <w:rsid w:val="461A028F"/>
    <w:rsid w:val="461A6091"/>
    <w:rsid w:val="461B1594"/>
    <w:rsid w:val="461B3652"/>
    <w:rsid w:val="461B5D11"/>
    <w:rsid w:val="461B6E01"/>
    <w:rsid w:val="461C3E68"/>
    <w:rsid w:val="461D4A07"/>
    <w:rsid w:val="461D4A97"/>
    <w:rsid w:val="461D4BCB"/>
    <w:rsid w:val="461D72AB"/>
    <w:rsid w:val="461E47A9"/>
    <w:rsid w:val="461F05C4"/>
    <w:rsid w:val="461F3847"/>
    <w:rsid w:val="461F7F9A"/>
    <w:rsid w:val="46202199"/>
    <w:rsid w:val="46202A9A"/>
    <w:rsid w:val="46205A1C"/>
    <w:rsid w:val="46220097"/>
    <w:rsid w:val="4622025B"/>
    <w:rsid w:val="46230DFA"/>
    <w:rsid w:val="4623311D"/>
    <w:rsid w:val="46240B9F"/>
    <w:rsid w:val="46242373"/>
    <w:rsid w:val="46251EA4"/>
    <w:rsid w:val="46267925"/>
    <w:rsid w:val="46271B24"/>
    <w:rsid w:val="462753A7"/>
    <w:rsid w:val="46282E28"/>
    <w:rsid w:val="462875A5"/>
    <w:rsid w:val="46287A7D"/>
    <w:rsid w:val="462908AA"/>
    <w:rsid w:val="46295027"/>
    <w:rsid w:val="462A632B"/>
    <w:rsid w:val="462B052A"/>
    <w:rsid w:val="462B3DAD"/>
    <w:rsid w:val="462B5FAB"/>
    <w:rsid w:val="462C182F"/>
    <w:rsid w:val="462C3A2D"/>
    <w:rsid w:val="462D14AE"/>
    <w:rsid w:val="462D72B0"/>
    <w:rsid w:val="462D72F1"/>
    <w:rsid w:val="462E6F30"/>
    <w:rsid w:val="462F1C33"/>
    <w:rsid w:val="462F27B3"/>
    <w:rsid w:val="462F49B1"/>
    <w:rsid w:val="462F4D56"/>
    <w:rsid w:val="462F5DFF"/>
    <w:rsid w:val="46300235"/>
    <w:rsid w:val="46315CB6"/>
    <w:rsid w:val="46317EB5"/>
    <w:rsid w:val="46336C3B"/>
    <w:rsid w:val="463446BC"/>
    <w:rsid w:val="463450FE"/>
    <w:rsid w:val="4635213E"/>
    <w:rsid w:val="4635683C"/>
    <w:rsid w:val="46367216"/>
    <w:rsid w:val="46375641"/>
    <w:rsid w:val="463914F2"/>
    <w:rsid w:val="463A65C6"/>
    <w:rsid w:val="463C1AC9"/>
    <w:rsid w:val="463D381C"/>
    <w:rsid w:val="463F2A4E"/>
    <w:rsid w:val="464004CF"/>
    <w:rsid w:val="46415F51"/>
    <w:rsid w:val="46417674"/>
    <w:rsid w:val="46417839"/>
    <w:rsid w:val="46430DB2"/>
    <w:rsid w:val="46446ED5"/>
    <w:rsid w:val="46477E5A"/>
    <w:rsid w:val="4648427E"/>
    <w:rsid w:val="4649335D"/>
    <w:rsid w:val="46494FE1"/>
    <w:rsid w:val="464A3BD5"/>
    <w:rsid w:val="464A59BB"/>
    <w:rsid w:val="464B6860"/>
    <w:rsid w:val="464C19A5"/>
    <w:rsid w:val="464C1D63"/>
    <w:rsid w:val="464E3068"/>
    <w:rsid w:val="464E5266"/>
    <w:rsid w:val="464F0AEA"/>
    <w:rsid w:val="464F1A25"/>
    <w:rsid w:val="464F2CE8"/>
    <w:rsid w:val="46500769"/>
    <w:rsid w:val="46513FED"/>
    <w:rsid w:val="46521A6E"/>
    <w:rsid w:val="46523C6D"/>
    <w:rsid w:val="465316EE"/>
    <w:rsid w:val="46534F71"/>
    <w:rsid w:val="465429F3"/>
    <w:rsid w:val="46547170"/>
    <w:rsid w:val="46550474"/>
    <w:rsid w:val="46556111"/>
    <w:rsid w:val="46562673"/>
    <w:rsid w:val="46565EF6"/>
    <w:rsid w:val="46573978"/>
    <w:rsid w:val="465771CD"/>
    <w:rsid w:val="46577FD6"/>
    <w:rsid w:val="46585B76"/>
    <w:rsid w:val="46587D6C"/>
    <w:rsid w:val="46587F31"/>
    <w:rsid w:val="4659575D"/>
    <w:rsid w:val="46595E92"/>
    <w:rsid w:val="46596E7B"/>
    <w:rsid w:val="465A1079"/>
    <w:rsid w:val="465A14A9"/>
    <w:rsid w:val="465A4182"/>
    <w:rsid w:val="465A4D7A"/>
    <w:rsid w:val="465B237E"/>
    <w:rsid w:val="465D1FFE"/>
    <w:rsid w:val="465D33FD"/>
    <w:rsid w:val="465E3302"/>
    <w:rsid w:val="465E7A7F"/>
    <w:rsid w:val="465F0D84"/>
    <w:rsid w:val="465F5501"/>
    <w:rsid w:val="466039F1"/>
    <w:rsid w:val="466060B3"/>
    <w:rsid w:val="46610A04"/>
    <w:rsid w:val="46621D09"/>
    <w:rsid w:val="46633F07"/>
    <w:rsid w:val="4663778A"/>
    <w:rsid w:val="46641988"/>
    <w:rsid w:val="4664520C"/>
    <w:rsid w:val="46652C8D"/>
    <w:rsid w:val="46654E8C"/>
    <w:rsid w:val="4666070F"/>
    <w:rsid w:val="46683C12"/>
    <w:rsid w:val="46685E10"/>
    <w:rsid w:val="46687036"/>
    <w:rsid w:val="46693892"/>
    <w:rsid w:val="46696CCB"/>
    <w:rsid w:val="466A7115"/>
    <w:rsid w:val="466B6D95"/>
    <w:rsid w:val="466C2618"/>
    <w:rsid w:val="466C4816"/>
    <w:rsid w:val="466C6EEB"/>
    <w:rsid w:val="466E359D"/>
    <w:rsid w:val="466F1003"/>
    <w:rsid w:val="466F11C7"/>
    <w:rsid w:val="46712740"/>
    <w:rsid w:val="46714521"/>
    <w:rsid w:val="46721FA3"/>
    <w:rsid w:val="467341A1"/>
    <w:rsid w:val="46737A24"/>
    <w:rsid w:val="46741C23"/>
    <w:rsid w:val="467454A6"/>
    <w:rsid w:val="46752F28"/>
    <w:rsid w:val="46755232"/>
    <w:rsid w:val="467576A4"/>
    <w:rsid w:val="467609A9"/>
    <w:rsid w:val="46765DD0"/>
    <w:rsid w:val="467733A8"/>
    <w:rsid w:val="4677642B"/>
    <w:rsid w:val="4677696F"/>
    <w:rsid w:val="46787D24"/>
    <w:rsid w:val="4679192E"/>
    <w:rsid w:val="467A1AED"/>
    <w:rsid w:val="467A3B2C"/>
    <w:rsid w:val="467A73AF"/>
    <w:rsid w:val="467B15AE"/>
    <w:rsid w:val="467B2000"/>
    <w:rsid w:val="467B4E31"/>
    <w:rsid w:val="467C28B2"/>
    <w:rsid w:val="467C29DA"/>
    <w:rsid w:val="467C702F"/>
    <w:rsid w:val="467D0334"/>
    <w:rsid w:val="467D2532"/>
    <w:rsid w:val="467E3F53"/>
    <w:rsid w:val="467E4117"/>
    <w:rsid w:val="467E7FB4"/>
    <w:rsid w:val="467F3837"/>
    <w:rsid w:val="467F5A35"/>
    <w:rsid w:val="468034B7"/>
    <w:rsid w:val="46810F38"/>
    <w:rsid w:val="4681606A"/>
    <w:rsid w:val="46816D3A"/>
    <w:rsid w:val="46821902"/>
    <w:rsid w:val="468247BC"/>
    <w:rsid w:val="468269BA"/>
    <w:rsid w:val="46841EBD"/>
    <w:rsid w:val="468518BF"/>
    <w:rsid w:val="4685793F"/>
    <w:rsid w:val="468653C0"/>
    <w:rsid w:val="46872C73"/>
    <w:rsid w:val="46872E38"/>
    <w:rsid w:val="46872E42"/>
    <w:rsid w:val="468808C3"/>
    <w:rsid w:val="46891BC8"/>
    <w:rsid w:val="46896345"/>
    <w:rsid w:val="468A3DC6"/>
    <w:rsid w:val="468B1848"/>
    <w:rsid w:val="468C72C9"/>
    <w:rsid w:val="468D4D4B"/>
    <w:rsid w:val="468D6EA3"/>
    <w:rsid w:val="468E6050"/>
    <w:rsid w:val="468F05E0"/>
    <w:rsid w:val="468F3AD1"/>
    <w:rsid w:val="46901553"/>
    <w:rsid w:val="46905CD0"/>
    <w:rsid w:val="46913751"/>
    <w:rsid w:val="46927C50"/>
    <w:rsid w:val="469324D8"/>
    <w:rsid w:val="4693757A"/>
    <w:rsid w:val="469446D6"/>
    <w:rsid w:val="4694586B"/>
    <w:rsid w:val="46945A20"/>
    <w:rsid w:val="46976927"/>
    <w:rsid w:val="4698695F"/>
    <w:rsid w:val="469965DF"/>
    <w:rsid w:val="469D0869"/>
    <w:rsid w:val="469E62EA"/>
    <w:rsid w:val="469F3D6C"/>
    <w:rsid w:val="46A017ED"/>
    <w:rsid w:val="46A04C6D"/>
    <w:rsid w:val="46A119EC"/>
    <w:rsid w:val="46A12D06"/>
    <w:rsid w:val="46A1726F"/>
    <w:rsid w:val="46A24CF0"/>
    <w:rsid w:val="46A37971"/>
    <w:rsid w:val="46A44EEF"/>
    <w:rsid w:val="46A9398E"/>
    <w:rsid w:val="46A9467B"/>
    <w:rsid w:val="46AA20FD"/>
    <w:rsid w:val="46AA4368"/>
    <w:rsid w:val="46AB7B7E"/>
    <w:rsid w:val="46AC5600"/>
    <w:rsid w:val="46AE7BBD"/>
    <w:rsid w:val="46AF075C"/>
    <w:rsid w:val="46B04006"/>
    <w:rsid w:val="46B11CD5"/>
    <w:rsid w:val="46B21F99"/>
    <w:rsid w:val="46B3080E"/>
    <w:rsid w:val="46B34F8B"/>
    <w:rsid w:val="46B40180"/>
    <w:rsid w:val="46B46290"/>
    <w:rsid w:val="46B53D11"/>
    <w:rsid w:val="46B547C6"/>
    <w:rsid w:val="46B55F0F"/>
    <w:rsid w:val="46B61793"/>
    <w:rsid w:val="46B63991"/>
    <w:rsid w:val="46B71412"/>
    <w:rsid w:val="46B77214"/>
    <w:rsid w:val="46B86E94"/>
    <w:rsid w:val="46B94916"/>
    <w:rsid w:val="46B9747D"/>
    <w:rsid w:val="46BB6321"/>
    <w:rsid w:val="46BB7E19"/>
    <w:rsid w:val="46BC111E"/>
    <w:rsid w:val="46BC13D0"/>
    <w:rsid w:val="46BC369C"/>
    <w:rsid w:val="46BD2B0D"/>
    <w:rsid w:val="46BD6B9F"/>
    <w:rsid w:val="46BE36AC"/>
    <w:rsid w:val="46BE4621"/>
    <w:rsid w:val="46BE6B5C"/>
    <w:rsid w:val="46BF5F64"/>
    <w:rsid w:val="46BF681F"/>
    <w:rsid w:val="46C04A60"/>
    <w:rsid w:val="46C04C97"/>
    <w:rsid w:val="46C07B24"/>
    <w:rsid w:val="46C11D22"/>
    <w:rsid w:val="46C155A5"/>
    <w:rsid w:val="46C155FF"/>
    <w:rsid w:val="46C157C3"/>
    <w:rsid w:val="46C20902"/>
    <w:rsid w:val="46C35225"/>
    <w:rsid w:val="46C36B78"/>
    <w:rsid w:val="46C37B42"/>
    <w:rsid w:val="46C4652A"/>
    <w:rsid w:val="46C53FAB"/>
    <w:rsid w:val="46C60E54"/>
    <w:rsid w:val="46C61A2D"/>
    <w:rsid w:val="46C73C2B"/>
    <w:rsid w:val="46C774AF"/>
    <w:rsid w:val="46C816AD"/>
    <w:rsid w:val="46C823CD"/>
    <w:rsid w:val="46C84F30"/>
    <w:rsid w:val="46C929B2"/>
    <w:rsid w:val="46CA0433"/>
    <w:rsid w:val="46CA44E4"/>
    <w:rsid w:val="46CB2631"/>
    <w:rsid w:val="46CB4EBE"/>
    <w:rsid w:val="46CC00B3"/>
    <w:rsid w:val="46CC3936"/>
    <w:rsid w:val="46CD13B8"/>
    <w:rsid w:val="46CD35B6"/>
    <w:rsid w:val="46CE6E39"/>
    <w:rsid w:val="46CE6FD6"/>
    <w:rsid w:val="46CF48BB"/>
    <w:rsid w:val="46CF6AB9"/>
    <w:rsid w:val="46CF7B75"/>
    <w:rsid w:val="46D110ED"/>
    <w:rsid w:val="46D11FBC"/>
    <w:rsid w:val="46D27A3E"/>
    <w:rsid w:val="46D3282B"/>
    <w:rsid w:val="46D354BF"/>
    <w:rsid w:val="46D42F41"/>
    <w:rsid w:val="46D43205"/>
    <w:rsid w:val="46D54246"/>
    <w:rsid w:val="46D6477E"/>
    <w:rsid w:val="46D66444"/>
    <w:rsid w:val="46D73EC6"/>
    <w:rsid w:val="46D77749"/>
    <w:rsid w:val="46D81947"/>
    <w:rsid w:val="46D85CF7"/>
    <w:rsid w:val="46D9157A"/>
    <w:rsid w:val="46D955A7"/>
    <w:rsid w:val="46DA06CE"/>
    <w:rsid w:val="46DB28CC"/>
    <w:rsid w:val="46DB614F"/>
    <w:rsid w:val="46DC24DD"/>
    <w:rsid w:val="46DD1652"/>
    <w:rsid w:val="46DD18E6"/>
    <w:rsid w:val="46DE0983"/>
    <w:rsid w:val="46DE2AC4"/>
    <w:rsid w:val="46DE70D4"/>
    <w:rsid w:val="46DF12D2"/>
    <w:rsid w:val="46DF349F"/>
    <w:rsid w:val="46DF4B55"/>
    <w:rsid w:val="46E025D7"/>
    <w:rsid w:val="46E06D54"/>
    <w:rsid w:val="46E147D5"/>
    <w:rsid w:val="46E2753A"/>
    <w:rsid w:val="46E37CD8"/>
    <w:rsid w:val="46E40FDD"/>
    <w:rsid w:val="46E4575A"/>
    <w:rsid w:val="46E531DB"/>
    <w:rsid w:val="46E56A5F"/>
    <w:rsid w:val="46E644E0"/>
    <w:rsid w:val="46E666DE"/>
    <w:rsid w:val="46E71F62"/>
    <w:rsid w:val="46E74160"/>
    <w:rsid w:val="46E81BE2"/>
    <w:rsid w:val="46E879E3"/>
    <w:rsid w:val="46E92D5E"/>
    <w:rsid w:val="46E97663"/>
    <w:rsid w:val="46EA2EE6"/>
    <w:rsid w:val="46EA3AC1"/>
    <w:rsid w:val="46EA50E5"/>
    <w:rsid w:val="46EB0968"/>
    <w:rsid w:val="46EB2B66"/>
    <w:rsid w:val="46EB3BA2"/>
    <w:rsid w:val="46EB442E"/>
    <w:rsid w:val="46EC05E8"/>
    <w:rsid w:val="46ED18ED"/>
    <w:rsid w:val="46ED6069"/>
    <w:rsid w:val="46EE3AEB"/>
    <w:rsid w:val="46EE736E"/>
    <w:rsid w:val="46EF156C"/>
    <w:rsid w:val="46EF4DF0"/>
    <w:rsid w:val="46EF6631"/>
    <w:rsid w:val="46EF7152"/>
    <w:rsid w:val="46F102F3"/>
    <w:rsid w:val="46F224F1"/>
    <w:rsid w:val="46F37F73"/>
    <w:rsid w:val="46F4261E"/>
    <w:rsid w:val="46F459F4"/>
    <w:rsid w:val="46F56CF9"/>
    <w:rsid w:val="46F648FA"/>
    <w:rsid w:val="46F721FC"/>
    <w:rsid w:val="46F752D4"/>
    <w:rsid w:val="46F843FA"/>
    <w:rsid w:val="46F87C7E"/>
    <w:rsid w:val="46F9684D"/>
    <w:rsid w:val="46F972E2"/>
    <w:rsid w:val="46FA5CA9"/>
    <w:rsid w:val="46FA78FD"/>
    <w:rsid w:val="46FB0C02"/>
    <w:rsid w:val="46FB537F"/>
    <w:rsid w:val="46FB7DC6"/>
    <w:rsid w:val="46FC2E01"/>
    <w:rsid w:val="46FD0882"/>
    <w:rsid w:val="46FD4105"/>
    <w:rsid w:val="46FE20A2"/>
    <w:rsid w:val="46FE3D85"/>
    <w:rsid w:val="46FF1807"/>
    <w:rsid w:val="46FF7608"/>
    <w:rsid w:val="47003456"/>
    <w:rsid w:val="4700508A"/>
    <w:rsid w:val="47012B0C"/>
    <w:rsid w:val="4702058D"/>
    <w:rsid w:val="4702556E"/>
    <w:rsid w:val="47025732"/>
    <w:rsid w:val="4703600F"/>
    <w:rsid w:val="470362D1"/>
    <w:rsid w:val="47051512"/>
    <w:rsid w:val="47071E2A"/>
    <w:rsid w:val="47095999"/>
    <w:rsid w:val="470C4453"/>
    <w:rsid w:val="470C691E"/>
    <w:rsid w:val="470D43A0"/>
    <w:rsid w:val="470D4FF2"/>
    <w:rsid w:val="470E5B90"/>
    <w:rsid w:val="47105324"/>
    <w:rsid w:val="47107CA8"/>
    <w:rsid w:val="47120827"/>
    <w:rsid w:val="4712105C"/>
    <w:rsid w:val="47133957"/>
    <w:rsid w:val="471362A9"/>
    <w:rsid w:val="47143D2B"/>
    <w:rsid w:val="471517AC"/>
    <w:rsid w:val="47153174"/>
    <w:rsid w:val="47153338"/>
    <w:rsid w:val="47154451"/>
    <w:rsid w:val="47163BC5"/>
    <w:rsid w:val="47174CAF"/>
    <w:rsid w:val="47182731"/>
    <w:rsid w:val="4718528B"/>
    <w:rsid w:val="471901B2"/>
    <w:rsid w:val="47193A36"/>
    <w:rsid w:val="47195E2A"/>
    <w:rsid w:val="471A14B7"/>
    <w:rsid w:val="471A5C34"/>
    <w:rsid w:val="471A6804"/>
    <w:rsid w:val="471B6F39"/>
    <w:rsid w:val="471B73A3"/>
    <w:rsid w:val="471C4279"/>
    <w:rsid w:val="471D091C"/>
    <w:rsid w:val="471D243C"/>
    <w:rsid w:val="471D463A"/>
    <w:rsid w:val="471D6BB8"/>
    <w:rsid w:val="471E20BC"/>
    <w:rsid w:val="471E5E67"/>
    <w:rsid w:val="471E6EE5"/>
    <w:rsid w:val="471E7EBD"/>
    <w:rsid w:val="471F593F"/>
    <w:rsid w:val="472055BF"/>
    <w:rsid w:val="47210E42"/>
    <w:rsid w:val="47213040"/>
    <w:rsid w:val="47214171"/>
    <w:rsid w:val="47216B23"/>
    <w:rsid w:val="47224B4B"/>
    <w:rsid w:val="47224D0F"/>
    <w:rsid w:val="47234345"/>
    <w:rsid w:val="472356EA"/>
    <w:rsid w:val="47241DC7"/>
    <w:rsid w:val="47246288"/>
    <w:rsid w:val="47246558"/>
    <w:rsid w:val="472468C3"/>
    <w:rsid w:val="472552CA"/>
    <w:rsid w:val="47256C62"/>
    <w:rsid w:val="47257848"/>
    <w:rsid w:val="47264328"/>
    <w:rsid w:val="472674C8"/>
    <w:rsid w:val="47267801"/>
    <w:rsid w:val="472703A0"/>
    <w:rsid w:val="472707CD"/>
    <w:rsid w:val="47274F4A"/>
    <w:rsid w:val="472829CB"/>
    <w:rsid w:val="4729044D"/>
    <w:rsid w:val="47291919"/>
    <w:rsid w:val="472A1751"/>
    <w:rsid w:val="472A22F3"/>
    <w:rsid w:val="472B3950"/>
    <w:rsid w:val="472B71D3"/>
    <w:rsid w:val="472C13D1"/>
    <w:rsid w:val="472D26D6"/>
    <w:rsid w:val="472E0158"/>
    <w:rsid w:val="472E5B48"/>
    <w:rsid w:val="472F2356"/>
    <w:rsid w:val="472F5BD9"/>
    <w:rsid w:val="4730365B"/>
    <w:rsid w:val="47307DD7"/>
    <w:rsid w:val="473110DC"/>
    <w:rsid w:val="47315859"/>
    <w:rsid w:val="47326B5E"/>
    <w:rsid w:val="4733065F"/>
    <w:rsid w:val="47330B7F"/>
    <w:rsid w:val="47330D35"/>
    <w:rsid w:val="47330D5C"/>
    <w:rsid w:val="473311D8"/>
    <w:rsid w:val="47342061"/>
    <w:rsid w:val="473467DE"/>
    <w:rsid w:val="47347026"/>
    <w:rsid w:val="473476FC"/>
    <w:rsid w:val="47347A68"/>
    <w:rsid w:val="47351CE1"/>
    <w:rsid w:val="4735425F"/>
    <w:rsid w:val="47357AE2"/>
    <w:rsid w:val="47365564"/>
    <w:rsid w:val="47367762"/>
    <w:rsid w:val="47380A67"/>
    <w:rsid w:val="47382C65"/>
    <w:rsid w:val="473906E7"/>
    <w:rsid w:val="47395DE1"/>
    <w:rsid w:val="473964E9"/>
    <w:rsid w:val="473A3F6A"/>
    <w:rsid w:val="473A6169"/>
    <w:rsid w:val="473B19EC"/>
    <w:rsid w:val="473B3BEA"/>
    <w:rsid w:val="473B735A"/>
    <w:rsid w:val="473B751F"/>
    <w:rsid w:val="473C166C"/>
    <w:rsid w:val="473C213E"/>
    <w:rsid w:val="473D2970"/>
    <w:rsid w:val="473D4EEF"/>
    <w:rsid w:val="473D70ED"/>
    <w:rsid w:val="473E03F2"/>
    <w:rsid w:val="473E22D8"/>
    <w:rsid w:val="473F2011"/>
    <w:rsid w:val="473F25F0"/>
    <w:rsid w:val="4741374E"/>
    <w:rsid w:val="47422245"/>
    <w:rsid w:val="47426E69"/>
    <w:rsid w:val="47430FF6"/>
    <w:rsid w:val="474544FA"/>
    <w:rsid w:val="4745607B"/>
    <w:rsid w:val="47463154"/>
    <w:rsid w:val="474677B9"/>
    <w:rsid w:val="47480D01"/>
    <w:rsid w:val="47480D31"/>
    <w:rsid w:val="4748547E"/>
    <w:rsid w:val="47492F00"/>
    <w:rsid w:val="47496783"/>
    <w:rsid w:val="474A7699"/>
    <w:rsid w:val="474B300D"/>
    <w:rsid w:val="474B6403"/>
    <w:rsid w:val="474C3E84"/>
    <w:rsid w:val="474C7708"/>
    <w:rsid w:val="474D1906"/>
    <w:rsid w:val="474D5189"/>
    <w:rsid w:val="474E2C0B"/>
    <w:rsid w:val="474F5CEF"/>
    <w:rsid w:val="4750030C"/>
    <w:rsid w:val="4750610E"/>
    <w:rsid w:val="47513B8F"/>
    <w:rsid w:val="4751434B"/>
    <w:rsid w:val="47515D8E"/>
    <w:rsid w:val="475207B5"/>
    <w:rsid w:val="47521611"/>
    <w:rsid w:val="475233E9"/>
    <w:rsid w:val="4752359F"/>
    <w:rsid w:val="4752380F"/>
    <w:rsid w:val="47527A52"/>
    <w:rsid w:val="47527C17"/>
    <w:rsid w:val="47531291"/>
    <w:rsid w:val="47544B14"/>
    <w:rsid w:val="47560017"/>
    <w:rsid w:val="47562215"/>
    <w:rsid w:val="47565A99"/>
    <w:rsid w:val="4757351A"/>
    <w:rsid w:val="47573E46"/>
    <w:rsid w:val="47577C97"/>
    <w:rsid w:val="47585719"/>
    <w:rsid w:val="4759319A"/>
    <w:rsid w:val="47596A1D"/>
    <w:rsid w:val="475A449F"/>
    <w:rsid w:val="475A5F5D"/>
    <w:rsid w:val="475B669D"/>
    <w:rsid w:val="475C411F"/>
    <w:rsid w:val="475D5424"/>
    <w:rsid w:val="475E0317"/>
    <w:rsid w:val="475E0A4F"/>
    <w:rsid w:val="475F50A3"/>
    <w:rsid w:val="475F756A"/>
    <w:rsid w:val="47602B25"/>
    <w:rsid w:val="476063A8"/>
    <w:rsid w:val="47606452"/>
    <w:rsid w:val="47612B67"/>
    <w:rsid w:val="47613E2A"/>
    <w:rsid w:val="47623541"/>
    <w:rsid w:val="47626028"/>
    <w:rsid w:val="4763732D"/>
    <w:rsid w:val="4764152B"/>
    <w:rsid w:val="47643176"/>
    <w:rsid w:val="47644DAE"/>
    <w:rsid w:val="4764581D"/>
    <w:rsid w:val="47656FAD"/>
    <w:rsid w:val="476602B2"/>
    <w:rsid w:val="4768030F"/>
    <w:rsid w:val="476837B5"/>
    <w:rsid w:val="476A6CB8"/>
    <w:rsid w:val="476B4739"/>
    <w:rsid w:val="476E0A79"/>
    <w:rsid w:val="476E1305"/>
    <w:rsid w:val="476E313F"/>
    <w:rsid w:val="476E453E"/>
    <w:rsid w:val="476E50DC"/>
    <w:rsid w:val="476E56BE"/>
    <w:rsid w:val="476F03A3"/>
    <w:rsid w:val="476F4F18"/>
    <w:rsid w:val="476F7A5C"/>
    <w:rsid w:val="476F7E82"/>
    <w:rsid w:val="477140C4"/>
    <w:rsid w:val="47721B46"/>
    <w:rsid w:val="47751B21"/>
    <w:rsid w:val="4777325F"/>
    <w:rsid w:val="47775FCD"/>
    <w:rsid w:val="47783DFD"/>
    <w:rsid w:val="477A04AC"/>
    <w:rsid w:val="477B5F15"/>
    <w:rsid w:val="477C392D"/>
    <w:rsid w:val="477D002C"/>
    <w:rsid w:val="477D7ED7"/>
    <w:rsid w:val="477F13E1"/>
    <w:rsid w:val="477F15A5"/>
    <w:rsid w:val="477F33DA"/>
    <w:rsid w:val="477F6C5D"/>
    <w:rsid w:val="47800E5B"/>
    <w:rsid w:val="478046DF"/>
    <w:rsid w:val="47812160"/>
    <w:rsid w:val="478234F8"/>
    <w:rsid w:val="478430E5"/>
    <w:rsid w:val="47850B66"/>
    <w:rsid w:val="478552E3"/>
    <w:rsid w:val="478557D4"/>
    <w:rsid w:val="478665E8"/>
    <w:rsid w:val="47876268"/>
    <w:rsid w:val="47876D4D"/>
    <w:rsid w:val="47881AEB"/>
    <w:rsid w:val="4789176B"/>
    <w:rsid w:val="4789756D"/>
    <w:rsid w:val="478A4FEE"/>
    <w:rsid w:val="478B4C6E"/>
    <w:rsid w:val="478B5F54"/>
    <w:rsid w:val="478C04F1"/>
    <w:rsid w:val="478C4C87"/>
    <w:rsid w:val="478D0171"/>
    <w:rsid w:val="478D56A7"/>
    <w:rsid w:val="478E1476"/>
    <w:rsid w:val="478E5BF3"/>
    <w:rsid w:val="478F3674"/>
    <w:rsid w:val="478F4ECF"/>
    <w:rsid w:val="478F6EF7"/>
    <w:rsid w:val="479010F6"/>
    <w:rsid w:val="47927E7C"/>
    <w:rsid w:val="4793207A"/>
    <w:rsid w:val="479358FE"/>
    <w:rsid w:val="47947AFC"/>
    <w:rsid w:val="479510FE"/>
    <w:rsid w:val="47954D42"/>
    <w:rsid w:val="4795557D"/>
    <w:rsid w:val="47962FFF"/>
    <w:rsid w:val="47970A81"/>
    <w:rsid w:val="47974304"/>
    <w:rsid w:val="479814DE"/>
    <w:rsid w:val="47981D85"/>
    <w:rsid w:val="47983216"/>
    <w:rsid w:val="47983DB5"/>
    <w:rsid w:val="479A1A05"/>
    <w:rsid w:val="479A5288"/>
    <w:rsid w:val="479B5D08"/>
    <w:rsid w:val="479B70F9"/>
    <w:rsid w:val="479C078C"/>
    <w:rsid w:val="479D620D"/>
    <w:rsid w:val="479E040B"/>
    <w:rsid w:val="479E5E8D"/>
    <w:rsid w:val="479F0B82"/>
    <w:rsid w:val="479F1710"/>
    <w:rsid w:val="47A07E0C"/>
    <w:rsid w:val="47A14C13"/>
    <w:rsid w:val="47A16E12"/>
    <w:rsid w:val="47A47D96"/>
    <w:rsid w:val="47A5361A"/>
    <w:rsid w:val="47A54BED"/>
    <w:rsid w:val="47A63299"/>
    <w:rsid w:val="47A63E71"/>
    <w:rsid w:val="47A66B1D"/>
    <w:rsid w:val="47A7459E"/>
    <w:rsid w:val="47A97AA1"/>
    <w:rsid w:val="47AA0AE1"/>
    <w:rsid w:val="47AA1CA0"/>
    <w:rsid w:val="47AB17F6"/>
    <w:rsid w:val="47AC0A26"/>
    <w:rsid w:val="47AC5D2C"/>
    <w:rsid w:val="47AD2C24"/>
    <w:rsid w:val="47AD64A7"/>
    <w:rsid w:val="47AE06A6"/>
    <w:rsid w:val="47AE2189"/>
    <w:rsid w:val="47AE3F29"/>
    <w:rsid w:val="47B03BA9"/>
    <w:rsid w:val="47B04E87"/>
    <w:rsid w:val="47B0742C"/>
    <w:rsid w:val="47B1017C"/>
    <w:rsid w:val="47B14EAE"/>
    <w:rsid w:val="47B15A25"/>
    <w:rsid w:val="47B2292F"/>
    <w:rsid w:val="47B270AC"/>
    <w:rsid w:val="47B34B2D"/>
    <w:rsid w:val="47B37F9B"/>
    <w:rsid w:val="47B425AF"/>
    <w:rsid w:val="47B45E32"/>
    <w:rsid w:val="47B538B4"/>
    <w:rsid w:val="47B61335"/>
    <w:rsid w:val="47B65AB2"/>
    <w:rsid w:val="47B740B3"/>
    <w:rsid w:val="47B84838"/>
    <w:rsid w:val="47B922BA"/>
    <w:rsid w:val="47B93D6C"/>
    <w:rsid w:val="47B944B8"/>
    <w:rsid w:val="47BA2957"/>
    <w:rsid w:val="47BA4746"/>
    <w:rsid w:val="47BA490B"/>
    <w:rsid w:val="47BA7D3C"/>
    <w:rsid w:val="47BB57BD"/>
    <w:rsid w:val="47BB79BB"/>
    <w:rsid w:val="47BC5E84"/>
    <w:rsid w:val="47BD2EBF"/>
    <w:rsid w:val="47BE0940"/>
    <w:rsid w:val="47BF1C45"/>
    <w:rsid w:val="47BF63C2"/>
    <w:rsid w:val="47C016D8"/>
    <w:rsid w:val="47C03E43"/>
    <w:rsid w:val="47C076C6"/>
    <w:rsid w:val="47C15148"/>
    <w:rsid w:val="47C22A8D"/>
    <w:rsid w:val="47C22BCA"/>
    <w:rsid w:val="47C3064B"/>
    <w:rsid w:val="47C34DC8"/>
    <w:rsid w:val="47C42849"/>
    <w:rsid w:val="47C441CA"/>
    <w:rsid w:val="47C47B5E"/>
    <w:rsid w:val="47C53B4E"/>
    <w:rsid w:val="47C65D4C"/>
    <w:rsid w:val="47C77051"/>
    <w:rsid w:val="47C81250"/>
    <w:rsid w:val="47C84AD3"/>
    <w:rsid w:val="47C96CD1"/>
    <w:rsid w:val="47C979DB"/>
    <w:rsid w:val="47CA0235"/>
    <w:rsid w:val="47CA03F9"/>
    <w:rsid w:val="47CA4753"/>
    <w:rsid w:val="47CA7FD6"/>
    <w:rsid w:val="47CB0DA4"/>
    <w:rsid w:val="47CB21D4"/>
    <w:rsid w:val="47CB5A57"/>
    <w:rsid w:val="47CD234C"/>
    <w:rsid w:val="47CF445E"/>
    <w:rsid w:val="47CF4628"/>
    <w:rsid w:val="47D01EDF"/>
    <w:rsid w:val="47D159DD"/>
    <w:rsid w:val="47D253E2"/>
    <w:rsid w:val="47D31FCF"/>
    <w:rsid w:val="47D3711A"/>
    <w:rsid w:val="47D50858"/>
    <w:rsid w:val="47D56367"/>
    <w:rsid w:val="47D84D6D"/>
    <w:rsid w:val="47D93349"/>
    <w:rsid w:val="47DB5CF2"/>
    <w:rsid w:val="47DC3773"/>
    <w:rsid w:val="47DC5461"/>
    <w:rsid w:val="47DD11F5"/>
    <w:rsid w:val="47DD5E3B"/>
    <w:rsid w:val="47DD69DA"/>
    <w:rsid w:val="47DE6C76"/>
    <w:rsid w:val="47DE7578"/>
    <w:rsid w:val="47DF46F8"/>
    <w:rsid w:val="47E0217A"/>
    <w:rsid w:val="47E2428C"/>
    <w:rsid w:val="47E35CBF"/>
    <w:rsid w:val="47E40B80"/>
    <w:rsid w:val="47E56601"/>
    <w:rsid w:val="47E75388"/>
    <w:rsid w:val="47E82E09"/>
    <w:rsid w:val="47E87586"/>
    <w:rsid w:val="47E95008"/>
    <w:rsid w:val="47EA2A89"/>
    <w:rsid w:val="47EA7812"/>
    <w:rsid w:val="47EB050B"/>
    <w:rsid w:val="47EC180F"/>
    <w:rsid w:val="47EC5F8C"/>
    <w:rsid w:val="47EE4D13"/>
    <w:rsid w:val="47EF2794"/>
    <w:rsid w:val="47EF4992"/>
    <w:rsid w:val="47EF6F11"/>
    <w:rsid w:val="47F00216"/>
    <w:rsid w:val="47F02414"/>
    <w:rsid w:val="47F0441B"/>
    <w:rsid w:val="47F045E0"/>
    <w:rsid w:val="47F06C1E"/>
    <w:rsid w:val="47F15B06"/>
    <w:rsid w:val="47F16027"/>
    <w:rsid w:val="47F17E95"/>
    <w:rsid w:val="47F25917"/>
    <w:rsid w:val="47F3119A"/>
    <w:rsid w:val="47F33399"/>
    <w:rsid w:val="47F40E1A"/>
    <w:rsid w:val="47F46C1C"/>
    <w:rsid w:val="47F57AAC"/>
    <w:rsid w:val="47F6064A"/>
    <w:rsid w:val="47F6211F"/>
    <w:rsid w:val="47F63BEF"/>
    <w:rsid w:val="47F71D9F"/>
    <w:rsid w:val="47F77BA0"/>
    <w:rsid w:val="47F81D88"/>
    <w:rsid w:val="47F87820"/>
    <w:rsid w:val="47F90B25"/>
    <w:rsid w:val="47F952A2"/>
    <w:rsid w:val="47FA2D23"/>
    <w:rsid w:val="47FA65A7"/>
    <w:rsid w:val="47FB4028"/>
    <w:rsid w:val="47FD5FB7"/>
    <w:rsid w:val="47FD752B"/>
    <w:rsid w:val="47FE1246"/>
    <w:rsid w:val="47FE4FAD"/>
    <w:rsid w:val="47FF2A2E"/>
    <w:rsid w:val="47FF71AB"/>
    <w:rsid w:val="480000CE"/>
    <w:rsid w:val="480076EC"/>
    <w:rsid w:val="480126AE"/>
    <w:rsid w:val="48020130"/>
    <w:rsid w:val="48022749"/>
    <w:rsid w:val="48031435"/>
    <w:rsid w:val="48054938"/>
    <w:rsid w:val="48064139"/>
    <w:rsid w:val="48072039"/>
    <w:rsid w:val="480745B8"/>
    <w:rsid w:val="48087ABB"/>
    <w:rsid w:val="4809333E"/>
    <w:rsid w:val="4809553C"/>
    <w:rsid w:val="48096DEF"/>
    <w:rsid w:val="480B0A3F"/>
    <w:rsid w:val="480C64C1"/>
    <w:rsid w:val="480D3F42"/>
    <w:rsid w:val="480E19C4"/>
    <w:rsid w:val="480E23EA"/>
    <w:rsid w:val="480E2C76"/>
    <w:rsid w:val="480E7FCB"/>
    <w:rsid w:val="480F2CC9"/>
    <w:rsid w:val="480F2E5A"/>
    <w:rsid w:val="4810074A"/>
    <w:rsid w:val="48104EC7"/>
    <w:rsid w:val="48112949"/>
    <w:rsid w:val="481203CA"/>
    <w:rsid w:val="48124F71"/>
    <w:rsid w:val="481316CF"/>
    <w:rsid w:val="481438CD"/>
    <w:rsid w:val="48147089"/>
    <w:rsid w:val="48162654"/>
    <w:rsid w:val="481700D5"/>
    <w:rsid w:val="481711A1"/>
    <w:rsid w:val="48174852"/>
    <w:rsid w:val="481A57D7"/>
    <w:rsid w:val="481C529E"/>
    <w:rsid w:val="481F54E2"/>
    <w:rsid w:val="481F6949"/>
    <w:rsid w:val="481F6B0D"/>
    <w:rsid w:val="481F76E0"/>
    <w:rsid w:val="48210C25"/>
    <w:rsid w:val="48212BE3"/>
    <w:rsid w:val="48220665"/>
    <w:rsid w:val="48220A60"/>
    <w:rsid w:val="48226466"/>
    <w:rsid w:val="48231FD9"/>
    <w:rsid w:val="4823219D"/>
    <w:rsid w:val="48233EE8"/>
    <w:rsid w:val="48241969"/>
    <w:rsid w:val="48243B68"/>
    <w:rsid w:val="482515E9"/>
    <w:rsid w:val="482640F1"/>
    <w:rsid w:val="482642B5"/>
    <w:rsid w:val="4826706B"/>
    <w:rsid w:val="48274AEC"/>
    <w:rsid w:val="48285DF1"/>
    <w:rsid w:val="48293873"/>
    <w:rsid w:val="482A5A71"/>
    <w:rsid w:val="482B34F2"/>
    <w:rsid w:val="482B6D76"/>
    <w:rsid w:val="482D2279"/>
    <w:rsid w:val="482D69F6"/>
    <w:rsid w:val="482E1898"/>
    <w:rsid w:val="482E4477"/>
    <w:rsid w:val="482E7CFA"/>
    <w:rsid w:val="4830797A"/>
    <w:rsid w:val="48310C7F"/>
    <w:rsid w:val="48324391"/>
    <w:rsid w:val="48326701"/>
    <w:rsid w:val="48334182"/>
    <w:rsid w:val="48357205"/>
    <w:rsid w:val="48357685"/>
    <w:rsid w:val="48363DE1"/>
    <w:rsid w:val="48365107"/>
    <w:rsid w:val="48372B88"/>
    <w:rsid w:val="48391D37"/>
    <w:rsid w:val="483B158F"/>
    <w:rsid w:val="483C3E0E"/>
    <w:rsid w:val="483D49AD"/>
    <w:rsid w:val="483D4A92"/>
    <w:rsid w:val="48410F19"/>
    <w:rsid w:val="48420A18"/>
    <w:rsid w:val="48420BDC"/>
    <w:rsid w:val="4842699B"/>
    <w:rsid w:val="48431175"/>
    <w:rsid w:val="4843441C"/>
    <w:rsid w:val="48441E9E"/>
    <w:rsid w:val="48452B2F"/>
    <w:rsid w:val="48452CF3"/>
    <w:rsid w:val="48457920"/>
    <w:rsid w:val="48472E23"/>
    <w:rsid w:val="4847487F"/>
    <w:rsid w:val="48484E0B"/>
    <w:rsid w:val="48492B70"/>
    <w:rsid w:val="484A3DA7"/>
    <w:rsid w:val="484A6384"/>
    <w:rsid w:val="484B6D5E"/>
    <w:rsid w:val="484C049B"/>
    <w:rsid w:val="484C2B2E"/>
    <w:rsid w:val="484C72AA"/>
    <w:rsid w:val="484D05AF"/>
    <w:rsid w:val="484D0E76"/>
    <w:rsid w:val="484D103A"/>
    <w:rsid w:val="484D4D2C"/>
    <w:rsid w:val="484E1850"/>
    <w:rsid w:val="484E1A14"/>
    <w:rsid w:val="484E6031"/>
    <w:rsid w:val="484F23EF"/>
    <w:rsid w:val="48513732"/>
    <w:rsid w:val="48513B2C"/>
    <w:rsid w:val="48516FB5"/>
    <w:rsid w:val="48524506"/>
    <w:rsid w:val="485324B9"/>
    <w:rsid w:val="48536C35"/>
    <w:rsid w:val="485446B7"/>
    <w:rsid w:val="48545755"/>
    <w:rsid w:val="48545A7F"/>
    <w:rsid w:val="48552138"/>
    <w:rsid w:val="485559BC"/>
    <w:rsid w:val="48557733"/>
    <w:rsid w:val="48560C68"/>
    <w:rsid w:val="4856343D"/>
    <w:rsid w:val="4856705C"/>
    <w:rsid w:val="485671BC"/>
    <w:rsid w:val="48567BBA"/>
    <w:rsid w:val="48570EBF"/>
    <w:rsid w:val="4857563B"/>
    <w:rsid w:val="48575BD9"/>
    <w:rsid w:val="485760FA"/>
    <w:rsid w:val="48586940"/>
    <w:rsid w:val="48591E73"/>
    <w:rsid w:val="485A1E43"/>
    <w:rsid w:val="485C5346"/>
    <w:rsid w:val="485D4FC6"/>
    <w:rsid w:val="485E084A"/>
    <w:rsid w:val="485E533F"/>
    <w:rsid w:val="485E5503"/>
    <w:rsid w:val="485F62CB"/>
    <w:rsid w:val="486017CE"/>
    <w:rsid w:val="48603D4D"/>
    <w:rsid w:val="48606A7C"/>
    <w:rsid w:val="48613353"/>
    <w:rsid w:val="486139CD"/>
    <w:rsid w:val="48617456"/>
    <w:rsid w:val="4861761A"/>
    <w:rsid w:val="4862144E"/>
    <w:rsid w:val="48627FF5"/>
    <w:rsid w:val="4864160D"/>
    <w:rsid w:val="4864183A"/>
    <w:rsid w:val="48644951"/>
    <w:rsid w:val="48650DF8"/>
    <w:rsid w:val="4865210C"/>
    <w:rsid w:val="486523D3"/>
    <w:rsid w:val="48655C56"/>
    <w:rsid w:val="48660201"/>
    <w:rsid w:val="48662CAB"/>
    <w:rsid w:val="486758D6"/>
    <w:rsid w:val="48683357"/>
    <w:rsid w:val="48686BDB"/>
    <w:rsid w:val="4869465C"/>
    <w:rsid w:val="486A685A"/>
    <w:rsid w:val="486B42DC"/>
    <w:rsid w:val="486B6EDA"/>
    <w:rsid w:val="486C1D5E"/>
    <w:rsid w:val="486C55E1"/>
    <w:rsid w:val="486D028E"/>
    <w:rsid w:val="486D77DF"/>
    <w:rsid w:val="486E0AE4"/>
    <w:rsid w:val="486F2CE2"/>
    <w:rsid w:val="4870272E"/>
    <w:rsid w:val="48703FE7"/>
    <w:rsid w:val="487061E5"/>
    <w:rsid w:val="487209AE"/>
    <w:rsid w:val="487274EA"/>
    <w:rsid w:val="487344BE"/>
    <w:rsid w:val="48734F6C"/>
    <w:rsid w:val="4873716A"/>
    <w:rsid w:val="48741AB6"/>
    <w:rsid w:val="48744BEB"/>
    <w:rsid w:val="48745BFB"/>
    <w:rsid w:val="487600EF"/>
    <w:rsid w:val="48773972"/>
    <w:rsid w:val="48775B70"/>
    <w:rsid w:val="48777D12"/>
    <w:rsid w:val="487806ED"/>
    <w:rsid w:val="487835F2"/>
    <w:rsid w:val="487948F7"/>
    <w:rsid w:val="487B2804"/>
    <w:rsid w:val="487C1FF8"/>
    <w:rsid w:val="487C587B"/>
    <w:rsid w:val="487D7A79"/>
    <w:rsid w:val="487E0D7E"/>
    <w:rsid w:val="487F2F7D"/>
    <w:rsid w:val="487F6800"/>
    <w:rsid w:val="488009FE"/>
    <w:rsid w:val="48805E95"/>
    <w:rsid w:val="4881611D"/>
    <w:rsid w:val="48816480"/>
    <w:rsid w:val="488169A9"/>
    <w:rsid w:val="48816A33"/>
    <w:rsid w:val="48820171"/>
    <w:rsid w:val="48825005"/>
    <w:rsid w:val="48827784"/>
    <w:rsid w:val="488345C4"/>
    <w:rsid w:val="48835206"/>
    <w:rsid w:val="48847404"/>
    <w:rsid w:val="488520C4"/>
    <w:rsid w:val="48862907"/>
    <w:rsid w:val="48870389"/>
    <w:rsid w:val="48873C0C"/>
    <w:rsid w:val="4888168E"/>
    <w:rsid w:val="488841DB"/>
    <w:rsid w:val="4889710F"/>
    <w:rsid w:val="488B2612"/>
    <w:rsid w:val="488B4811"/>
    <w:rsid w:val="488C0094"/>
    <w:rsid w:val="488C2292"/>
    <w:rsid w:val="488C6E91"/>
    <w:rsid w:val="488D7A30"/>
    <w:rsid w:val="488E3597"/>
    <w:rsid w:val="488E5795"/>
    <w:rsid w:val="488F0FD1"/>
    <w:rsid w:val="488F1019"/>
    <w:rsid w:val="488F1B48"/>
    <w:rsid w:val="4890006E"/>
    <w:rsid w:val="489003DA"/>
    <w:rsid w:val="4890058F"/>
    <w:rsid w:val="48900C98"/>
    <w:rsid w:val="4890451C"/>
    <w:rsid w:val="48906A9A"/>
    <w:rsid w:val="48911033"/>
    <w:rsid w:val="4891671A"/>
    <w:rsid w:val="48916DA1"/>
    <w:rsid w:val="4892419C"/>
    <w:rsid w:val="48927A1F"/>
    <w:rsid w:val="48934639"/>
    <w:rsid w:val="489354A0"/>
    <w:rsid w:val="489451D8"/>
    <w:rsid w:val="4894769F"/>
    <w:rsid w:val="48955120"/>
    <w:rsid w:val="48955BB2"/>
    <w:rsid w:val="48962BA2"/>
    <w:rsid w:val="48966425"/>
    <w:rsid w:val="48973EA7"/>
    <w:rsid w:val="489973AA"/>
    <w:rsid w:val="489B28AD"/>
    <w:rsid w:val="489C351F"/>
    <w:rsid w:val="489D5DB0"/>
    <w:rsid w:val="489E012A"/>
    <w:rsid w:val="489E2A01"/>
    <w:rsid w:val="489E3831"/>
    <w:rsid w:val="489E4A98"/>
    <w:rsid w:val="489F12B3"/>
    <w:rsid w:val="48A0157E"/>
    <w:rsid w:val="48A06D34"/>
    <w:rsid w:val="48A147B6"/>
    <w:rsid w:val="48A30128"/>
    <w:rsid w:val="48A37CB9"/>
    <w:rsid w:val="48A4573B"/>
    <w:rsid w:val="48A531BC"/>
    <w:rsid w:val="48A60C3E"/>
    <w:rsid w:val="48A766BF"/>
    <w:rsid w:val="48A835F4"/>
    <w:rsid w:val="48A837B8"/>
    <w:rsid w:val="48A84141"/>
    <w:rsid w:val="48A97644"/>
    <w:rsid w:val="48AC05C9"/>
    <w:rsid w:val="48AD446D"/>
    <w:rsid w:val="48AD4952"/>
    <w:rsid w:val="48AD5029"/>
    <w:rsid w:val="48AD604A"/>
    <w:rsid w:val="48AE321A"/>
    <w:rsid w:val="48AE39F0"/>
    <w:rsid w:val="48AF3319"/>
    <w:rsid w:val="48AF6C7E"/>
    <w:rsid w:val="48B02852"/>
    <w:rsid w:val="48B06FCF"/>
    <w:rsid w:val="48B102D4"/>
    <w:rsid w:val="48B14A50"/>
    <w:rsid w:val="48B337D7"/>
    <w:rsid w:val="48B37F53"/>
    <w:rsid w:val="48B41258"/>
    <w:rsid w:val="48B459D5"/>
    <w:rsid w:val="48B60ED8"/>
    <w:rsid w:val="48B65B6A"/>
    <w:rsid w:val="48B721DD"/>
    <w:rsid w:val="48B76708"/>
    <w:rsid w:val="48B843DB"/>
    <w:rsid w:val="48B872A7"/>
    <w:rsid w:val="48B87BF5"/>
    <w:rsid w:val="48B87E46"/>
    <w:rsid w:val="48B91E5D"/>
    <w:rsid w:val="48B956E0"/>
    <w:rsid w:val="48BA065B"/>
    <w:rsid w:val="48BA11FA"/>
    <w:rsid w:val="48BA2880"/>
    <w:rsid w:val="48BA3162"/>
    <w:rsid w:val="48BA78DE"/>
    <w:rsid w:val="48BB0BE3"/>
    <w:rsid w:val="48BB5360"/>
    <w:rsid w:val="48BC72E5"/>
    <w:rsid w:val="48BD0863"/>
    <w:rsid w:val="48BE1B68"/>
    <w:rsid w:val="48BE55D6"/>
    <w:rsid w:val="48BF75E9"/>
    <w:rsid w:val="48C017E8"/>
    <w:rsid w:val="48C14CEB"/>
    <w:rsid w:val="48C17269"/>
    <w:rsid w:val="48C2056E"/>
    <w:rsid w:val="48C301EE"/>
    <w:rsid w:val="48C536F1"/>
    <w:rsid w:val="48C61172"/>
    <w:rsid w:val="48C66F74"/>
    <w:rsid w:val="48C72D96"/>
    <w:rsid w:val="48C749F6"/>
    <w:rsid w:val="48C76BF4"/>
    <w:rsid w:val="48C82A81"/>
    <w:rsid w:val="48C9414A"/>
    <w:rsid w:val="48C9430F"/>
    <w:rsid w:val="48CA4CE9"/>
    <w:rsid w:val="48CA4EAD"/>
    <w:rsid w:val="48CB063F"/>
    <w:rsid w:val="48CB0E7D"/>
    <w:rsid w:val="48CB5887"/>
    <w:rsid w:val="48CC307C"/>
    <w:rsid w:val="48CC6262"/>
    <w:rsid w:val="48CC68FF"/>
    <w:rsid w:val="48CC7DB3"/>
    <w:rsid w:val="48CD4381"/>
    <w:rsid w:val="48CE657F"/>
    <w:rsid w:val="48D1043A"/>
    <w:rsid w:val="48D17504"/>
    <w:rsid w:val="48D20808"/>
    <w:rsid w:val="48D22491"/>
    <w:rsid w:val="48D24F85"/>
    <w:rsid w:val="48D31753"/>
    <w:rsid w:val="48D32A07"/>
    <w:rsid w:val="48D3628A"/>
    <w:rsid w:val="48D40488"/>
    <w:rsid w:val="48D43A0A"/>
    <w:rsid w:val="48D43BCE"/>
    <w:rsid w:val="48D5178D"/>
    <w:rsid w:val="48D55147"/>
    <w:rsid w:val="48D7140D"/>
    <w:rsid w:val="48D752C3"/>
    <w:rsid w:val="48D84455"/>
    <w:rsid w:val="48D86E8E"/>
    <w:rsid w:val="48D90193"/>
    <w:rsid w:val="48D93187"/>
    <w:rsid w:val="48D93F34"/>
    <w:rsid w:val="48D94910"/>
    <w:rsid w:val="48D97DFD"/>
    <w:rsid w:val="48DA7E13"/>
    <w:rsid w:val="48DE32C9"/>
    <w:rsid w:val="48DE461B"/>
    <w:rsid w:val="48DF209C"/>
    <w:rsid w:val="48DF402C"/>
    <w:rsid w:val="48DF429B"/>
    <w:rsid w:val="48E01D1C"/>
    <w:rsid w:val="48E07B1E"/>
    <w:rsid w:val="48E13021"/>
    <w:rsid w:val="48E155A0"/>
    <w:rsid w:val="48E1779E"/>
    <w:rsid w:val="48E20AA3"/>
    <w:rsid w:val="48E2521F"/>
    <w:rsid w:val="48E25F7F"/>
    <w:rsid w:val="48E36524"/>
    <w:rsid w:val="48E43FA6"/>
    <w:rsid w:val="48E46C3C"/>
    <w:rsid w:val="48E51A27"/>
    <w:rsid w:val="48E561A4"/>
    <w:rsid w:val="48E617D4"/>
    <w:rsid w:val="48E716A7"/>
    <w:rsid w:val="48E72AFF"/>
    <w:rsid w:val="48E74F2A"/>
    <w:rsid w:val="48E763A6"/>
    <w:rsid w:val="48E829AC"/>
    <w:rsid w:val="48E9042E"/>
    <w:rsid w:val="48E938EC"/>
    <w:rsid w:val="48E94BB7"/>
    <w:rsid w:val="48EA262C"/>
    <w:rsid w:val="48EA5EAF"/>
    <w:rsid w:val="48EB00AD"/>
    <w:rsid w:val="48EC13B2"/>
    <w:rsid w:val="48EC5B2F"/>
    <w:rsid w:val="48EE1032"/>
    <w:rsid w:val="48EE48B5"/>
    <w:rsid w:val="48EE4D6E"/>
    <w:rsid w:val="48EF04F5"/>
    <w:rsid w:val="48EF4B8D"/>
    <w:rsid w:val="48EF6AB4"/>
    <w:rsid w:val="48F00ECF"/>
    <w:rsid w:val="48F04535"/>
    <w:rsid w:val="48F11A6E"/>
    <w:rsid w:val="48F11FB7"/>
    <w:rsid w:val="48F1583A"/>
    <w:rsid w:val="48F232BB"/>
    <w:rsid w:val="48F254BA"/>
    <w:rsid w:val="48F30D3D"/>
    <w:rsid w:val="48F467BF"/>
    <w:rsid w:val="48F54240"/>
    <w:rsid w:val="48F5643E"/>
    <w:rsid w:val="48F61CC2"/>
    <w:rsid w:val="48F63EC0"/>
    <w:rsid w:val="48F71942"/>
    <w:rsid w:val="48F75AD9"/>
    <w:rsid w:val="48F77743"/>
    <w:rsid w:val="48F873C3"/>
    <w:rsid w:val="48F94E45"/>
    <w:rsid w:val="48FA28C6"/>
    <w:rsid w:val="48FA30CC"/>
    <w:rsid w:val="48FC5DC9"/>
    <w:rsid w:val="48FD384B"/>
    <w:rsid w:val="48FD70CE"/>
    <w:rsid w:val="48FE28A6"/>
    <w:rsid w:val="48FF25D1"/>
    <w:rsid w:val="48FF3281"/>
    <w:rsid w:val="49000053"/>
    <w:rsid w:val="490049BE"/>
    <w:rsid w:val="49023556"/>
    <w:rsid w:val="49030FD7"/>
    <w:rsid w:val="49042511"/>
    <w:rsid w:val="49046A59"/>
    <w:rsid w:val="490474B0"/>
    <w:rsid w:val="4905004E"/>
    <w:rsid w:val="49051D27"/>
    <w:rsid w:val="490544DA"/>
    <w:rsid w:val="49061651"/>
    <w:rsid w:val="49061F5C"/>
    <w:rsid w:val="490779DE"/>
    <w:rsid w:val="4908545F"/>
    <w:rsid w:val="490957B5"/>
    <w:rsid w:val="490A38A3"/>
    <w:rsid w:val="490C3E65"/>
    <w:rsid w:val="490D18E7"/>
    <w:rsid w:val="490F7AD2"/>
    <w:rsid w:val="4910286C"/>
    <w:rsid w:val="491102ED"/>
    <w:rsid w:val="4911104B"/>
    <w:rsid w:val="49115D6F"/>
    <w:rsid w:val="49121A25"/>
    <w:rsid w:val="49134D90"/>
    <w:rsid w:val="49142F9E"/>
    <w:rsid w:val="4915390D"/>
    <w:rsid w:val="49164517"/>
    <w:rsid w:val="491856F9"/>
    <w:rsid w:val="491867F3"/>
    <w:rsid w:val="49190F7D"/>
    <w:rsid w:val="491A667D"/>
    <w:rsid w:val="491A7D6C"/>
    <w:rsid w:val="491B090B"/>
    <w:rsid w:val="491B667E"/>
    <w:rsid w:val="491D1B81"/>
    <w:rsid w:val="491D5404"/>
    <w:rsid w:val="491E2E86"/>
    <w:rsid w:val="491E7603"/>
    <w:rsid w:val="491F0908"/>
    <w:rsid w:val="492104D0"/>
    <w:rsid w:val="49210587"/>
    <w:rsid w:val="4922188C"/>
    <w:rsid w:val="49226E97"/>
    <w:rsid w:val="49233A8B"/>
    <w:rsid w:val="49235F35"/>
    <w:rsid w:val="4923730E"/>
    <w:rsid w:val="4924150C"/>
    <w:rsid w:val="49244D8F"/>
    <w:rsid w:val="49246A8D"/>
    <w:rsid w:val="49246C51"/>
    <w:rsid w:val="49252811"/>
    <w:rsid w:val="49256F8E"/>
    <w:rsid w:val="4925762B"/>
    <w:rsid w:val="49271743"/>
    <w:rsid w:val="49275D14"/>
    <w:rsid w:val="49283796"/>
    <w:rsid w:val="49291217"/>
    <w:rsid w:val="49292CBC"/>
    <w:rsid w:val="492A3415"/>
    <w:rsid w:val="492A385B"/>
    <w:rsid w:val="492B471A"/>
    <w:rsid w:val="492B6918"/>
    <w:rsid w:val="492C4DD3"/>
    <w:rsid w:val="492C7C67"/>
    <w:rsid w:val="492D1E1C"/>
    <w:rsid w:val="492E569F"/>
    <w:rsid w:val="492E6511"/>
    <w:rsid w:val="492F3120"/>
    <w:rsid w:val="492F531F"/>
    <w:rsid w:val="49300BA2"/>
    <w:rsid w:val="49310822"/>
    <w:rsid w:val="49310C32"/>
    <w:rsid w:val="493140A5"/>
    <w:rsid w:val="49321003"/>
    <w:rsid w:val="49321B27"/>
    <w:rsid w:val="493262A3"/>
    <w:rsid w:val="493319DD"/>
    <w:rsid w:val="49333D25"/>
    <w:rsid w:val="49352AAB"/>
    <w:rsid w:val="49357228"/>
    <w:rsid w:val="493573AF"/>
    <w:rsid w:val="49364CAA"/>
    <w:rsid w:val="4937506D"/>
    <w:rsid w:val="49375FAE"/>
    <w:rsid w:val="493801AD"/>
    <w:rsid w:val="49383A30"/>
    <w:rsid w:val="49385C0C"/>
    <w:rsid w:val="49385DD0"/>
    <w:rsid w:val="49386069"/>
    <w:rsid w:val="493967AB"/>
    <w:rsid w:val="493A36B0"/>
    <w:rsid w:val="493A6F33"/>
    <w:rsid w:val="493A7349"/>
    <w:rsid w:val="493B49B5"/>
    <w:rsid w:val="493C6BB3"/>
    <w:rsid w:val="493D129C"/>
    <w:rsid w:val="493D1461"/>
    <w:rsid w:val="493E20B6"/>
    <w:rsid w:val="493E5939"/>
    <w:rsid w:val="493F33BB"/>
    <w:rsid w:val="4940325A"/>
    <w:rsid w:val="49403578"/>
    <w:rsid w:val="494055B9"/>
    <w:rsid w:val="4941303B"/>
    <w:rsid w:val="494168BE"/>
    <w:rsid w:val="49420ABC"/>
    <w:rsid w:val="4942433F"/>
    <w:rsid w:val="4942492D"/>
    <w:rsid w:val="494254CB"/>
    <w:rsid w:val="4942653E"/>
    <w:rsid w:val="49431DC1"/>
    <w:rsid w:val="49433FBF"/>
    <w:rsid w:val="49447842"/>
    <w:rsid w:val="494552C4"/>
    <w:rsid w:val="49460182"/>
    <w:rsid w:val="49464F44"/>
    <w:rsid w:val="49480447"/>
    <w:rsid w:val="49493CCA"/>
    <w:rsid w:val="49495EC9"/>
    <w:rsid w:val="494A2E38"/>
    <w:rsid w:val="494A394A"/>
    <w:rsid w:val="494A71CD"/>
    <w:rsid w:val="494B13CC"/>
    <w:rsid w:val="494B4C4F"/>
    <w:rsid w:val="494C26D0"/>
    <w:rsid w:val="494C6E4D"/>
    <w:rsid w:val="494D0152"/>
    <w:rsid w:val="494D48CF"/>
    <w:rsid w:val="494D6EBA"/>
    <w:rsid w:val="494E2350"/>
    <w:rsid w:val="494E3120"/>
    <w:rsid w:val="494E5881"/>
    <w:rsid w:val="494F3655"/>
    <w:rsid w:val="494F7DD2"/>
    <w:rsid w:val="495010D7"/>
    <w:rsid w:val="49505853"/>
    <w:rsid w:val="49516B58"/>
    <w:rsid w:val="4951787D"/>
    <w:rsid w:val="4953205B"/>
    <w:rsid w:val="495367D8"/>
    <w:rsid w:val="49542533"/>
    <w:rsid w:val="4954425A"/>
    <w:rsid w:val="49547ADD"/>
    <w:rsid w:val="49551CDB"/>
    <w:rsid w:val="4955555E"/>
    <w:rsid w:val="49562FE0"/>
    <w:rsid w:val="4956775D"/>
    <w:rsid w:val="49582C60"/>
    <w:rsid w:val="49585025"/>
    <w:rsid w:val="495906E1"/>
    <w:rsid w:val="49595BC3"/>
    <w:rsid w:val="495A19E6"/>
    <w:rsid w:val="495B1666"/>
    <w:rsid w:val="495C0214"/>
    <w:rsid w:val="495C03CA"/>
    <w:rsid w:val="495C70E7"/>
    <w:rsid w:val="495D4B69"/>
    <w:rsid w:val="495E03EC"/>
    <w:rsid w:val="495F006C"/>
    <w:rsid w:val="495F2991"/>
    <w:rsid w:val="495F5E6E"/>
    <w:rsid w:val="49603530"/>
    <w:rsid w:val="496038EF"/>
    <w:rsid w:val="496140CE"/>
    <w:rsid w:val="49624874"/>
    <w:rsid w:val="496248E4"/>
    <w:rsid w:val="49624AA9"/>
    <w:rsid w:val="496322F6"/>
    <w:rsid w:val="49636A72"/>
    <w:rsid w:val="49647D77"/>
    <w:rsid w:val="49670CFC"/>
    <w:rsid w:val="49680B13"/>
    <w:rsid w:val="49680CD8"/>
    <w:rsid w:val="496A1C80"/>
    <w:rsid w:val="496A2F12"/>
    <w:rsid w:val="496A30C8"/>
    <w:rsid w:val="496B7702"/>
    <w:rsid w:val="496C1724"/>
    <w:rsid w:val="496C4368"/>
    <w:rsid w:val="496C5184"/>
    <w:rsid w:val="496E0687"/>
    <w:rsid w:val="496F6108"/>
    <w:rsid w:val="496F6480"/>
    <w:rsid w:val="49703B8A"/>
    <w:rsid w:val="4972708D"/>
    <w:rsid w:val="49731136"/>
    <w:rsid w:val="49742590"/>
    <w:rsid w:val="49750012"/>
    <w:rsid w:val="497524EA"/>
    <w:rsid w:val="49763089"/>
    <w:rsid w:val="49765A93"/>
    <w:rsid w:val="49773515"/>
    <w:rsid w:val="49773A63"/>
    <w:rsid w:val="49773C28"/>
    <w:rsid w:val="49780F96"/>
    <w:rsid w:val="49784602"/>
    <w:rsid w:val="49796A18"/>
    <w:rsid w:val="497A4499"/>
    <w:rsid w:val="497A74C6"/>
    <w:rsid w:val="497C7C92"/>
    <w:rsid w:val="497D09F5"/>
    <w:rsid w:val="497D2E9F"/>
    <w:rsid w:val="497E0921"/>
    <w:rsid w:val="497F63A3"/>
    <w:rsid w:val="497F6965"/>
    <w:rsid w:val="49802948"/>
    <w:rsid w:val="498118A6"/>
    <w:rsid w:val="49827327"/>
    <w:rsid w:val="4983062C"/>
    <w:rsid w:val="49834A60"/>
    <w:rsid w:val="4984543A"/>
    <w:rsid w:val="498460AE"/>
    <w:rsid w:val="498502AC"/>
    <w:rsid w:val="4985619D"/>
    <w:rsid w:val="498615B1"/>
    <w:rsid w:val="49865D2D"/>
    <w:rsid w:val="49867716"/>
    <w:rsid w:val="498737AF"/>
    <w:rsid w:val="49877032"/>
    <w:rsid w:val="49877552"/>
    <w:rsid w:val="49877B61"/>
    <w:rsid w:val="49892535"/>
    <w:rsid w:val="49895C9C"/>
    <w:rsid w:val="49896CB2"/>
    <w:rsid w:val="498A4734"/>
    <w:rsid w:val="498C34BA"/>
    <w:rsid w:val="498C3781"/>
    <w:rsid w:val="498C3945"/>
    <w:rsid w:val="498C7C37"/>
    <w:rsid w:val="498D0F3C"/>
    <w:rsid w:val="498D56B8"/>
    <w:rsid w:val="498E313A"/>
    <w:rsid w:val="498E69BD"/>
    <w:rsid w:val="49901EC0"/>
    <w:rsid w:val="49906437"/>
    <w:rsid w:val="4990663D"/>
    <w:rsid w:val="499140BE"/>
    <w:rsid w:val="49916FD6"/>
    <w:rsid w:val="49921B40"/>
    <w:rsid w:val="499253C3"/>
    <w:rsid w:val="49927B74"/>
    <w:rsid w:val="49935043"/>
    <w:rsid w:val="499408C6"/>
    <w:rsid w:val="49940F29"/>
    <w:rsid w:val="499410ED"/>
    <w:rsid w:val="49950546"/>
    <w:rsid w:val="49951AC7"/>
    <w:rsid w:val="49952666"/>
    <w:rsid w:val="49952BCA"/>
    <w:rsid w:val="49956348"/>
    <w:rsid w:val="49961C68"/>
    <w:rsid w:val="499624A2"/>
    <w:rsid w:val="49965FC8"/>
    <w:rsid w:val="49971070"/>
    <w:rsid w:val="49971226"/>
    <w:rsid w:val="4997184B"/>
    <w:rsid w:val="49973A49"/>
    <w:rsid w:val="499814CB"/>
    <w:rsid w:val="4998477E"/>
    <w:rsid w:val="49994D4E"/>
    <w:rsid w:val="49996F4C"/>
    <w:rsid w:val="499A0251"/>
    <w:rsid w:val="499A27D0"/>
    <w:rsid w:val="499A3855"/>
    <w:rsid w:val="499B244F"/>
    <w:rsid w:val="499C726F"/>
    <w:rsid w:val="499C7434"/>
    <w:rsid w:val="499C7ED1"/>
    <w:rsid w:val="499D11D6"/>
    <w:rsid w:val="499E33D4"/>
    <w:rsid w:val="499F0E56"/>
    <w:rsid w:val="49A0215B"/>
    <w:rsid w:val="49A14359"/>
    <w:rsid w:val="49A21DDA"/>
    <w:rsid w:val="49A3785C"/>
    <w:rsid w:val="49A452DD"/>
    <w:rsid w:val="49A52D5F"/>
    <w:rsid w:val="49A53BB9"/>
    <w:rsid w:val="49A565E2"/>
    <w:rsid w:val="49A607E1"/>
    <w:rsid w:val="49A64064"/>
    <w:rsid w:val="49A66B2F"/>
    <w:rsid w:val="49A91765"/>
    <w:rsid w:val="49A94FE8"/>
    <w:rsid w:val="49AA2A6A"/>
    <w:rsid w:val="49AB04EC"/>
    <w:rsid w:val="49AB26EA"/>
    <w:rsid w:val="49AC016B"/>
    <w:rsid w:val="49AC5F6D"/>
    <w:rsid w:val="49AD39EF"/>
    <w:rsid w:val="49AD5BED"/>
    <w:rsid w:val="49AE1470"/>
    <w:rsid w:val="49AE366E"/>
    <w:rsid w:val="49AE449B"/>
    <w:rsid w:val="49AF6EF2"/>
    <w:rsid w:val="49B04973"/>
    <w:rsid w:val="49B145F3"/>
    <w:rsid w:val="49B16394"/>
    <w:rsid w:val="49B22075"/>
    <w:rsid w:val="49B274AE"/>
    <w:rsid w:val="49B27819"/>
    <w:rsid w:val="49B358F8"/>
    <w:rsid w:val="49B40DFB"/>
    <w:rsid w:val="49B40EE0"/>
    <w:rsid w:val="49B45578"/>
    <w:rsid w:val="49B764FC"/>
    <w:rsid w:val="49B83B96"/>
    <w:rsid w:val="49B83F7E"/>
    <w:rsid w:val="49B95283"/>
    <w:rsid w:val="49BA2D04"/>
    <w:rsid w:val="49BA52D4"/>
    <w:rsid w:val="49BB0786"/>
    <w:rsid w:val="49BC1AC3"/>
    <w:rsid w:val="49BC2984"/>
    <w:rsid w:val="49BD0406"/>
    <w:rsid w:val="49BD7227"/>
    <w:rsid w:val="49BE5E87"/>
    <w:rsid w:val="49BF133E"/>
    <w:rsid w:val="49BF1503"/>
    <w:rsid w:val="49BF718C"/>
    <w:rsid w:val="49C0138A"/>
    <w:rsid w:val="49C1268F"/>
    <w:rsid w:val="49C128B7"/>
    <w:rsid w:val="49C12A7C"/>
    <w:rsid w:val="49C16E0C"/>
    <w:rsid w:val="49C20111"/>
    <w:rsid w:val="49C20652"/>
    <w:rsid w:val="49C20D29"/>
    <w:rsid w:val="49C23456"/>
    <w:rsid w:val="49C2361A"/>
    <w:rsid w:val="49C37D91"/>
    <w:rsid w:val="49C51095"/>
    <w:rsid w:val="49C5556E"/>
    <w:rsid w:val="49C60D15"/>
    <w:rsid w:val="49C763A9"/>
    <w:rsid w:val="49C76797"/>
    <w:rsid w:val="49C84218"/>
    <w:rsid w:val="49C91C9A"/>
    <w:rsid w:val="49C97A9C"/>
    <w:rsid w:val="49CA3A8D"/>
    <w:rsid w:val="49CA551D"/>
    <w:rsid w:val="49CB179D"/>
    <w:rsid w:val="49CB2F9F"/>
    <w:rsid w:val="49CC64A2"/>
    <w:rsid w:val="49CD38B4"/>
    <w:rsid w:val="49CD3F23"/>
    <w:rsid w:val="49CE1FA6"/>
    <w:rsid w:val="49CF40FD"/>
    <w:rsid w:val="49D04EA8"/>
    <w:rsid w:val="49D1292A"/>
    <w:rsid w:val="49D203AB"/>
    <w:rsid w:val="49D219AC"/>
    <w:rsid w:val="49D438AE"/>
    <w:rsid w:val="49D51330"/>
    <w:rsid w:val="49D66DB1"/>
    <w:rsid w:val="49D72799"/>
    <w:rsid w:val="49D822B4"/>
    <w:rsid w:val="49D946ED"/>
    <w:rsid w:val="49DA50C7"/>
    <w:rsid w:val="49DB3239"/>
    <w:rsid w:val="49DC0CBB"/>
    <w:rsid w:val="49DC6804"/>
    <w:rsid w:val="49DC7715"/>
    <w:rsid w:val="49DE41BE"/>
    <w:rsid w:val="49DE7D7D"/>
    <w:rsid w:val="49E04860"/>
    <w:rsid w:val="49E22BC4"/>
    <w:rsid w:val="49E265FA"/>
    <w:rsid w:val="49E3775A"/>
    <w:rsid w:val="49E4194A"/>
    <w:rsid w:val="49E43FAC"/>
    <w:rsid w:val="49E515CA"/>
    <w:rsid w:val="49E54B4B"/>
    <w:rsid w:val="49E64E4D"/>
    <w:rsid w:val="49E74ACD"/>
    <w:rsid w:val="49E95DD2"/>
    <w:rsid w:val="49EA5A52"/>
    <w:rsid w:val="49EB2377"/>
    <w:rsid w:val="49EB34D3"/>
    <w:rsid w:val="49EB6D57"/>
    <w:rsid w:val="49EF1EDA"/>
    <w:rsid w:val="49EF440A"/>
    <w:rsid w:val="49EF575D"/>
    <w:rsid w:val="49F031DE"/>
    <w:rsid w:val="49F0795B"/>
    <w:rsid w:val="49F10C60"/>
    <w:rsid w:val="49F153DD"/>
    <w:rsid w:val="49F15983"/>
    <w:rsid w:val="49F266E1"/>
    <w:rsid w:val="49F308E0"/>
    <w:rsid w:val="49F34163"/>
    <w:rsid w:val="49F370C0"/>
    <w:rsid w:val="49F40639"/>
    <w:rsid w:val="49F42EAF"/>
    <w:rsid w:val="49F6164F"/>
    <w:rsid w:val="49F619EE"/>
    <w:rsid w:val="49F72B69"/>
    <w:rsid w:val="49F737FD"/>
    <w:rsid w:val="49F772E6"/>
    <w:rsid w:val="49F805EB"/>
    <w:rsid w:val="49F84D68"/>
    <w:rsid w:val="49F9606C"/>
    <w:rsid w:val="49FA026B"/>
    <w:rsid w:val="49FA3AEE"/>
    <w:rsid w:val="49FA58EA"/>
    <w:rsid w:val="49FB277C"/>
    <w:rsid w:val="49FB376E"/>
    <w:rsid w:val="49FD0DD8"/>
    <w:rsid w:val="49FD6980"/>
    <w:rsid w:val="49FD6C71"/>
    <w:rsid w:val="49FE24F4"/>
    <w:rsid w:val="49FE46F2"/>
    <w:rsid w:val="49FF7EF9"/>
    <w:rsid w:val="49FF7F76"/>
    <w:rsid w:val="4A020EFA"/>
    <w:rsid w:val="4A021E4C"/>
    <w:rsid w:val="4A023139"/>
    <w:rsid w:val="4A030B7A"/>
    <w:rsid w:val="4A033589"/>
    <w:rsid w:val="4A0343FD"/>
    <w:rsid w:val="4A041E7F"/>
    <w:rsid w:val="4A05407D"/>
    <w:rsid w:val="4A0654DC"/>
    <w:rsid w:val="4A0656A1"/>
    <w:rsid w:val="4A072E04"/>
    <w:rsid w:val="4A077580"/>
    <w:rsid w:val="4A092A83"/>
    <w:rsid w:val="4A09547A"/>
    <w:rsid w:val="4A096307"/>
    <w:rsid w:val="4A0A0505"/>
    <w:rsid w:val="4A0A4518"/>
    <w:rsid w:val="4A0A4883"/>
    <w:rsid w:val="4A0B35B5"/>
    <w:rsid w:val="4A0C728B"/>
    <w:rsid w:val="4A0D148A"/>
    <w:rsid w:val="4A0E278E"/>
    <w:rsid w:val="4A0E6F0B"/>
    <w:rsid w:val="4A0F498D"/>
    <w:rsid w:val="4A113713"/>
    <w:rsid w:val="4A114D9C"/>
    <w:rsid w:val="4A11593B"/>
    <w:rsid w:val="4A115AFF"/>
    <w:rsid w:val="4A126315"/>
    <w:rsid w:val="4A133393"/>
    <w:rsid w:val="4A136C16"/>
    <w:rsid w:val="4A137078"/>
    <w:rsid w:val="4A1505F1"/>
    <w:rsid w:val="4A154318"/>
    <w:rsid w:val="4A161D99"/>
    <w:rsid w:val="4A171B6A"/>
    <w:rsid w:val="4A17561C"/>
    <w:rsid w:val="4A17781B"/>
    <w:rsid w:val="4A18309E"/>
    <w:rsid w:val="4A18529C"/>
    <w:rsid w:val="4A192D1E"/>
    <w:rsid w:val="4A1932A7"/>
    <w:rsid w:val="4A196B3F"/>
    <w:rsid w:val="4A1A079F"/>
    <w:rsid w:val="4A1A5506"/>
    <w:rsid w:val="4A1B1AA4"/>
    <w:rsid w:val="4A1B4023"/>
    <w:rsid w:val="4A1C7526"/>
    <w:rsid w:val="4A1D1724"/>
    <w:rsid w:val="4A1E71A6"/>
    <w:rsid w:val="4A1E7F2C"/>
    <w:rsid w:val="4A1F4C27"/>
    <w:rsid w:val="4A21012A"/>
    <w:rsid w:val="4A23524D"/>
    <w:rsid w:val="4A2472E5"/>
    <w:rsid w:val="4A2523B4"/>
    <w:rsid w:val="4A256B30"/>
    <w:rsid w:val="4A2645B2"/>
    <w:rsid w:val="4A27183D"/>
    <w:rsid w:val="4A272033"/>
    <w:rsid w:val="4A2758B7"/>
    <w:rsid w:val="4A2808DB"/>
    <w:rsid w:val="4A280DFB"/>
    <w:rsid w:val="4A281B41"/>
    <w:rsid w:val="4A283338"/>
    <w:rsid w:val="4A296EB6"/>
    <w:rsid w:val="4A2A2FB8"/>
    <w:rsid w:val="4A2A683B"/>
    <w:rsid w:val="4A2B014A"/>
    <w:rsid w:val="4A2B0A3A"/>
    <w:rsid w:val="4A2B42BD"/>
    <w:rsid w:val="4A2C0CE9"/>
    <w:rsid w:val="4A2C64BB"/>
    <w:rsid w:val="4A2D16C3"/>
    <w:rsid w:val="4A2D19BE"/>
    <w:rsid w:val="4A2D2262"/>
    <w:rsid w:val="4A2D2426"/>
    <w:rsid w:val="4A2D77C0"/>
    <w:rsid w:val="4A2E5242"/>
    <w:rsid w:val="4A2E78EE"/>
    <w:rsid w:val="4A2F2CC3"/>
    <w:rsid w:val="4A323C48"/>
    <w:rsid w:val="4A325AB6"/>
    <w:rsid w:val="4A334F2D"/>
    <w:rsid w:val="4A35264E"/>
    <w:rsid w:val="4A3600D0"/>
    <w:rsid w:val="4A363CAF"/>
    <w:rsid w:val="4A370F82"/>
    <w:rsid w:val="4A371147"/>
    <w:rsid w:val="4A375B51"/>
    <w:rsid w:val="4A381B21"/>
    <w:rsid w:val="4A3835D3"/>
    <w:rsid w:val="4A3A309A"/>
    <w:rsid w:val="4A3A3DFD"/>
    <w:rsid w:val="4A3A6AD6"/>
    <w:rsid w:val="4A3B4557"/>
    <w:rsid w:val="4A3B4613"/>
    <w:rsid w:val="4A3C1FD9"/>
    <w:rsid w:val="4A3D7A5A"/>
    <w:rsid w:val="4A3E54DC"/>
    <w:rsid w:val="4A3E68EF"/>
    <w:rsid w:val="4A3F6631"/>
    <w:rsid w:val="4A3F748D"/>
    <w:rsid w:val="4A410842"/>
    <w:rsid w:val="4A414574"/>
    <w:rsid w:val="4A423EE2"/>
    <w:rsid w:val="4A431964"/>
    <w:rsid w:val="4A442959"/>
    <w:rsid w:val="4A4473E5"/>
    <w:rsid w:val="4A454E67"/>
    <w:rsid w:val="4A45552A"/>
    <w:rsid w:val="4A4623A7"/>
    <w:rsid w:val="4A4628E8"/>
    <w:rsid w:val="4A473DD5"/>
    <w:rsid w:val="4A474A71"/>
    <w:rsid w:val="4A49386D"/>
    <w:rsid w:val="4A4970F0"/>
    <w:rsid w:val="4A4A4B72"/>
    <w:rsid w:val="4A4B25F3"/>
    <w:rsid w:val="4A4B6D70"/>
    <w:rsid w:val="4A4C2273"/>
    <w:rsid w:val="4A4C47F2"/>
    <w:rsid w:val="4A4E3578"/>
    <w:rsid w:val="4A4F0FFA"/>
    <w:rsid w:val="4A4F31F8"/>
    <w:rsid w:val="4A503792"/>
    <w:rsid w:val="4A503956"/>
    <w:rsid w:val="4A506A7B"/>
    <w:rsid w:val="4A5144FD"/>
    <w:rsid w:val="4A5166FB"/>
    <w:rsid w:val="4A5222DF"/>
    <w:rsid w:val="4A52417C"/>
    <w:rsid w:val="4A530227"/>
    <w:rsid w:val="4A535A6E"/>
    <w:rsid w:val="4A537A00"/>
    <w:rsid w:val="4A537B51"/>
    <w:rsid w:val="4A542F03"/>
    <w:rsid w:val="4A545481"/>
    <w:rsid w:val="4A547680"/>
    <w:rsid w:val="4A550984"/>
    <w:rsid w:val="4A555101"/>
    <w:rsid w:val="4A566406"/>
    <w:rsid w:val="4A5679C1"/>
    <w:rsid w:val="4A570604"/>
    <w:rsid w:val="4A573E87"/>
    <w:rsid w:val="4A581AD8"/>
    <w:rsid w:val="4A586086"/>
    <w:rsid w:val="4A593B07"/>
    <w:rsid w:val="4A59738B"/>
    <w:rsid w:val="4A5A1589"/>
    <w:rsid w:val="4A5A4E0C"/>
    <w:rsid w:val="4A5C030F"/>
    <w:rsid w:val="4A5D250E"/>
    <w:rsid w:val="4A5D5169"/>
    <w:rsid w:val="4A5D5D91"/>
    <w:rsid w:val="4A5E5ECC"/>
    <w:rsid w:val="4A5E7F8F"/>
    <w:rsid w:val="4A5F1294"/>
    <w:rsid w:val="4A5F5A11"/>
    <w:rsid w:val="4A606D15"/>
    <w:rsid w:val="4A617E1F"/>
    <w:rsid w:val="4A6209BE"/>
    <w:rsid w:val="4A62155C"/>
    <w:rsid w:val="4A631216"/>
    <w:rsid w:val="4A634417"/>
    <w:rsid w:val="4A641E98"/>
    <w:rsid w:val="4A66404E"/>
    <w:rsid w:val="4A6766A0"/>
    <w:rsid w:val="4A684122"/>
    <w:rsid w:val="4A693DA2"/>
    <w:rsid w:val="4A696166"/>
    <w:rsid w:val="4A6A1823"/>
    <w:rsid w:val="4A6A6B40"/>
    <w:rsid w:val="4A6B72A5"/>
    <w:rsid w:val="4A6C00B9"/>
    <w:rsid w:val="4A6C2B28"/>
    <w:rsid w:val="4A6C4D26"/>
    <w:rsid w:val="4A6D0C58"/>
    <w:rsid w:val="4A6D27A8"/>
    <w:rsid w:val="4A6D602B"/>
    <w:rsid w:val="4A6F152E"/>
    <w:rsid w:val="4A6F21D0"/>
    <w:rsid w:val="4A70372C"/>
    <w:rsid w:val="4A704956"/>
    <w:rsid w:val="4A706FB0"/>
    <w:rsid w:val="4A7111AE"/>
    <w:rsid w:val="4A7139F3"/>
    <w:rsid w:val="4A7142E8"/>
    <w:rsid w:val="4A7144AC"/>
    <w:rsid w:val="4A714A31"/>
    <w:rsid w:val="4A7162AD"/>
    <w:rsid w:val="4A7224B3"/>
    <w:rsid w:val="4A724E87"/>
    <w:rsid w:val="4A72504B"/>
    <w:rsid w:val="4A7346B1"/>
    <w:rsid w:val="4A735A25"/>
    <w:rsid w:val="4A737F34"/>
    <w:rsid w:val="4A7459B6"/>
    <w:rsid w:val="4A760EB9"/>
    <w:rsid w:val="4A791E3E"/>
    <w:rsid w:val="4A7965BA"/>
    <w:rsid w:val="4A7A262F"/>
    <w:rsid w:val="4A7A27F3"/>
    <w:rsid w:val="4A7A403C"/>
    <w:rsid w:val="4A7B1ABE"/>
    <w:rsid w:val="4A7B31CD"/>
    <w:rsid w:val="4A7B5341"/>
    <w:rsid w:val="4A7B576F"/>
    <w:rsid w:val="4A7C2DC2"/>
    <w:rsid w:val="4A7C4FC1"/>
    <w:rsid w:val="4A7C753F"/>
    <w:rsid w:val="4A7D490B"/>
    <w:rsid w:val="4A7F3D47"/>
    <w:rsid w:val="4A7F5F45"/>
    <w:rsid w:val="4A80578F"/>
    <w:rsid w:val="4A81724A"/>
    <w:rsid w:val="4A824CCC"/>
    <w:rsid w:val="4A826ECA"/>
    <w:rsid w:val="4A83494B"/>
    <w:rsid w:val="4A8423CD"/>
    <w:rsid w:val="4A8602B5"/>
    <w:rsid w:val="4A861153"/>
    <w:rsid w:val="4A8658D0"/>
    <w:rsid w:val="4A86619B"/>
    <w:rsid w:val="4A884BA4"/>
    <w:rsid w:val="4A8920D8"/>
    <w:rsid w:val="4A8A7B5A"/>
    <w:rsid w:val="4A8B6CBC"/>
    <w:rsid w:val="4A8D0DD3"/>
    <w:rsid w:val="4A8D1239"/>
    <w:rsid w:val="4A8E0B63"/>
    <w:rsid w:val="4A8E2CDD"/>
    <w:rsid w:val="4A8E6560"/>
    <w:rsid w:val="4A8F075E"/>
    <w:rsid w:val="4A8F3FE1"/>
    <w:rsid w:val="4A901A63"/>
    <w:rsid w:val="4A9061E0"/>
    <w:rsid w:val="4A906C2F"/>
    <w:rsid w:val="4A9138C5"/>
    <w:rsid w:val="4A913C61"/>
    <w:rsid w:val="4A9329E8"/>
    <w:rsid w:val="4A934E3E"/>
    <w:rsid w:val="4A945CD2"/>
    <w:rsid w:val="4A955EEB"/>
    <w:rsid w:val="4A9563B7"/>
    <w:rsid w:val="4A95657B"/>
    <w:rsid w:val="4A966F56"/>
    <w:rsid w:val="4A966FEB"/>
    <w:rsid w:val="4A977AF4"/>
    <w:rsid w:val="4A9804CE"/>
    <w:rsid w:val="4A986E6F"/>
    <w:rsid w:val="4A99106D"/>
    <w:rsid w:val="4A9A1C0C"/>
    <w:rsid w:val="4A9A2372"/>
    <w:rsid w:val="4A9B3185"/>
    <w:rsid w:val="4A9B4458"/>
    <w:rsid w:val="4A9B7DF4"/>
    <w:rsid w:val="4A9C318A"/>
    <w:rsid w:val="4A9C5875"/>
    <w:rsid w:val="4A9D0D79"/>
    <w:rsid w:val="4A9D28FF"/>
    <w:rsid w:val="4A9F5C76"/>
    <w:rsid w:val="4AA069DA"/>
    <w:rsid w:val="4AA1777F"/>
    <w:rsid w:val="4AA25200"/>
    <w:rsid w:val="4AA27D8E"/>
    <w:rsid w:val="4AA32C82"/>
    <w:rsid w:val="4AA62A44"/>
    <w:rsid w:val="4AA62C09"/>
    <w:rsid w:val="4AA71688"/>
    <w:rsid w:val="4AA8710A"/>
    <w:rsid w:val="4AA94B8B"/>
    <w:rsid w:val="4AA956FA"/>
    <w:rsid w:val="4AAB008E"/>
    <w:rsid w:val="4AAB5447"/>
    <w:rsid w:val="4AAB6C73"/>
    <w:rsid w:val="4AAF2318"/>
    <w:rsid w:val="4AAF6A94"/>
    <w:rsid w:val="4AB07D99"/>
    <w:rsid w:val="4AB11F98"/>
    <w:rsid w:val="4AB2329C"/>
    <w:rsid w:val="4AB27A19"/>
    <w:rsid w:val="4AB30D1E"/>
    <w:rsid w:val="4AB3441B"/>
    <w:rsid w:val="4AB44DF5"/>
    <w:rsid w:val="4AB5099E"/>
    <w:rsid w:val="4AB51CB7"/>
    <w:rsid w:val="4AB61CA3"/>
    <w:rsid w:val="4AB63EA1"/>
    <w:rsid w:val="4AB77AAC"/>
    <w:rsid w:val="4AB8064A"/>
    <w:rsid w:val="4AB80D3C"/>
    <w:rsid w:val="4AB873A4"/>
    <w:rsid w:val="4AB92C27"/>
    <w:rsid w:val="4AB94E26"/>
    <w:rsid w:val="4ABA28A7"/>
    <w:rsid w:val="4ABB0329"/>
    <w:rsid w:val="4ABB612A"/>
    <w:rsid w:val="4ABC5DAA"/>
    <w:rsid w:val="4ABD162D"/>
    <w:rsid w:val="4ABD70AF"/>
    <w:rsid w:val="4ABF34BD"/>
    <w:rsid w:val="4ABF6D2F"/>
    <w:rsid w:val="4AC00034"/>
    <w:rsid w:val="4AC047B0"/>
    <w:rsid w:val="4AC12232"/>
    <w:rsid w:val="4AC15AB5"/>
    <w:rsid w:val="4AC16991"/>
    <w:rsid w:val="4AC46A3A"/>
    <w:rsid w:val="4AC5484B"/>
    <w:rsid w:val="4AC61F3D"/>
    <w:rsid w:val="4AC72AD7"/>
    <w:rsid w:val="4AC779BE"/>
    <w:rsid w:val="4AC819BF"/>
    <w:rsid w:val="4AC81BBD"/>
    <w:rsid w:val="4AC9763E"/>
    <w:rsid w:val="4ACA50C0"/>
    <w:rsid w:val="4ACB63C5"/>
    <w:rsid w:val="4ACD18C8"/>
    <w:rsid w:val="4ACD3AC6"/>
    <w:rsid w:val="4ACD6045"/>
    <w:rsid w:val="4ACF0F07"/>
    <w:rsid w:val="4ACF6FC9"/>
    <w:rsid w:val="4AD0171C"/>
    <w:rsid w:val="4AD11442"/>
    <w:rsid w:val="4AD1147E"/>
    <w:rsid w:val="4AD122BB"/>
    <w:rsid w:val="4AD125BD"/>
    <w:rsid w:val="4AD12E5A"/>
    <w:rsid w:val="4AD14476"/>
    <w:rsid w:val="4AD25D50"/>
    <w:rsid w:val="4AD343D3"/>
    <w:rsid w:val="4AD359CF"/>
    <w:rsid w:val="4AD50ED2"/>
    <w:rsid w:val="4AD54756"/>
    <w:rsid w:val="4AD55620"/>
    <w:rsid w:val="4AD55B10"/>
    <w:rsid w:val="4AD621D7"/>
    <w:rsid w:val="4AD73FE7"/>
    <w:rsid w:val="4AD743D6"/>
    <w:rsid w:val="4AD77089"/>
    <w:rsid w:val="4AD81E57"/>
    <w:rsid w:val="4AD856DA"/>
    <w:rsid w:val="4AD9315C"/>
    <w:rsid w:val="4ADA0BDD"/>
    <w:rsid w:val="4ADA535A"/>
    <w:rsid w:val="4ADB1B7B"/>
    <w:rsid w:val="4ADC085D"/>
    <w:rsid w:val="4ADC40E1"/>
    <w:rsid w:val="4ADD1B62"/>
    <w:rsid w:val="4ADD62DF"/>
    <w:rsid w:val="4ADE3C92"/>
    <w:rsid w:val="4ADE75E4"/>
    <w:rsid w:val="4ADF17E2"/>
    <w:rsid w:val="4ADF5065"/>
    <w:rsid w:val="4AE14CE5"/>
    <w:rsid w:val="4AE16948"/>
    <w:rsid w:val="4AE22767"/>
    <w:rsid w:val="4AE25FEA"/>
    <w:rsid w:val="4AE301E8"/>
    <w:rsid w:val="4AE33A6B"/>
    <w:rsid w:val="4AE40A60"/>
    <w:rsid w:val="4AE414ED"/>
    <w:rsid w:val="4AE45C6A"/>
    <w:rsid w:val="4AE47726"/>
    <w:rsid w:val="4AE47C47"/>
    <w:rsid w:val="4AE5116D"/>
    <w:rsid w:val="4AE61FD9"/>
    <w:rsid w:val="4AE66BEE"/>
    <w:rsid w:val="4AE74670"/>
    <w:rsid w:val="4AE820F1"/>
    <w:rsid w:val="4AE95975"/>
    <w:rsid w:val="4AEA4ACB"/>
    <w:rsid w:val="4AEB3076"/>
    <w:rsid w:val="4AED6579"/>
    <w:rsid w:val="4AED6BE2"/>
    <w:rsid w:val="4AED7781"/>
    <w:rsid w:val="4AEE031F"/>
    <w:rsid w:val="4AEE3FFB"/>
    <w:rsid w:val="4AEF0EBE"/>
    <w:rsid w:val="4AEF5300"/>
    <w:rsid w:val="4AF02D81"/>
    <w:rsid w:val="4AF10803"/>
    <w:rsid w:val="4AF12273"/>
    <w:rsid w:val="4AF14F7F"/>
    <w:rsid w:val="4AF23510"/>
    <w:rsid w:val="4AF26284"/>
    <w:rsid w:val="4AF30483"/>
    <w:rsid w:val="4AF314C2"/>
    <w:rsid w:val="4AF33D06"/>
    <w:rsid w:val="4AF561A9"/>
    <w:rsid w:val="4AF57209"/>
    <w:rsid w:val="4AF64C8A"/>
    <w:rsid w:val="4AF65903"/>
    <w:rsid w:val="4AF7270C"/>
    <w:rsid w:val="4AF764A2"/>
    <w:rsid w:val="4AF76E89"/>
    <w:rsid w:val="4AF8490A"/>
    <w:rsid w:val="4AF9077E"/>
    <w:rsid w:val="4AF95C0F"/>
    <w:rsid w:val="4AF97BDF"/>
    <w:rsid w:val="4AFA05B9"/>
    <w:rsid w:val="4AFA7E0D"/>
    <w:rsid w:val="4AFB1B32"/>
    <w:rsid w:val="4AFB1CF7"/>
    <w:rsid w:val="4AFB588F"/>
    <w:rsid w:val="4AFC26D1"/>
    <w:rsid w:val="4AFC6B94"/>
    <w:rsid w:val="4AFD4615"/>
    <w:rsid w:val="4B00559A"/>
    <w:rsid w:val="4B01301B"/>
    <w:rsid w:val="4B015D61"/>
    <w:rsid w:val="4B015F26"/>
    <w:rsid w:val="4B020A9D"/>
    <w:rsid w:val="4B024675"/>
    <w:rsid w:val="4B0322FB"/>
    <w:rsid w:val="4B0324B1"/>
    <w:rsid w:val="4B032EF2"/>
    <w:rsid w:val="4B03651F"/>
    <w:rsid w:val="4B0574A3"/>
    <w:rsid w:val="4B0615B6"/>
    <w:rsid w:val="4B072155"/>
    <w:rsid w:val="4B080428"/>
    <w:rsid w:val="4B082B2F"/>
    <w:rsid w:val="4B083509"/>
    <w:rsid w:val="4B0836CE"/>
    <w:rsid w:val="4B095EA9"/>
    <w:rsid w:val="4B0A4C46"/>
    <w:rsid w:val="4B0B13AD"/>
    <w:rsid w:val="4B0C6E2E"/>
    <w:rsid w:val="4B0D48B0"/>
    <w:rsid w:val="4B0D6D5E"/>
    <w:rsid w:val="4B100CB1"/>
    <w:rsid w:val="4B105834"/>
    <w:rsid w:val="4B10647C"/>
    <w:rsid w:val="4B12476D"/>
    <w:rsid w:val="4B14423A"/>
    <w:rsid w:val="4B154342"/>
    <w:rsid w:val="4B15553F"/>
    <w:rsid w:val="4B162FC1"/>
    <w:rsid w:val="4B16773E"/>
    <w:rsid w:val="4B170A42"/>
    <w:rsid w:val="4B1751BF"/>
    <w:rsid w:val="4B182C41"/>
    <w:rsid w:val="4B193F45"/>
    <w:rsid w:val="4B1A19C7"/>
    <w:rsid w:val="4B1A6144"/>
    <w:rsid w:val="4B1B12D4"/>
    <w:rsid w:val="4B1B7449"/>
    <w:rsid w:val="4B1C1CAE"/>
    <w:rsid w:val="4B1D70C8"/>
    <w:rsid w:val="4B1E03CD"/>
    <w:rsid w:val="4B1E14E5"/>
    <w:rsid w:val="4B1E25CC"/>
    <w:rsid w:val="4B1E4B4A"/>
    <w:rsid w:val="4B1F5E4F"/>
    <w:rsid w:val="4B2038D0"/>
    <w:rsid w:val="4B204964"/>
    <w:rsid w:val="4B205ACF"/>
    <w:rsid w:val="4B211352"/>
    <w:rsid w:val="4B213550"/>
    <w:rsid w:val="4B226DD3"/>
    <w:rsid w:val="4B236A53"/>
    <w:rsid w:val="4B2422D7"/>
    <w:rsid w:val="4B2444D5"/>
    <w:rsid w:val="4B25203F"/>
    <w:rsid w:val="4B257D58"/>
    <w:rsid w:val="4B2657DA"/>
    <w:rsid w:val="4B26714A"/>
    <w:rsid w:val="4B2679D8"/>
    <w:rsid w:val="4B270CDD"/>
    <w:rsid w:val="4B275459"/>
    <w:rsid w:val="4B282AE6"/>
    <w:rsid w:val="4B282EDB"/>
    <w:rsid w:val="4B28675E"/>
    <w:rsid w:val="4B29095D"/>
    <w:rsid w:val="4B2A1C61"/>
    <w:rsid w:val="4B2A4224"/>
    <w:rsid w:val="4B2B3E60"/>
    <w:rsid w:val="4B2C5164"/>
    <w:rsid w:val="4B2C579D"/>
    <w:rsid w:val="4B2D2BAA"/>
    <w:rsid w:val="4B2D2BE6"/>
    <w:rsid w:val="4B2D633B"/>
    <w:rsid w:val="4B2D7363"/>
    <w:rsid w:val="4B2F18DD"/>
    <w:rsid w:val="4B2F2866"/>
    <w:rsid w:val="4B2F60E9"/>
    <w:rsid w:val="4B3002E7"/>
    <w:rsid w:val="4B3115EC"/>
    <w:rsid w:val="4B3223A6"/>
    <w:rsid w:val="4B3237EB"/>
    <w:rsid w:val="4B32706E"/>
    <w:rsid w:val="4B33126C"/>
    <w:rsid w:val="4B342571"/>
    <w:rsid w:val="4B35476F"/>
    <w:rsid w:val="4B365A74"/>
    <w:rsid w:val="4B383175"/>
    <w:rsid w:val="4B390BF7"/>
    <w:rsid w:val="4B3969F9"/>
    <w:rsid w:val="4B3A447A"/>
    <w:rsid w:val="4B3A6678"/>
    <w:rsid w:val="4B3B06EC"/>
    <w:rsid w:val="4B3B1EFC"/>
    <w:rsid w:val="4B3B6134"/>
    <w:rsid w:val="4B3C10C7"/>
    <w:rsid w:val="4B3C51D2"/>
    <w:rsid w:val="4B3D3D4F"/>
    <w:rsid w:val="4B3D75FD"/>
    <w:rsid w:val="4B3E0902"/>
    <w:rsid w:val="4B3F2B00"/>
    <w:rsid w:val="4B3F6383"/>
    <w:rsid w:val="4B400582"/>
    <w:rsid w:val="4B411887"/>
    <w:rsid w:val="4B4152F6"/>
    <w:rsid w:val="4B431506"/>
    <w:rsid w:val="4B446F88"/>
    <w:rsid w:val="4B4475D2"/>
    <w:rsid w:val="4B45028D"/>
    <w:rsid w:val="4B481211"/>
    <w:rsid w:val="4B481EFF"/>
    <w:rsid w:val="4B48598E"/>
    <w:rsid w:val="4B493410"/>
    <w:rsid w:val="4B496C93"/>
    <w:rsid w:val="4B4A0E91"/>
    <w:rsid w:val="4B4A4715"/>
    <w:rsid w:val="4B4B6897"/>
    <w:rsid w:val="4B4B6913"/>
    <w:rsid w:val="4B4B6C02"/>
    <w:rsid w:val="4B4C4394"/>
    <w:rsid w:val="4B4C4BB5"/>
    <w:rsid w:val="4B4D1E16"/>
    <w:rsid w:val="4B4E311B"/>
    <w:rsid w:val="4B4E5319"/>
    <w:rsid w:val="4B4E6E91"/>
    <w:rsid w:val="4B4E7897"/>
    <w:rsid w:val="4B4F2D9B"/>
    <w:rsid w:val="4B4F76A7"/>
    <w:rsid w:val="4B50661E"/>
    <w:rsid w:val="4B51629E"/>
    <w:rsid w:val="4B53235D"/>
    <w:rsid w:val="4B5375A2"/>
    <w:rsid w:val="4B542EFC"/>
    <w:rsid w:val="4B554CA4"/>
    <w:rsid w:val="4B560527"/>
    <w:rsid w:val="4B562725"/>
    <w:rsid w:val="4B5701A7"/>
    <w:rsid w:val="4B573A2A"/>
    <w:rsid w:val="4B5814AC"/>
    <w:rsid w:val="4B582341"/>
    <w:rsid w:val="4B5936AA"/>
    <w:rsid w:val="4B59658C"/>
    <w:rsid w:val="4B596F2D"/>
    <w:rsid w:val="4B5A0B53"/>
    <w:rsid w:val="4B5A6F67"/>
    <w:rsid w:val="4B5B5D80"/>
    <w:rsid w:val="4B5B7B05"/>
    <w:rsid w:val="4B5C107E"/>
    <w:rsid w:val="4B5C462F"/>
    <w:rsid w:val="4B5D20B0"/>
    <w:rsid w:val="4B5D4D26"/>
    <w:rsid w:val="4B5E7B32"/>
    <w:rsid w:val="4B5F0E37"/>
    <w:rsid w:val="4B5F335A"/>
    <w:rsid w:val="4B603035"/>
    <w:rsid w:val="4B61433A"/>
    <w:rsid w:val="4B6252AD"/>
    <w:rsid w:val="4B626538"/>
    <w:rsid w:val="4B635E4C"/>
    <w:rsid w:val="4B63783D"/>
    <w:rsid w:val="4B6452BE"/>
    <w:rsid w:val="4B652D40"/>
    <w:rsid w:val="4B674E8A"/>
    <w:rsid w:val="4B676243"/>
    <w:rsid w:val="4B6814DC"/>
    <w:rsid w:val="4B68207B"/>
    <w:rsid w:val="4B691746"/>
    <w:rsid w:val="4B692739"/>
    <w:rsid w:val="4B6B4C49"/>
    <w:rsid w:val="4B6C26CB"/>
    <w:rsid w:val="4B6E364F"/>
    <w:rsid w:val="4B6E5BCE"/>
    <w:rsid w:val="4B7145D4"/>
    <w:rsid w:val="4B745559"/>
    <w:rsid w:val="4B752FDA"/>
    <w:rsid w:val="4B753078"/>
    <w:rsid w:val="4B766DDB"/>
    <w:rsid w:val="4B775958"/>
    <w:rsid w:val="4B7919E0"/>
    <w:rsid w:val="4B79353E"/>
    <w:rsid w:val="4B796708"/>
    <w:rsid w:val="4B7A7462"/>
    <w:rsid w:val="4B7B0767"/>
    <w:rsid w:val="4B7B7C81"/>
    <w:rsid w:val="4B7C6397"/>
    <w:rsid w:val="4B7D03E7"/>
    <w:rsid w:val="4B7F38EA"/>
    <w:rsid w:val="4B7F716D"/>
    <w:rsid w:val="4B80136B"/>
    <w:rsid w:val="4B80314D"/>
    <w:rsid w:val="4B804BEF"/>
    <w:rsid w:val="4B812670"/>
    <w:rsid w:val="4B833FEC"/>
    <w:rsid w:val="4B835B73"/>
    <w:rsid w:val="4B8435F5"/>
    <w:rsid w:val="4B847D71"/>
    <w:rsid w:val="4B851076"/>
    <w:rsid w:val="4B8557F3"/>
    <w:rsid w:val="4B85737C"/>
    <w:rsid w:val="4B866AF8"/>
    <w:rsid w:val="4B867388"/>
    <w:rsid w:val="4B870CF6"/>
    <w:rsid w:val="4B874579"/>
    <w:rsid w:val="4B881FFB"/>
    <w:rsid w:val="4B8B3770"/>
    <w:rsid w:val="4B8B517E"/>
    <w:rsid w:val="4B8C0A01"/>
    <w:rsid w:val="4B8C2BFF"/>
    <w:rsid w:val="4B8D0681"/>
    <w:rsid w:val="4B8D6483"/>
    <w:rsid w:val="4B8E1986"/>
    <w:rsid w:val="4B8E6103"/>
    <w:rsid w:val="4B8F3B84"/>
    <w:rsid w:val="4B904E89"/>
    <w:rsid w:val="4B91290A"/>
    <w:rsid w:val="4B917087"/>
    <w:rsid w:val="4B924B09"/>
    <w:rsid w:val="4B93258A"/>
    <w:rsid w:val="4B935E0E"/>
    <w:rsid w:val="4B94223B"/>
    <w:rsid w:val="4B9422CC"/>
    <w:rsid w:val="4B94388F"/>
    <w:rsid w:val="4B95302F"/>
    <w:rsid w:val="4B955A8D"/>
    <w:rsid w:val="4B96350F"/>
    <w:rsid w:val="4B963A09"/>
    <w:rsid w:val="4B994494"/>
    <w:rsid w:val="4B9A5798"/>
    <w:rsid w:val="4B9A64FB"/>
    <w:rsid w:val="4B9B321A"/>
    <w:rsid w:val="4B9B7997"/>
    <w:rsid w:val="4B9C0C9C"/>
    <w:rsid w:val="4B9D2E9A"/>
    <w:rsid w:val="4B9E11B1"/>
    <w:rsid w:val="4B9E419F"/>
    <w:rsid w:val="4B9F28EF"/>
    <w:rsid w:val="4BA076A2"/>
    <w:rsid w:val="4BA15123"/>
    <w:rsid w:val="4BA15E9C"/>
    <w:rsid w:val="4BA22BA5"/>
    <w:rsid w:val="4BA24DA3"/>
    <w:rsid w:val="4BA30626"/>
    <w:rsid w:val="4BA32825"/>
    <w:rsid w:val="4BA615AB"/>
    <w:rsid w:val="4BA70097"/>
    <w:rsid w:val="4BA7122B"/>
    <w:rsid w:val="4BA7702D"/>
    <w:rsid w:val="4BA80A71"/>
    <w:rsid w:val="4BA9472E"/>
    <w:rsid w:val="4BA97FB1"/>
    <w:rsid w:val="4BAA1FEA"/>
    <w:rsid w:val="4BAA5A33"/>
    <w:rsid w:val="4BAC0F36"/>
    <w:rsid w:val="4BAC3563"/>
    <w:rsid w:val="4BAC56B3"/>
    <w:rsid w:val="4BAD3134"/>
    <w:rsid w:val="4BAD69B7"/>
    <w:rsid w:val="4BAE0BB6"/>
    <w:rsid w:val="4BAE4439"/>
    <w:rsid w:val="4BAF1EBA"/>
    <w:rsid w:val="4BB040B9"/>
    <w:rsid w:val="4BB11B3A"/>
    <w:rsid w:val="4BB151EF"/>
    <w:rsid w:val="4BB16CD5"/>
    <w:rsid w:val="4BB22E3F"/>
    <w:rsid w:val="4BB275BC"/>
    <w:rsid w:val="4BB308C1"/>
    <w:rsid w:val="4BB42ABF"/>
    <w:rsid w:val="4BB46342"/>
    <w:rsid w:val="4BB50541"/>
    <w:rsid w:val="4BB53DC4"/>
    <w:rsid w:val="4BB65FC2"/>
    <w:rsid w:val="4BB672A9"/>
    <w:rsid w:val="4BB714C5"/>
    <w:rsid w:val="4BB73A44"/>
    <w:rsid w:val="4BB73B85"/>
    <w:rsid w:val="4BB927CA"/>
    <w:rsid w:val="4BBA024C"/>
    <w:rsid w:val="4BBA244A"/>
    <w:rsid w:val="4BBA5AD8"/>
    <w:rsid w:val="4BBB7ECB"/>
    <w:rsid w:val="4BBC374F"/>
    <w:rsid w:val="4BBC594D"/>
    <w:rsid w:val="4BBD078F"/>
    <w:rsid w:val="4BBD33CE"/>
    <w:rsid w:val="4BBE6C52"/>
    <w:rsid w:val="4BBF2155"/>
    <w:rsid w:val="4BBF68D2"/>
    <w:rsid w:val="4BC04353"/>
    <w:rsid w:val="4BC11DD5"/>
    <w:rsid w:val="4BC13445"/>
    <w:rsid w:val="4BC230D9"/>
    <w:rsid w:val="4BC27856"/>
    <w:rsid w:val="4BC347F9"/>
    <w:rsid w:val="4BC42D59"/>
    <w:rsid w:val="4BC45398"/>
    <w:rsid w:val="4BC465DD"/>
    <w:rsid w:val="4BC507DB"/>
    <w:rsid w:val="4BC55D72"/>
    <w:rsid w:val="4BC6625C"/>
    <w:rsid w:val="4BC66AD5"/>
    <w:rsid w:val="4BC73CDE"/>
    <w:rsid w:val="4BC77561"/>
    <w:rsid w:val="4BC8004E"/>
    <w:rsid w:val="4BC81760"/>
    <w:rsid w:val="4BC92A64"/>
    <w:rsid w:val="4BCA04E6"/>
    <w:rsid w:val="4BCB5F67"/>
    <w:rsid w:val="4BCD146B"/>
    <w:rsid w:val="4BCD40B9"/>
    <w:rsid w:val="4BCE3C8F"/>
    <w:rsid w:val="4BCE6EEC"/>
    <w:rsid w:val="4BCF496E"/>
    <w:rsid w:val="4BD023EF"/>
    <w:rsid w:val="4BD06395"/>
    <w:rsid w:val="4BD17E71"/>
    <w:rsid w:val="4BD27749"/>
    <w:rsid w:val="4BD33374"/>
    <w:rsid w:val="4BD40DF5"/>
    <w:rsid w:val="4BD56877"/>
    <w:rsid w:val="4BD846DB"/>
    <w:rsid w:val="4BD8527D"/>
    <w:rsid w:val="4BD92CFF"/>
    <w:rsid w:val="4BDB6202"/>
    <w:rsid w:val="4BDC698D"/>
    <w:rsid w:val="4BDD1705"/>
    <w:rsid w:val="4BDD56BF"/>
    <w:rsid w:val="4BDE7186"/>
    <w:rsid w:val="4BDF1120"/>
    <w:rsid w:val="4BDF12E5"/>
    <w:rsid w:val="4BDF2C8B"/>
    <w:rsid w:val="4BE00100"/>
    <w:rsid w:val="4BE01CBF"/>
    <w:rsid w:val="4BE1398E"/>
    <w:rsid w:val="4BE21410"/>
    <w:rsid w:val="4BE25B8D"/>
    <w:rsid w:val="4BE36E91"/>
    <w:rsid w:val="4BE41090"/>
    <w:rsid w:val="4BE45514"/>
    <w:rsid w:val="4BE52395"/>
    <w:rsid w:val="4BE64593"/>
    <w:rsid w:val="4BE75898"/>
    <w:rsid w:val="4BE77467"/>
    <w:rsid w:val="4BE80006"/>
    <w:rsid w:val="4BE83319"/>
    <w:rsid w:val="4BE90BA4"/>
    <w:rsid w:val="4BE90D9B"/>
    <w:rsid w:val="4BE95517"/>
    <w:rsid w:val="4BEA157E"/>
    <w:rsid w:val="4BEA1840"/>
    <w:rsid w:val="4BEA2F99"/>
    <w:rsid w:val="4BEB0A1B"/>
    <w:rsid w:val="4BEB429E"/>
    <w:rsid w:val="4BEC1D1F"/>
    <w:rsid w:val="4BED3F1E"/>
    <w:rsid w:val="4BED77A1"/>
    <w:rsid w:val="4BEE4235"/>
    <w:rsid w:val="4BEE5222"/>
    <w:rsid w:val="4BEF4C0F"/>
    <w:rsid w:val="4BF00726"/>
    <w:rsid w:val="4BF02924"/>
    <w:rsid w:val="4BF161A7"/>
    <w:rsid w:val="4BF1634C"/>
    <w:rsid w:val="4BF23C29"/>
    <w:rsid w:val="4BF26D26"/>
    <w:rsid w:val="4BF316AA"/>
    <w:rsid w:val="4BF6257B"/>
    <w:rsid w:val="4BF6262F"/>
    <w:rsid w:val="4BF722AF"/>
    <w:rsid w:val="4BF74FD7"/>
    <w:rsid w:val="4BF835B4"/>
    <w:rsid w:val="4BF83930"/>
    <w:rsid w:val="4BF91035"/>
    <w:rsid w:val="4BF93AFD"/>
    <w:rsid w:val="4BF944CE"/>
    <w:rsid w:val="4BF957B2"/>
    <w:rsid w:val="4BFA2679"/>
    <w:rsid w:val="4BFA6AB7"/>
    <w:rsid w:val="4BFB1A82"/>
    <w:rsid w:val="4BFB4538"/>
    <w:rsid w:val="4BFB4C15"/>
    <w:rsid w:val="4BFC6736"/>
    <w:rsid w:val="4BFD41B8"/>
    <w:rsid w:val="4BFD7185"/>
    <w:rsid w:val="4BFD7A3B"/>
    <w:rsid w:val="4BFE54BD"/>
    <w:rsid w:val="4BFE7D23"/>
    <w:rsid w:val="4BFF06FD"/>
    <w:rsid w:val="4BFF76BB"/>
    <w:rsid w:val="4C0009C0"/>
    <w:rsid w:val="4C001E3B"/>
    <w:rsid w:val="4C00513D"/>
    <w:rsid w:val="4C020640"/>
    <w:rsid w:val="4C0231EF"/>
    <w:rsid w:val="4C033F52"/>
    <w:rsid w:val="4C043B43"/>
    <w:rsid w:val="4C0473C6"/>
    <w:rsid w:val="4C0515C4"/>
    <w:rsid w:val="4C07034B"/>
    <w:rsid w:val="4C074AC8"/>
    <w:rsid w:val="4C075F6E"/>
    <w:rsid w:val="4C076A44"/>
    <w:rsid w:val="4C082549"/>
    <w:rsid w:val="4C08500C"/>
    <w:rsid w:val="4C08552D"/>
    <w:rsid w:val="4C085DCC"/>
    <w:rsid w:val="4C0860B4"/>
    <w:rsid w:val="4C087FCB"/>
    <w:rsid w:val="4C090181"/>
    <w:rsid w:val="4C09384E"/>
    <w:rsid w:val="4C0A34CE"/>
    <w:rsid w:val="4C0B0F4F"/>
    <w:rsid w:val="4C0D4452"/>
    <w:rsid w:val="4C0E1ED4"/>
    <w:rsid w:val="4C0F5757"/>
    <w:rsid w:val="4C100C5A"/>
    <w:rsid w:val="4C1053D7"/>
    <w:rsid w:val="4C112E59"/>
    <w:rsid w:val="4C1166DC"/>
    <w:rsid w:val="4C12415D"/>
    <w:rsid w:val="4C131BDF"/>
    <w:rsid w:val="4C14041B"/>
    <w:rsid w:val="4C15074C"/>
    <w:rsid w:val="4C1550E2"/>
    <w:rsid w:val="4C1705E5"/>
    <w:rsid w:val="4C174D62"/>
    <w:rsid w:val="4C1827E3"/>
    <w:rsid w:val="4C186067"/>
    <w:rsid w:val="4C190265"/>
    <w:rsid w:val="4C193AE8"/>
    <w:rsid w:val="4C1A156A"/>
    <w:rsid w:val="4C1A51E9"/>
    <w:rsid w:val="4C1B6FEB"/>
    <w:rsid w:val="4C1C0FA5"/>
    <w:rsid w:val="4C1C4A6D"/>
    <w:rsid w:val="4C1C66ED"/>
    <w:rsid w:val="4C1C6762"/>
    <w:rsid w:val="4C1E7F70"/>
    <w:rsid w:val="4C1F216E"/>
    <w:rsid w:val="4C201254"/>
    <w:rsid w:val="4C203473"/>
    <w:rsid w:val="4C210EF5"/>
    <w:rsid w:val="4C220B74"/>
    <w:rsid w:val="4C2227CC"/>
    <w:rsid w:val="4C2343F8"/>
    <w:rsid w:val="4C24269D"/>
    <w:rsid w:val="4C243294"/>
    <w:rsid w:val="4C244078"/>
    <w:rsid w:val="4C251AF9"/>
    <w:rsid w:val="4C2548E4"/>
    <w:rsid w:val="4C2578FB"/>
    <w:rsid w:val="4C26537C"/>
    <w:rsid w:val="4C26757B"/>
    <w:rsid w:val="4C272DFE"/>
    <w:rsid w:val="4C274FFC"/>
    <w:rsid w:val="4C275E5D"/>
    <w:rsid w:val="4C286301"/>
    <w:rsid w:val="4C2904FF"/>
    <w:rsid w:val="4C2A5F81"/>
    <w:rsid w:val="4C2B3A02"/>
    <w:rsid w:val="4C2B7286"/>
    <w:rsid w:val="4C2C208C"/>
    <w:rsid w:val="4C2D2789"/>
    <w:rsid w:val="4C2E4987"/>
    <w:rsid w:val="4C2F41A4"/>
    <w:rsid w:val="4C2F5C8C"/>
    <w:rsid w:val="4C30370D"/>
    <w:rsid w:val="4C304D42"/>
    <w:rsid w:val="4C31118F"/>
    <w:rsid w:val="4C31571C"/>
    <w:rsid w:val="4C334CC4"/>
    <w:rsid w:val="4C33502F"/>
    <w:rsid w:val="4C34368B"/>
    <w:rsid w:val="4C357B95"/>
    <w:rsid w:val="4C360F71"/>
    <w:rsid w:val="4C365617"/>
    <w:rsid w:val="4C373098"/>
    <w:rsid w:val="4C393C27"/>
    <w:rsid w:val="4C39659B"/>
    <w:rsid w:val="4C3B1A9E"/>
    <w:rsid w:val="4C3C5B7B"/>
    <w:rsid w:val="4C3D4FA2"/>
    <w:rsid w:val="4C3E2A23"/>
    <w:rsid w:val="4C4039A8"/>
    <w:rsid w:val="4C4113CF"/>
    <w:rsid w:val="4C411429"/>
    <w:rsid w:val="4C421DAA"/>
    <w:rsid w:val="4C4268AA"/>
    <w:rsid w:val="4C4423AE"/>
    <w:rsid w:val="4C480DB4"/>
    <w:rsid w:val="4C4920B9"/>
    <w:rsid w:val="4C496836"/>
    <w:rsid w:val="4C497552"/>
    <w:rsid w:val="4C4A0649"/>
    <w:rsid w:val="4C4B1D39"/>
    <w:rsid w:val="4C4B55BC"/>
    <w:rsid w:val="4C4C1669"/>
    <w:rsid w:val="4C4C303E"/>
    <w:rsid w:val="4C4D0ABF"/>
    <w:rsid w:val="4C4D523C"/>
    <w:rsid w:val="4C4E2DA6"/>
    <w:rsid w:val="4C4F073F"/>
    <w:rsid w:val="4C4F3781"/>
    <w:rsid w:val="4C4F3FC2"/>
    <w:rsid w:val="4C501A44"/>
    <w:rsid w:val="4C513C42"/>
    <w:rsid w:val="4C5216C4"/>
    <w:rsid w:val="4C524F47"/>
    <w:rsid w:val="4C525007"/>
    <w:rsid w:val="4C526437"/>
    <w:rsid w:val="4C537145"/>
    <w:rsid w:val="4C544BC7"/>
    <w:rsid w:val="4C5477EB"/>
    <w:rsid w:val="4C55038A"/>
    <w:rsid w:val="4C555ECC"/>
    <w:rsid w:val="4C560DCF"/>
    <w:rsid w:val="4C56394D"/>
    <w:rsid w:val="4C563ECE"/>
    <w:rsid w:val="4C575B4B"/>
    <w:rsid w:val="4C58104F"/>
    <w:rsid w:val="4C5835CD"/>
    <w:rsid w:val="4C592E7C"/>
    <w:rsid w:val="4C5948D2"/>
    <w:rsid w:val="4C596AD0"/>
    <w:rsid w:val="4C5A4552"/>
    <w:rsid w:val="4C5C7A55"/>
    <w:rsid w:val="4C5D54D6"/>
    <w:rsid w:val="4C5D5B32"/>
    <w:rsid w:val="4C5D5CF6"/>
    <w:rsid w:val="4C5E0D5A"/>
    <w:rsid w:val="4C5E2F58"/>
    <w:rsid w:val="4C5E497C"/>
    <w:rsid w:val="4C5F2E23"/>
    <w:rsid w:val="4C60645B"/>
    <w:rsid w:val="4C621D61"/>
    <w:rsid w:val="4C621F26"/>
    <w:rsid w:val="4C6251E1"/>
    <w:rsid w:val="4C632900"/>
    <w:rsid w:val="4C632C63"/>
    <w:rsid w:val="4C6373E0"/>
    <w:rsid w:val="4C6406E4"/>
    <w:rsid w:val="4C660364"/>
    <w:rsid w:val="4C663BE7"/>
    <w:rsid w:val="4C683867"/>
    <w:rsid w:val="4C6870EB"/>
    <w:rsid w:val="4C694B6C"/>
    <w:rsid w:val="4C6A6D6A"/>
    <w:rsid w:val="4C6B47EC"/>
    <w:rsid w:val="4C6C0A82"/>
    <w:rsid w:val="4C6C0C46"/>
    <w:rsid w:val="4C6D21BF"/>
    <w:rsid w:val="4C6D5E8C"/>
    <w:rsid w:val="4C6D7CEF"/>
    <w:rsid w:val="4C6E0FF4"/>
    <w:rsid w:val="4C6F2CC0"/>
    <w:rsid w:val="4C6F6A75"/>
    <w:rsid w:val="4C700C74"/>
    <w:rsid w:val="4C711F79"/>
    <w:rsid w:val="4C721BF8"/>
    <w:rsid w:val="4C7279FA"/>
    <w:rsid w:val="4C73622A"/>
    <w:rsid w:val="4C73767A"/>
    <w:rsid w:val="4C742EFD"/>
    <w:rsid w:val="4C75097F"/>
    <w:rsid w:val="4C776080"/>
    <w:rsid w:val="4C787385"/>
    <w:rsid w:val="4C794E06"/>
    <w:rsid w:val="4C7A3B96"/>
    <w:rsid w:val="4C7B4677"/>
    <w:rsid w:val="4C7B4A86"/>
    <w:rsid w:val="4C7C0148"/>
    <w:rsid w:val="4C7C2508"/>
    <w:rsid w:val="4C7C5D8B"/>
    <w:rsid w:val="4C7C7C27"/>
    <w:rsid w:val="4C7D380D"/>
    <w:rsid w:val="4C7E128E"/>
    <w:rsid w:val="4C7E5ECA"/>
    <w:rsid w:val="4C7F11C3"/>
    <w:rsid w:val="4C7F6D10"/>
    <w:rsid w:val="4C816990"/>
    <w:rsid w:val="4C82117A"/>
    <w:rsid w:val="4C827C94"/>
    <w:rsid w:val="4C831E93"/>
    <w:rsid w:val="4C835716"/>
    <w:rsid w:val="4C850C19"/>
    <w:rsid w:val="4C86669B"/>
    <w:rsid w:val="4C8749CF"/>
    <w:rsid w:val="4C876AA5"/>
    <w:rsid w:val="4C8853A9"/>
    <w:rsid w:val="4C88631A"/>
    <w:rsid w:val="4C88662F"/>
    <w:rsid w:val="4C893887"/>
    <w:rsid w:val="4C893D9C"/>
    <w:rsid w:val="4C895F48"/>
    <w:rsid w:val="4C89761F"/>
    <w:rsid w:val="4C8A6922"/>
    <w:rsid w:val="4C8B4D21"/>
    <w:rsid w:val="4C8C05A4"/>
    <w:rsid w:val="4C8C0A39"/>
    <w:rsid w:val="4C8D0224"/>
    <w:rsid w:val="4C8E3AA7"/>
    <w:rsid w:val="4C8E5CA5"/>
    <w:rsid w:val="4C8F3727"/>
    <w:rsid w:val="4C906FAA"/>
    <w:rsid w:val="4C9124AD"/>
    <w:rsid w:val="4C914A2C"/>
    <w:rsid w:val="4C916C2A"/>
    <w:rsid w:val="4C9246AB"/>
    <w:rsid w:val="4C9359CC"/>
    <w:rsid w:val="4C943432"/>
    <w:rsid w:val="4C947BAF"/>
    <w:rsid w:val="4C9604BD"/>
    <w:rsid w:val="4C9857D9"/>
    <w:rsid w:val="4C9925D5"/>
    <w:rsid w:val="4C9978BA"/>
    <w:rsid w:val="4C9A41A0"/>
    <w:rsid w:val="4C9B2DBD"/>
    <w:rsid w:val="4C9C083E"/>
    <w:rsid w:val="4C9D62C0"/>
    <w:rsid w:val="4C9E3D41"/>
    <w:rsid w:val="4C9E5AA1"/>
    <w:rsid w:val="4C9F17C3"/>
    <w:rsid w:val="4CA22748"/>
    <w:rsid w:val="4CA301C9"/>
    <w:rsid w:val="4CA4286F"/>
    <w:rsid w:val="4CA45C4B"/>
    <w:rsid w:val="4CA5340D"/>
    <w:rsid w:val="4CA63DE7"/>
    <w:rsid w:val="4CA63FAC"/>
    <w:rsid w:val="4CA76BCF"/>
    <w:rsid w:val="4CA95EFF"/>
    <w:rsid w:val="4CA97B54"/>
    <w:rsid w:val="4CAA55D5"/>
    <w:rsid w:val="4CAA6A9E"/>
    <w:rsid w:val="4CAB3057"/>
    <w:rsid w:val="4CAC0AD9"/>
    <w:rsid w:val="4CAD5597"/>
    <w:rsid w:val="4CAD655A"/>
    <w:rsid w:val="4CAE158F"/>
    <w:rsid w:val="4CAF1A5D"/>
    <w:rsid w:val="4CAF22F3"/>
    <w:rsid w:val="4CAF785F"/>
    <w:rsid w:val="4CB02CCD"/>
    <w:rsid w:val="4CB052E1"/>
    <w:rsid w:val="4CB074DF"/>
    <w:rsid w:val="4CB107E4"/>
    <w:rsid w:val="4CB12D62"/>
    <w:rsid w:val="4CB14F60"/>
    <w:rsid w:val="4CB26265"/>
    <w:rsid w:val="4CB30463"/>
    <w:rsid w:val="4CB33CE7"/>
    <w:rsid w:val="4CB35983"/>
    <w:rsid w:val="4CB41768"/>
    <w:rsid w:val="4CB45EE5"/>
    <w:rsid w:val="4CB53967"/>
    <w:rsid w:val="4CB61D51"/>
    <w:rsid w:val="4CB64C6B"/>
    <w:rsid w:val="4CB67A9B"/>
    <w:rsid w:val="4CB70475"/>
    <w:rsid w:val="4CB708CE"/>
    <w:rsid w:val="4CB76E6A"/>
    <w:rsid w:val="4CB80042"/>
    <w:rsid w:val="4CB80E4F"/>
    <w:rsid w:val="4CB81013"/>
    <w:rsid w:val="4CB848EB"/>
    <w:rsid w:val="4CB9236D"/>
    <w:rsid w:val="4CBC32F1"/>
    <w:rsid w:val="4CBC3B05"/>
    <w:rsid w:val="4CBC6B75"/>
    <w:rsid w:val="4CBD0D73"/>
    <w:rsid w:val="4CBD45F6"/>
    <w:rsid w:val="4CBD57DA"/>
    <w:rsid w:val="4CBE2078"/>
    <w:rsid w:val="4CBE67F4"/>
    <w:rsid w:val="4CBF7AF9"/>
    <w:rsid w:val="4CC0557B"/>
    <w:rsid w:val="4CC12FFC"/>
    <w:rsid w:val="4CC312AD"/>
    <w:rsid w:val="4CC364FF"/>
    <w:rsid w:val="4CC36774"/>
    <w:rsid w:val="4CC41E4C"/>
    <w:rsid w:val="4CC43F81"/>
    <w:rsid w:val="4CC4617F"/>
    <w:rsid w:val="4CC51A03"/>
    <w:rsid w:val="4CC52826"/>
    <w:rsid w:val="4CC53781"/>
    <w:rsid w:val="4CC61682"/>
    <w:rsid w:val="4CC67484"/>
    <w:rsid w:val="4CC77104"/>
    <w:rsid w:val="4CC82987"/>
    <w:rsid w:val="4CC90409"/>
    <w:rsid w:val="4CC95E8A"/>
    <w:rsid w:val="4CCA390C"/>
    <w:rsid w:val="4CCB138D"/>
    <w:rsid w:val="4CCB6A55"/>
    <w:rsid w:val="4CCC6E0F"/>
    <w:rsid w:val="4CCE0B6D"/>
    <w:rsid w:val="4CCE6A8F"/>
    <w:rsid w:val="4CCF4510"/>
    <w:rsid w:val="4CCF7D94"/>
    <w:rsid w:val="4CD02C84"/>
    <w:rsid w:val="4CD03BD8"/>
    <w:rsid w:val="4CD04150"/>
    <w:rsid w:val="4CD05815"/>
    <w:rsid w:val="4CD11CE9"/>
    <w:rsid w:val="4CD13823"/>
    <w:rsid w:val="4CD17A13"/>
    <w:rsid w:val="4CD241FD"/>
    <w:rsid w:val="4CD3679A"/>
    <w:rsid w:val="4CD45776"/>
    <w:rsid w:val="4CD45888"/>
    <w:rsid w:val="4CD4593A"/>
    <w:rsid w:val="4CD51C9D"/>
    <w:rsid w:val="4CD56315"/>
    <w:rsid w:val="4CD5641A"/>
    <w:rsid w:val="4CD63E9B"/>
    <w:rsid w:val="4CD66EB3"/>
    <w:rsid w:val="4CD805F1"/>
    <w:rsid w:val="4CD8739E"/>
    <w:rsid w:val="4CD906A3"/>
    <w:rsid w:val="4CD928A1"/>
    <w:rsid w:val="4CDA0323"/>
    <w:rsid w:val="4CDB2544"/>
    <w:rsid w:val="4CDB5DA5"/>
    <w:rsid w:val="4CDC1628"/>
    <w:rsid w:val="4CDD12A8"/>
    <w:rsid w:val="4CDD465B"/>
    <w:rsid w:val="4CDD70A9"/>
    <w:rsid w:val="4CDE4B2B"/>
    <w:rsid w:val="4CDE6D29"/>
    <w:rsid w:val="4CDF25AC"/>
    <w:rsid w:val="4CDF5BD4"/>
    <w:rsid w:val="4CDF5D99"/>
    <w:rsid w:val="4CE0002E"/>
    <w:rsid w:val="4CE0222C"/>
    <w:rsid w:val="4CE10C5C"/>
    <w:rsid w:val="4CE1169E"/>
    <w:rsid w:val="4CE15AB0"/>
    <w:rsid w:val="4CE2073C"/>
    <w:rsid w:val="4CE2572F"/>
    <w:rsid w:val="4CE331B1"/>
    <w:rsid w:val="4CE36A34"/>
    <w:rsid w:val="4CE40C32"/>
    <w:rsid w:val="4CE41265"/>
    <w:rsid w:val="4CE444B6"/>
    <w:rsid w:val="4CE51F37"/>
    <w:rsid w:val="4CE64136"/>
    <w:rsid w:val="4CE67797"/>
    <w:rsid w:val="4CE679B9"/>
    <w:rsid w:val="4CE73541"/>
    <w:rsid w:val="4CE82EBC"/>
    <w:rsid w:val="4CE950BA"/>
    <w:rsid w:val="4CEA2B3C"/>
    <w:rsid w:val="4CEA6032"/>
    <w:rsid w:val="4CEA63BF"/>
    <w:rsid w:val="4CEB05BD"/>
    <w:rsid w:val="4CEC603F"/>
    <w:rsid w:val="4CED014A"/>
    <w:rsid w:val="4CED3AC0"/>
    <w:rsid w:val="4CEE1542"/>
    <w:rsid w:val="4CEE4DC5"/>
    <w:rsid w:val="4CF02F19"/>
    <w:rsid w:val="4CF1268D"/>
    <w:rsid w:val="4CF15D4A"/>
    <w:rsid w:val="4CF3344B"/>
    <w:rsid w:val="4CF34379"/>
    <w:rsid w:val="4CF44D53"/>
    <w:rsid w:val="4CF46CCF"/>
    <w:rsid w:val="4CF643D0"/>
    <w:rsid w:val="4CF71E51"/>
    <w:rsid w:val="4CF77C53"/>
    <w:rsid w:val="4CF856D5"/>
    <w:rsid w:val="4CF93156"/>
    <w:rsid w:val="4CFA195C"/>
    <w:rsid w:val="4CFA2DD6"/>
    <w:rsid w:val="4CFB26C0"/>
    <w:rsid w:val="4CFB40DB"/>
    <w:rsid w:val="4CFC309A"/>
    <w:rsid w:val="4CFD75DE"/>
    <w:rsid w:val="4CFE5060"/>
    <w:rsid w:val="4CFF2AE1"/>
    <w:rsid w:val="4D015FE4"/>
    <w:rsid w:val="4D01672A"/>
    <w:rsid w:val="4D0168EF"/>
    <w:rsid w:val="4D023A66"/>
    <w:rsid w:val="4D0314E7"/>
    <w:rsid w:val="4D037E68"/>
    <w:rsid w:val="4D040842"/>
    <w:rsid w:val="4D0413E0"/>
    <w:rsid w:val="4D046F69"/>
    <w:rsid w:val="4D0504D4"/>
    <w:rsid w:val="4D05121C"/>
    <w:rsid w:val="4D0734F8"/>
    <w:rsid w:val="4D077EEE"/>
    <w:rsid w:val="4D084097"/>
    <w:rsid w:val="4D08596F"/>
    <w:rsid w:val="4D0A0E72"/>
    <w:rsid w:val="4D0A5610"/>
    <w:rsid w:val="4D0B0390"/>
    <w:rsid w:val="4D0B68F4"/>
    <w:rsid w:val="4D0C6B88"/>
    <w:rsid w:val="4D0E00FB"/>
    <w:rsid w:val="4D0F5BFB"/>
    <w:rsid w:val="4D0F600E"/>
    <w:rsid w:val="4D1107FD"/>
    <w:rsid w:val="4D115A1A"/>
    <w:rsid w:val="4D12627F"/>
    <w:rsid w:val="4D145005"/>
    <w:rsid w:val="4D160508"/>
    <w:rsid w:val="4D166448"/>
    <w:rsid w:val="4D170188"/>
    <w:rsid w:val="4D175F8A"/>
    <w:rsid w:val="4D176606"/>
    <w:rsid w:val="4D176FE7"/>
    <w:rsid w:val="4D185C09"/>
    <w:rsid w:val="4D19148D"/>
    <w:rsid w:val="4D19368B"/>
    <w:rsid w:val="4D1A0F3A"/>
    <w:rsid w:val="4D1A110D"/>
    <w:rsid w:val="4D1A4990"/>
    <w:rsid w:val="4D1A6F0E"/>
    <w:rsid w:val="4D1B1AD8"/>
    <w:rsid w:val="4D1B2411"/>
    <w:rsid w:val="4D1B6B8E"/>
    <w:rsid w:val="4D1C7E93"/>
    <w:rsid w:val="4D1D5914"/>
    <w:rsid w:val="4D1E3396"/>
    <w:rsid w:val="4D1E3BF0"/>
    <w:rsid w:val="4D1E7B13"/>
    <w:rsid w:val="4D203016"/>
    <w:rsid w:val="4D210A97"/>
    <w:rsid w:val="4D21431B"/>
    <w:rsid w:val="4D226519"/>
    <w:rsid w:val="4D233F9A"/>
    <w:rsid w:val="4D24529F"/>
    <w:rsid w:val="4D2607A2"/>
    <w:rsid w:val="4D2729A1"/>
    <w:rsid w:val="4D276224"/>
    <w:rsid w:val="4D2A3C09"/>
    <w:rsid w:val="4D2B6E28"/>
    <w:rsid w:val="4D2C273C"/>
    <w:rsid w:val="4D2D012D"/>
    <w:rsid w:val="4D2E7DAD"/>
    <w:rsid w:val="4D2F3630"/>
    <w:rsid w:val="4D2F582F"/>
    <w:rsid w:val="4D3010B2"/>
    <w:rsid w:val="4D3017F6"/>
    <w:rsid w:val="4D3032B0"/>
    <w:rsid w:val="4D322037"/>
    <w:rsid w:val="4D3267B3"/>
    <w:rsid w:val="4D333749"/>
    <w:rsid w:val="4D337AB8"/>
    <w:rsid w:val="4D341CB6"/>
    <w:rsid w:val="4D3430C2"/>
    <w:rsid w:val="4D3442E8"/>
    <w:rsid w:val="4D352FBB"/>
    <w:rsid w:val="4D354CC2"/>
    <w:rsid w:val="4D354E86"/>
    <w:rsid w:val="4D372C3B"/>
    <w:rsid w:val="4D3763FF"/>
    <w:rsid w:val="4D3764BE"/>
    <w:rsid w:val="4D3806BD"/>
    <w:rsid w:val="4D383F40"/>
    <w:rsid w:val="4D386F9E"/>
    <w:rsid w:val="4D3874B5"/>
    <w:rsid w:val="4D38766A"/>
    <w:rsid w:val="4D3919C1"/>
    <w:rsid w:val="4D39613E"/>
    <w:rsid w:val="4D396A73"/>
    <w:rsid w:val="4D3A3BC0"/>
    <w:rsid w:val="4D3A5CC6"/>
    <w:rsid w:val="4D3A7443"/>
    <w:rsid w:val="4D3B1641"/>
    <w:rsid w:val="4D3B4EC4"/>
    <w:rsid w:val="4D3C2946"/>
    <w:rsid w:val="4D3C70C3"/>
    <w:rsid w:val="4D3D03C8"/>
    <w:rsid w:val="4D3E3BA7"/>
    <w:rsid w:val="4D3E5E49"/>
    <w:rsid w:val="4D3F38CB"/>
    <w:rsid w:val="4D3F4746"/>
    <w:rsid w:val="4D405120"/>
    <w:rsid w:val="4D4052E5"/>
    <w:rsid w:val="4D420FCC"/>
    <w:rsid w:val="4D42484F"/>
    <w:rsid w:val="4D4322D1"/>
    <w:rsid w:val="4D4344CF"/>
    <w:rsid w:val="4D435F0B"/>
    <w:rsid w:val="4D437238"/>
    <w:rsid w:val="4D441F51"/>
    <w:rsid w:val="4D4507B1"/>
    <w:rsid w:val="4D450975"/>
    <w:rsid w:val="4D4557D4"/>
    <w:rsid w:val="4D463256"/>
    <w:rsid w:val="4D465454"/>
    <w:rsid w:val="4D470CD7"/>
    <w:rsid w:val="4D470D2F"/>
    <w:rsid w:val="4D47109A"/>
    <w:rsid w:val="4D471250"/>
    <w:rsid w:val="4D480957"/>
    <w:rsid w:val="4D4828C8"/>
    <w:rsid w:val="4D487DCD"/>
    <w:rsid w:val="4D4941DA"/>
    <w:rsid w:val="4D4963D8"/>
    <w:rsid w:val="4D4A1C5C"/>
    <w:rsid w:val="4D4A49E0"/>
    <w:rsid w:val="4D4A76DD"/>
    <w:rsid w:val="4D4B515F"/>
    <w:rsid w:val="4D4E60E3"/>
    <w:rsid w:val="4D4F02E2"/>
    <w:rsid w:val="4D4F3B65"/>
    <w:rsid w:val="4D5015E7"/>
    <w:rsid w:val="4D505003"/>
    <w:rsid w:val="4D505D63"/>
    <w:rsid w:val="4D5115E9"/>
    <w:rsid w:val="4D517068"/>
    <w:rsid w:val="4D524AEA"/>
    <w:rsid w:val="4D534390"/>
    <w:rsid w:val="4D534C40"/>
    <w:rsid w:val="4D536CE8"/>
    <w:rsid w:val="4D544769"/>
    <w:rsid w:val="4D547FED"/>
    <w:rsid w:val="4D5521EB"/>
    <w:rsid w:val="4D562E36"/>
    <w:rsid w:val="4D563357"/>
    <w:rsid w:val="4D5634F0"/>
    <w:rsid w:val="4D56350C"/>
    <w:rsid w:val="4D581648"/>
    <w:rsid w:val="4D590BF1"/>
    <w:rsid w:val="4D597930"/>
    <w:rsid w:val="4D597AF4"/>
    <w:rsid w:val="4D5A5E61"/>
    <w:rsid w:val="4D5A6673"/>
    <w:rsid w:val="4D5B0EA9"/>
    <w:rsid w:val="4D5B7978"/>
    <w:rsid w:val="4D5C1A47"/>
    <w:rsid w:val="4D5C53F9"/>
    <w:rsid w:val="4D5C75F7"/>
    <w:rsid w:val="4D5D5079"/>
    <w:rsid w:val="4D5F3B5F"/>
    <w:rsid w:val="4D5F637E"/>
    <w:rsid w:val="4D603DFF"/>
    <w:rsid w:val="4D611881"/>
    <w:rsid w:val="4D61265D"/>
    <w:rsid w:val="4D624D84"/>
    <w:rsid w:val="4D625C76"/>
    <w:rsid w:val="4D627302"/>
    <w:rsid w:val="4D645B34"/>
    <w:rsid w:val="4D645E6A"/>
    <w:rsid w:val="4D655613"/>
    <w:rsid w:val="4D6644FB"/>
    <w:rsid w:val="4D6935E3"/>
    <w:rsid w:val="4D69470F"/>
    <w:rsid w:val="4D6C5536"/>
    <w:rsid w:val="4D6C5694"/>
    <w:rsid w:val="4D6D3115"/>
    <w:rsid w:val="4D700028"/>
    <w:rsid w:val="4D722304"/>
    <w:rsid w:val="4D72759D"/>
    <w:rsid w:val="4D73213F"/>
    <w:rsid w:val="4D742AA0"/>
    <w:rsid w:val="4D74387C"/>
    <w:rsid w:val="4D750521"/>
    <w:rsid w:val="4D773A25"/>
    <w:rsid w:val="4D775994"/>
    <w:rsid w:val="4D78636E"/>
    <w:rsid w:val="4D796F0D"/>
    <w:rsid w:val="4D796F28"/>
    <w:rsid w:val="4D797534"/>
    <w:rsid w:val="4D7A78E7"/>
    <w:rsid w:val="4D7B242B"/>
    <w:rsid w:val="4D7B7EAC"/>
    <w:rsid w:val="4D7C1024"/>
    <w:rsid w:val="4D7C592E"/>
    <w:rsid w:val="4D7D11B1"/>
    <w:rsid w:val="4D7E0E31"/>
    <w:rsid w:val="4D7E6C33"/>
    <w:rsid w:val="4D7F313C"/>
    <w:rsid w:val="4D802136"/>
    <w:rsid w:val="4D804879"/>
    <w:rsid w:val="4D811DB6"/>
    <w:rsid w:val="4D81508F"/>
    <w:rsid w:val="4D815253"/>
    <w:rsid w:val="4D821820"/>
    <w:rsid w:val="4D825639"/>
    <w:rsid w:val="4D827837"/>
    <w:rsid w:val="4D830B3C"/>
    <w:rsid w:val="4D8352B9"/>
    <w:rsid w:val="4D8465BE"/>
    <w:rsid w:val="4D85403F"/>
    <w:rsid w:val="4D857D45"/>
    <w:rsid w:val="4D861AC1"/>
    <w:rsid w:val="4D86623D"/>
    <w:rsid w:val="4D873CBF"/>
    <w:rsid w:val="4D877542"/>
    <w:rsid w:val="4D8971C2"/>
    <w:rsid w:val="4D8A04C7"/>
    <w:rsid w:val="4D8A359A"/>
    <w:rsid w:val="4D8A4C44"/>
    <w:rsid w:val="4D8B5F48"/>
    <w:rsid w:val="4D8C39CA"/>
    <w:rsid w:val="4D8C4B13"/>
    <w:rsid w:val="4D8D144B"/>
    <w:rsid w:val="4D8F10CB"/>
    <w:rsid w:val="4D8F52CB"/>
    <w:rsid w:val="4D9145CE"/>
    <w:rsid w:val="4D9218E1"/>
    <w:rsid w:val="4D922050"/>
    <w:rsid w:val="4D922EE6"/>
    <w:rsid w:val="4D935553"/>
    <w:rsid w:val="4D937AD1"/>
    <w:rsid w:val="4D942FD5"/>
    <w:rsid w:val="4D950A56"/>
    <w:rsid w:val="4D956858"/>
    <w:rsid w:val="4D99525E"/>
    <w:rsid w:val="4D99745C"/>
    <w:rsid w:val="4D9B0761"/>
    <w:rsid w:val="4D9B61E3"/>
    <w:rsid w:val="4D9C3C64"/>
    <w:rsid w:val="4D9D1B7A"/>
    <w:rsid w:val="4D9D5E63"/>
    <w:rsid w:val="4D9E2719"/>
    <w:rsid w:val="4D9E38E4"/>
    <w:rsid w:val="4D9F30F3"/>
    <w:rsid w:val="4D9F4BE9"/>
    <w:rsid w:val="4D9F6B46"/>
    <w:rsid w:val="4DA0266A"/>
    <w:rsid w:val="4DA051A2"/>
    <w:rsid w:val="4DA14831"/>
    <w:rsid w:val="4DA14869"/>
    <w:rsid w:val="4DA25B6E"/>
    <w:rsid w:val="4DA35DAA"/>
    <w:rsid w:val="4DA41071"/>
    <w:rsid w:val="4DA5326F"/>
    <w:rsid w:val="4DA71FF5"/>
    <w:rsid w:val="4DA76772"/>
    <w:rsid w:val="4DA81AD7"/>
    <w:rsid w:val="4DA841F4"/>
    <w:rsid w:val="4DAA76F7"/>
    <w:rsid w:val="4DAB2BFA"/>
    <w:rsid w:val="4DAB5178"/>
    <w:rsid w:val="4DAD3EFF"/>
    <w:rsid w:val="4DAD54A5"/>
    <w:rsid w:val="4DAD60FD"/>
    <w:rsid w:val="4DAF7402"/>
    <w:rsid w:val="4DB04E83"/>
    <w:rsid w:val="4DB1031F"/>
    <w:rsid w:val="4DB1605F"/>
    <w:rsid w:val="4DB20386"/>
    <w:rsid w:val="4DB20CFA"/>
    <w:rsid w:val="4DB22585"/>
    <w:rsid w:val="4DB33889"/>
    <w:rsid w:val="4DB35E08"/>
    <w:rsid w:val="4DB4130B"/>
    <w:rsid w:val="4DB60F8B"/>
    <w:rsid w:val="4DB637EB"/>
    <w:rsid w:val="4DB72290"/>
    <w:rsid w:val="4DB7438A"/>
    <w:rsid w:val="4DB74F29"/>
    <w:rsid w:val="4DB76A0C"/>
    <w:rsid w:val="4DB8448E"/>
    <w:rsid w:val="4DB85AC7"/>
    <w:rsid w:val="4DB87D11"/>
    <w:rsid w:val="4DB91F0F"/>
    <w:rsid w:val="4DB95793"/>
    <w:rsid w:val="4DBA3214"/>
    <w:rsid w:val="4DBB0C96"/>
    <w:rsid w:val="4DBB5413"/>
    <w:rsid w:val="4DBC2E94"/>
    <w:rsid w:val="4DBC30BE"/>
    <w:rsid w:val="4DBC6717"/>
    <w:rsid w:val="4DBD1158"/>
    <w:rsid w:val="4DBE1C1A"/>
    <w:rsid w:val="4DBE6397"/>
    <w:rsid w:val="4DBF3E19"/>
    <w:rsid w:val="4DC0189A"/>
    <w:rsid w:val="4DC0511E"/>
    <w:rsid w:val="4DC20621"/>
    <w:rsid w:val="4DC2070F"/>
    <w:rsid w:val="4DC302A1"/>
    <w:rsid w:val="4DC3281F"/>
    <w:rsid w:val="4DC35387"/>
    <w:rsid w:val="4DC45D22"/>
    <w:rsid w:val="4DC537A4"/>
    <w:rsid w:val="4DC67027"/>
    <w:rsid w:val="4DC74AA8"/>
    <w:rsid w:val="4DCC3EE3"/>
    <w:rsid w:val="4DCC69B2"/>
    <w:rsid w:val="4DCD4433"/>
    <w:rsid w:val="4DCF7936"/>
    <w:rsid w:val="4DD053B8"/>
    <w:rsid w:val="4DD06D5E"/>
    <w:rsid w:val="4DD12E39"/>
    <w:rsid w:val="4DD3168B"/>
    <w:rsid w:val="4DD31850"/>
    <w:rsid w:val="4DD43DBE"/>
    <w:rsid w:val="4DD51840"/>
    <w:rsid w:val="4DD52DC8"/>
    <w:rsid w:val="4DD666DB"/>
    <w:rsid w:val="4DD672C1"/>
    <w:rsid w:val="4DD74341"/>
    <w:rsid w:val="4DD74D43"/>
    <w:rsid w:val="4DD827C4"/>
    <w:rsid w:val="4DDA5CC7"/>
    <w:rsid w:val="4DDB6FF8"/>
    <w:rsid w:val="4DDD0570"/>
    <w:rsid w:val="4DDD6C4C"/>
    <w:rsid w:val="4DDD7F17"/>
    <w:rsid w:val="4DDE0EAE"/>
    <w:rsid w:val="4DDE0F4B"/>
    <w:rsid w:val="4DDF1AE9"/>
    <w:rsid w:val="4DE03454"/>
    <w:rsid w:val="4DE13062"/>
    <w:rsid w:val="4DE13C01"/>
    <w:rsid w:val="4DE13DC5"/>
    <w:rsid w:val="4DE230D4"/>
    <w:rsid w:val="4DE247A0"/>
    <w:rsid w:val="4DE2647A"/>
    <w:rsid w:val="4DE26957"/>
    <w:rsid w:val="4DE343D9"/>
    <w:rsid w:val="4DE41E5A"/>
    <w:rsid w:val="4DE44058"/>
    <w:rsid w:val="4DE465D7"/>
    <w:rsid w:val="4DE51ADA"/>
    <w:rsid w:val="4DE578DC"/>
    <w:rsid w:val="4DE6344D"/>
    <w:rsid w:val="4DE6755C"/>
    <w:rsid w:val="4DE72DDF"/>
    <w:rsid w:val="4DE904E0"/>
    <w:rsid w:val="4DE90B47"/>
    <w:rsid w:val="4DEA3D63"/>
    <w:rsid w:val="4DEA5F62"/>
    <w:rsid w:val="4DEB17E5"/>
    <w:rsid w:val="4DEB39E3"/>
    <w:rsid w:val="4DEB7267"/>
    <w:rsid w:val="4DEC4FB0"/>
    <w:rsid w:val="4DEF23EA"/>
    <w:rsid w:val="4DEF5C6D"/>
    <w:rsid w:val="4DEF6177"/>
    <w:rsid w:val="4DF036EE"/>
    <w:rsid w:val="4DF07E6B"/>
    <w:rsid w:val="4DF158ED"/>
    <w:rsid w:val="4DF200CA"/>
    <w:rsid w:val="4DF26BF1"/>
    <w:rsid w:val="4DF30E2D"/>
    <w:rsid w:val="4DF420F5"/>
    <w:rsid w:val="4DF46871"/>
    <w:rsid w:val="4DF61D74"/>
    <w:rsid w:val="4DF64286"/>
    <w:rsid w:val="4DF64CC8"/>
    <w:rsid w:val="4DF655F8"/>
    <w:rsid w:val="4DF7375A"/>
    <w:rsid w:val="4DF739FA"/>
    <w:rsid w:val="4DF80AFB"/>
    <w:rsid w:val="4DF94E97"/>
    <w:rsid w:val="4DF9657C"/>
    <w:rsid w:val="4DFA077D"/>
    <w:rsid w:val="4DFA3FFE"/>
    <w:rsid w:val="4DFB61FC"/>
    <w:rsid w:val="4DFC16FF"/>
    <w:rsid w:val="4DFC3C7E"/>
    <w:rsid w:val="4DFD4F82"/>
    <w:rsid w:val="4DFD7181"/>
    <w:rsid w:val="4DFF2684"/>
    <w:rsid w:val="4E013989"/>
    <w:rsid w:val="4E02140A"/>
    <w:rsid w:val="4E03108A"/>
    <w:rsid w:val="4E036E8C"/>
    <w:rsid w:val="4E04490D"/>
    <w:rsid w:val="4E05458D"/>
    <w:rsid w:val="4E057E10"/>
    <w:rsid w:val="4E075D8A"/>
    <w:rsid w:val="4E080D95"/>
    <w:rsid w:val="4E087DE7"/>
    <w:rsid w:val="4E090986"/>
    <w:rsid w:val="4E092F93"/>
    <w:rsid w:val="4E0946D6"/>
    <w:rsid w:val="4E096817"/>
    <w:rsid w:val="4E0B1D1A"/>
    <w:rsid w:val="4E0B6496"/>
    <w:rsid w:val="4E0C3478"/>
    <w:rsid w:val="4E0C3F18"/>
    <w:rsid w:val="4E0C779B"/>
    <w:rsid w:val="4E0D521D"/>
    <w:rsid w:val="4E0D70F0"/>
    <w:rsid w:val="4E0E2C9E"/>
    <w:rsid w:val="4E0F0720"/>
    <w:rsid w:val="4E0F4E9D"/>
    <w:rsid w:val="4E0F6F0F"/>
    <w:rsid w:val="4E10291E"/>
    <w:rsid w:val="4E1216A5"/>
    <w:rsid w:val="4E131916"/>
    <w:rsid w:val="4E1338A3"/>
    <w:rsid w:val="4E144BA8"/>
    <w:rsid w:val="4E152629"/>
    <w:rsid w:val="4E154828"/>
    <w:rsid w:val="4E1622A9"/>
    <w:rsid w:val="4E162EFC"/>
    <w:rsid w:val="4E172D37"/>
    <w:rsid w:val="4E1857AC"/>
    <w:rsid w:val="4E19102F"/>
    <w:rsid w:val="4E1A0CAF"/>
    <w:rsid w:val="4E1A6AB1"/>
    <w:rsid w:val="4E1B6731"/>
    <w:rsid w:val="4E1C1FB4"/>
    <w:rsid w:val="4E1C712B"/>
    <w:rsid w:val="4E1C7A36"/>
    <w:rsid w:val="4E1D1C34"/>
    <w:rsid w:val="4E1E06A4"/>
    <w:rsid w:val="4E1E2F39"/>
    <w:rsid w:val="4E1E76B5"/>
    <w:rsid w:val="4E1F09BA"/>
    <w:rsid w:val="4E201C1D"/>
    <w:rsid w:val="4E213EBD"/>
    <w:rsid w:val="4E22193F"/>
    <w:rsid w:val="4E2234FC"/>
    <w:rsid w:val="4E224389"/>
    <w:rsid w:val="4E2260BC"/>
    <w:rsid w:val="4E233B3D"/>
    <w:rsid w:val="4E2373C0"/>
    <w:rsid w:val="4E2552AD"/>
    <w:rsid w:val="4E260345"/>
    <w:rsid w:val="4E2613F3"/>
    <w:rsid w:val="4E2628EC"/>
    <w:rsid w:val="4E264AC2"/>
    <w:rsid w:val="4E2669EA"/>
    <w:rsid w:val="4E272543"/>
    <w:rsid w:val="4E275DC7"/>
    <w:rsid w:val="4E283848"/>
    <w:rsid w:val="4E287FC5"/>
    <w:rsid w:val="4E2912CA"/>
    <w:rsid w:val="4E291628"/>
    <w:rsid w:val="4E2954C9"/>
    <w:rsid w:val="4E295A47"/>
    <w:rsid w:val="4E2A14DC"/>
    <w:rsid w:val="4E2A6D4B"/>
    <w:rsid w:val="4E2B0F4A"/>
    <w:rsid w:val="4E2B1EB6"/>
    <w:rsid w:val="4E2C224E"/>
    <w:rsid w:val="4E2C69CB"/>
    <w:rsid w:val="4E2E0A8D"/>
    <w:rsid w:val="4E2E4192"/>
    <w:rsid w:val="4E2E5752"/>
    <w:rsid w:val="4E2F4B6D"/>
    <w:rsid w:val="4E305B24"/>
    <w:rsid w:val="4E3162AA"/>
    <w:rsid w:val="4E331BD9"/>
    <w:rsid w:val="4E34765B"/>
    <w:rsid w:val="4E352B5E"/>
    <w:rsid w:val="4E352CCE"/>
    <w:rsid w:val="4E3605DF"/>
    <w:rsid w:val="4E381440"/>
    <w:rsid w:val="4E38388D"/>
    <w:rsid w:val="4E383AE3"/>
    <w:rsid w:val="4E391564"/>
    <w:rsid w:val="4E3A6FE6"/>
    <w:rsid w:val="4E3B4A67"/>
    <w:rsid w:val="4E3C24E9"/>
    <w:rsid w:val="4E3C6544"/>
    <w:rsid w:val="4E3D70E2"/>
    <w:rsid w:val="4E3D7F6A"/>
    <w:rsid w:val="4E3F065B"/>
    <w:rsid w:val="4E3F346D"/>
    <w:rsid w:val="4E400EEF"/>
    <w:rsid w:val="4E401035"/>
    <w:rsid w:val="4E401BD4"/>
    <w:rsid w:val="4E416971"/>
    <w:rsid w:val="4E431E74"/>
    <w:rsid w:val="4E4478F5"/>
    <w:rsid w:val="4E46667C"/>
    <w:rsid w:val="4E4740FD"/>
    <w:rsid w:val="4E48737C"/>
    <w:rsid w:val="4E4A5082"/>
    <w:rsid w:val="4E4B7280"/>
    <w:rsid w:val="4E4C2783"/>
    <w:rsid w:val="4E4C4D02"/>
    <w:rsid w:val="4E4D0205"/>
    <w:rsid w:val="4E4D2BD1"/>
    <w:rsid w:val="4E4E2252"/>
    <w:rsid w:val="4E4E35AB"/>
    <w:rsid w:val="4E4E3A88"/>
    <w:rsid w:val="4E4E414A"/>
    <w:rsid w:val="4E4E5C86"/>
    <w:rsid w:val="4E4F14A5"/>
    <w:rsid w:val="4E4F1509"/>
    <w:rsid w:val="4E506F8B"/>
    <w:rsid w:val="4E514A0D"/>
    <w:rsid w:val="4E522069"/>
    <w:rsid w:val="4E537F10"/>
    <w:rsid w:val="4E543413"/>
    <w:rsid w:val="4E545991"/>
    <w:rsid w:val="4E550E94"/>
    <w:rsid w:val="4E56172D"/>
    <w:rsid w:val="4E563093"/>
    <w:rsid w:val="4E570B14"/>
    <w:rsid w:val="4E5722CC"/>
    <w:rsid w:val="4E574397"/>
    <w:rsid w:val="4E59789B"/>
    <w:rsid w:val="4E5A1A99"/>
    <w:rsid w:val="4E5A2BFD"/>
    <w:rsid w:val="4E5A531C"/>
    <w:rsid w:val="4E5C081F"/>
    <w:rsid w:val="4E5D2A1D"/>
    <w:rsid w:val="4E5E7C38"/>
    <w:rsid w:val="4E5F17A4"/>
    <w:rsid w:val="4E6039A2"/>
    <w:rsid w:val="4E607225"/>
    <w:rsid w:val="4E614CA7"/>
    <w:rsid w:val="4E6301AA"/>
    <w:rsid w:val="4E634927"/>
    <w:rsid w:val="4E6423A8"/>
    <w:rsid w:val="4E645C2C"/>
    <w:rsid w:val="4E6558AB"/>
    <w:rsid w:val="4E66332D"/>
    <w:rsid w:val="4E66521C"/>
    <w:rsid w:val="4E684632"/>
    <w:rsid w:val="4E6920B3"/>
    <w:rsid w:val="4E6942B2"/>
    <w:rsid w:val="4E6A08AC"/>
    <w:rsid w:val="4E6A73C2"/>
    <w:rsid w:val="4E6A7B35"/>
    <w:rsid w:val="4E6A7ED2"/>
    <w:rsid w:val="4E6B6615"/>
    <w:rsid w:val="4E6B77B5"/>
    <w:rsid w:val="4E6C3038"/>
    <w:rsid w:val="4E6D0ABA"/>
    <w:rsid w:val="4E6D2CB8"/>
    <w:rsid w:val="4E6E3FBD"/>
    <w:rsid w:val="4E6F3F3D"/>
    <w:rsid w:val="4E7074C0"/>
    <w:rsid w:val="4E7116BE"/>
    <w:rsid w:val="4E714F41"/>
    <w:rsid w:val="4E7229C3"/>
    <w:rsid w:val="4E726054"/>
    <w:rsid w:val="4E726A98"/>
    <w:rsid w:val="4E727140"/>
    <w:rsid w:val="4E730444"/>
    <w:rsid w:val="4E742643"/>
    <w:rsid w:val="4E745EC6"/>
    <w:rsid w:val="4E7500C4"/>
    <w:rsid w:val="4E750330"/>
    <w:rsid w:val="4E753947"/>
    <w:rsid w:val="4E7613C9"/>
    <w:rsid w:val="4E781049"/>
    <w:rsid w:val="4E782283"/>
    <w:rsid w:val="4E7848CC"/>
    <w:rsid w:val="4E79234E"/>
    <w:rsid w:val="4E796ACA"/>
    <w:rsid w:val="4E7A08D1"/>
    <w:rsid w:val="4E7A0A87"/>
    <w:rsid w:val="4E7B1FCD"/>
    <w:rsid w:val="4E7B4F3A"/>
    <w:rsid w:val="4E7B5851"/>
    <w:rsid w:val="4E7C2EBF"/>
    <w:rsid w:val="4E7C5914"/>
    <w:rsid w:val="4E7D0D54"/>
    <w:rsid w:val="4E7D2F52"/>
    <w:rsid w:val="4E7D6677"/>
    <w:rsid w:val="4E7E09D4"/>
    <w:rsid w:val="4E7E67D5"/>
    <w:rsid w:val="4E7F4257"/>
    <w:rsid w:val="4E801CD9"/>
    <w:rsid w:val="4E821B43"/>
    <w:rsid w:val="4E8251DC"/>
    <w:rsid w:val="4E8273DA"/>
    <w:rsid w:val="4E8326E2"/>
    <w:rsid w:val="4E834E5B"/>
    <w:rsid w:val="4E8406DF"/>
    <w:rsid w:val="4E84255A"/>
    <w:rsid w:val="4E85035F"/>
    <w:rsid w:val="4E853BE2"/>
    <w:rsid w:val="4E861663"/>
    <w:rsid w:val="4E8651D3"/>
    <w:rsid w:val="4E865398"/>
    <w:rsid w:val="4E875D72"/>
    <w:rsid w:val="4E884B66"/>
    <w:rsid w:val="4E886911"/>
    <w:rsid w:val="4E8925E8"/>
    <w:rsid w:val="4E8974AF"/>
    <w:rsid w:val="4E8A006A"/>
    <w:rsid w:val="4E8B5AEB"/>
    <w:rsid w:val="4E8C15C7"/>
    <w:rsid w:val="4E8C356D"/>
    <w:rsid w:val="4E8D0FEE"/>
    <w:rsid w:val="4E8D576B"/>
    <w:rsid w:val="4E8E2B40"/>
    <w:rsid w:val="4E8E31EC"/>
    <w:rsid w:val="4E8F0C6E"/>
    <w:rsid w:val="4E8F4ECD"/>
    <w:rsid w:val="4E901F73"/>
    <w:rsid w:val="4E9066F0"/>
    <w:rsid w:val="4E914171"/>
    <w:rsid w:val="4E9179F4"/>
    <w:rsid w:val="4E925476"/>
    <w:rsid w:val="4E925632"/>
    <w:rsid w:val="4E940979"/>
    <w:rsid w:val="4E946BAA"/>
    <w:rsid w:val="4E9511D6"/>
    <w:rsid w:val="4E9563FB"/>
    <w:rsid w:val="4E971861"/>
    <w:rsid w:val="4E9718FE"/>
    <w:rsid w:val="4E974E4A"/>
    <w:rsid w:val="4E97588C"/>
    <w:rsid w:val="4E992DD9"/>
    <w:rsid w:val="4E992F9E"/>
    <w:rsid w:val="4E994E01"/>
    <w:rsid w:val="4E9A2882"/>
    <w:rsid w:val="4E9B0304"/>
    <w:rsid w:val="4E9B4517"/>
    <w:rsid w:val="4E9D5A90"/>
    <w:rsid w:val="4E9E646A"/>
    <w:rsid w:val="4E9F478C"/>
    <w:rsid w:val="4EA0220D"/>
    <w:rsid w:val="4EA079E3"/>
    <w:rsid w:val="4EA15CE9"/>
    <w:rsid w:val="4EA17C8F"/>
    <w:rsid w:val="4EA21CBF"/>
    <w:rsid w:val="4EA33192"/>
    <w:rsid w:val="4EA40C13"/>
    <w:rsid w:val="4EA414EC"/>
    <w:rsid w:val="4EA50069"/>
    <w:rsid w:val="4EA53C12"/>
    <w:rsid w:val="4EA53DD6"/>
    <w:rsid w:val="4EA647B1"/>
    <w:rsid w:val="4EA66F51"/>
    <w:rsid w:val="4EA67471"/>
    <w:rsid w:val="4EA71B98"/>
    <w:rsid w:val="4EA85D29"/>
    <w:rsid w:val="4EA968C8"/>
    <w:rsid w:val="4EAB0005"/>
    <w:rsid w:val="4EAB059E"/>
    <w:rsid w:val="4EAC6020"/>
    <w:rsid w:val="4EAD3AA1"/>
    <w:rsid w:val="4EAE1523"/>
    <w:rsid w:val="4EAE2AF7"/>
    <w:rsid w:val="4EAE4DA6"/>
    <w:rsid w:val="4EAF3696"/>
    <w:rsid w:val="4EB002A9"/>
    <w:rsid w:val="4EB1572F"/>
    <w:rsid w:val="4EB15D2B"/>
    <w:rsid w:val="4EB237AC"/>
    <w:rsid w:val="4EB257AD"/>
    <w:rsid w:val="4EB27F29"/>
    <w:rsid w:val="4EB32BB1"/>
    <w:rsid w:val="4EB359AB"/>
    <w:rsid w:val="4EB41FBA"/>
    <w:rsid w:val="4EB424DB"/>
    <w:rsid w:val="4EB46CAF"/>
    <w:rsid w:val="4EB50EAE"/>
    <w:rsid w:val="4EB5692F"/>
    <w:rsid w:val="4EB57700"/>
    <w:rsid w:val="4EB643B1"/>
    <w:rsid w:val="4EB77C34"/>
    <w:rsid w:val="4EB819DC"/>
    <w:rsid w:val="4EB856B6"/>
    <w:rsid w:val="4EBA0BB9"/>
    <w:rsid w:val="4EBA2DB7"/>
    <w:rsid w:val="4EBB0839"/>
    <w:rsid w:val="4EBB663A"/>
    <w:rsid w:val="4EBC430A"/>
    <w:rsid w:val="4EBC44CE"/>
    <w:rsid w:val="4EBD1B3D"/>
    <w:rsid w:val="4EBD75BF"/>
    <w:rsid w:val="4EBE17BD"/>
    <w:rsid w:val="4EBE5040"/>
    <w:rsid w:val="4EBF2AC2"/>
    <w:rsid w:val="4EBF6FC0"/>
    <w:rsid w:val="4EC00544"/>
    <w:rsid w:val="4EC00FAD"/>
    <w:rsid w:val="4EC04CC0"/>
    <w:rsid w:val="4EC106FD"/>
    <w:rsid w:val="4EC12742"/>
    <w:rsid w:val="4EC201C3"/>
    <w:rsid w:val="4EC314C8"/>
    <w:rsid w:val="4EC3367F"/>
    <w:rsid w:val="4EC339EA"/>
    <w:rsid w:val="4EC33F0B"/>
    <w:rsid w:val="4EC37150"/>
    <w:rsid w:val="4EC51148"/>
    <w:rsid w:val="4EC549CB"/>
    <w:rsid w:val="4EC6244D"/>
    <w:rsid w:val="4EC77ECE"/>
    <w:rsid w:val="4EC820CD"/>
    <w:rsid w:val="4EC933D2"/>
    <w:rsid w:val="4ECA0E53"/>
    <w:rsid w:val="4ECA55D0"/>
    <w:rsid w:val="4ECB3051"/>
    <w:rsid w:val="4ECB68D5"/>
    <w:rsid w:val="4ECB7DF8"/>
    <w:rsid w:val="4ECC4356"/>
    <w:rsid w:val="4ECD1DD8"/>
    <w:rsid w:val="4ECE20D4"/>
    <w:rsid w:val="4ECE3FD6"/>
    <w:rsid w:val="4ECE7859"/>
    <w:rsid w:val="4ECF0762"/>
    <w:rsid w:val="4ECF52DB"/>
    <w:rsid w:val="4ECF74D9"/>
    <w:rsid w:val="4ED02D5C"/>
    <w:rsid w:val="4ED0364D"/>
    <w:rsid w:val="4ED04F5B"/>
    <w:rsid w:val="4ED107DE"/>
    <w:rsid w:val="4ED129DC"/>
    <w:rsid w:val="4ED2045E"/>
    <w:rsid w:val="4ED25E5C"/>
    <w:rsid w:val="4ED2625F"/>
    <w:rsid w:val="4ED355A0"/>
    <w:rsid w:val="4ED35EDF"/>
    <w:rsid w:val="4ED43961"/>
    <w:rsid w:val="4ED513E2"/>
    <w:rsid w:val="4ED56CDE"/>
    <w:rsid w:val="4ED6787C"/>
    <w:rsid w:val="4ED70169"/>
    <w:rsid w:val="4ED7041B"/>
    <w:rsid w:val="4ED80DF5"/>
    <w:rsid w:val="4ED813BC"/>
    <w:rsid w:val="4ED817CF"/>
    <w:rsid w:val="4ED82367"/>
    <w:rsid w:val="4ED9236E"/>
    <w:rsid w:val="4ED9366C"/>
    <w:rsid w:val="4ED97DE9"/>
    <w:rsid w:val="4EDA2BB2"/>
    <w:rsid w:val="4EDA2D48"/>
    <w:rsid w:val="4EDB32EC"/>
    <w:rsid w:val="4EDD2072"/>
    <w:rsid w:val="4EDD4E60"/>
    <w:rsid w:val="4EDE26B3"/>
    <w:rsid w:val="4EDE5BC3"/>
    <w:rsid w:val="4EDE7AF4"/>
    <w:rsid w:val="4EDF1751"/>
    <w:rsid w:val="4EDF1CF2"/>
    <w:rsid w:val="4EDF5575"/>
    <w:rsid w:val="4EE00118"/>
    <w:rsid w:val="4EE02FF7"/>
    <w:rsid w:val="4EE07773"/>
    <w:rsid w:val="4EE10A78"/>
    <w:rsid w:val="4EE22C77"/>
    <w:rsid w:val="4EE264FA"/>
    <w:rsid w:val="4EE306F8"/>
    <w:rsid w:val="4EE33F7B"/>
    <w:rsid w:val="4EE4617A"/>
    <w:rsid w:val="4EE52608"/>
    <w:rsid w:val="4EE53BFB"/>
    <w:rsid w:val="4EE5747E"/>
    <w:rsid w:val="4EE6167D"/>
    <w:rsid w:val="4EE74B80"/>
    <w:rsid w:val="4EE80403"/>
    <w:rsid w:val="4EE82601"/>
    <w:rsid w:val="4EE90083"/>
    <w:rsid w:val="4EE97C41"/>
    <w:rsid w:val="4EEA3906"/>
    <w:rsid w:val="4EEB1388"/>
    <w:rsid w:val="4EEB3586"/>
    <w:rsid w:val="4EEC1008"/>
    <w:rsid w:val="4EED488B"/>
    <w:rsid w:val="4EED6A89"/>
    <w:rsid w:val="4EEE34EC"/>
    <w:rsid w:val="4EEE450B"/>
    <w:rsid w:val="4EEE7D8E"/>
    <w:rsid w:val="4EEF1E97"/>
    <w:rsid w:val="4EEF1EC7"/>
    <w:rsid w:val="4EEF1F8C"/>
    <w:rsid w:val="4EEF5810"/>
    <w:rsid w:val="4EF02C2A"/>
    <w:rsid w:val="4EF03291"/>
    <w:rsid w:val="4EF10D13"/>
    <w:rsid w:val="4EF26794"/>
    <w:rsid w:val="4EF30992"/>
    <w:rsid w:val="4EF34216"/>
    <w:rsid w:val="4EF41C97"/>
    <w:rsid w:val="4EF53E96"/>
    <w:rsid w:val="4EF56E5A"/>
    <w:rsid w:val="4EF6519A"/>
    <w:rsid w:val="4EF72C1C"/>
    <w:rsid w:val="4EF8069D"/>
    <w:rsid w:val="4EF80DAD"/>
    <w:rsid w:val="4EF8560E"/>
    <w:rsid w:val="4EFB1622"/>
    <w:rsid w:val="4EFC3A63"/>
    <w:rsid w:val="4EFE25A7"/>
    <w:rsid w:val="4F005AAA"/>
    <w:rsid w:val="4F01352B"/>
    <w:rsid w:val="4F0170F3"/>
    <w:rsid w:val="4F020FAD"/>
    <w:rsid w:val="4F027ACE"/>
    <w:rsid w:val="4F031046"/>
    <w:rsid w:val="4F03120B"/>
    <w:rsid w:val="4F052784"/>
    <w:rsid w:val="4F065435"/>
    <w:rsid w:val="4F0679B3"/>
    <w:rsid w:val="4F072EB6"/>
    <w:rsid w:val="4F080938"/>
    <w:rsid w:val="4F0963B9"/>
    <w:rsid w:val="4F0A3E3B"/>
    <w:rsid w:val="4F0B18BC"/>
    <w:rsid w:val="4F0E0ACA"/>
    <w:rsid w:val="4F0E2841"/>
    <w:rsid w:val="4F0E4337"/>
    <w:rsid w:val="4F0F02C3"/>
    <w:rsid w:val="4F121247"/>
    <w:rsid w:val="4F13254C"/>
    <w:rsid w:val="4F136CC9"/>
    <w:rsid w:val="4F156272"/>
    <w:rsid w:val="4F1634D1"/>
    <w:rsid w:val="4F167C4E"/>
    <w:rsid w:val="4F183151"/>
    <w:rsid w:val="4F1869D4"/>
    <w:rsid w:val="4F190BD2"/>
    <w:rsid w:val="4F192FEF"/>
    <w:rsid w:val="4F194B09"/>
    <w:rsid w:val="4F1A1ED7"/>
    <w:rsid w:val="4F1A2EB8"/>
    <w:rsid w:val="4F1B40D5"/>
    <w:rsid w:val="4F1C1B57"/>
    <w:rsid w:val="4F1C3A1A"/>
    <w:rsid w:val="4F1C53DA"/>
    <w:rsid w:val="4F1D2E5C"/>
    <w:rsid w:val="4F1D7972"/>
    <w:rsid w:val="4F1E08DD"/>
    <w:rsid w:val="4F1E4F93"/>
    <w:rsid w:val="4F1E505A"/>
    <w:rsid w:val="4F1F00B4"/>
    <w:rsid w:val="4F1F596D"/>
    <w:rsid w:val="4F1F5B32"/>
    <w:rsid w:val="4F1F635F"/>
    <w:rsid w:val="4F205FDF"/>
    <w:rsid w:val="4F213A60"/>
    <w:rsid w:val="4F2214E2"/>
    <w:rsid w:val="4F230624"/>
    <w:rsid w:val="4F234D65"/>
    <w:rsid w:val="4F252466"/>
    <w:rsid w:val="4F26376B"/>
    <w:rsid w:val="4F2833EB"/>
    <w:rsid w:val="4F283CB4"/>
    <w:rsid w:val="4F286C6E"/>
    <w:rsid w:val="4F290E6D"/>
    <w:rsid w:val="4F2946F0"/>
    <w:rsid w:val="4F2A2171"/>
    <w:rsid w:val="4F2A5F90"/>
    <w:rsid w:val="4F2B5DCC"/>
    <w:rsid w:val="4F2D00A8"/>
    <w:rsid w:val="4F2D30F6"/>
    <w:rsid w:val="4F2E0B78"/>
    <w:rsid w:val="4F2E52F4"/>
    <w:rsid w:val="4F2F1620"/>
    <w:rsid w:val="4F2F1991"/>
    <w:rsid w:val="4F2F2D76"/>
    <w:rsid w:val="4F2F65F9"/>
    <w:rsid w:val="4F3007F7"/>
    <w:rsid w:val="4F306EDD"/>
    <w:rsid w:val="4F316279"/>
    <w:rsid w:val="4F32757E"/>
    <w:rsid w:val="4F3342D7"/>
    <w:rsid w:val="4F35568B"/>
    <w:rsid w:val="4F360182"/>
    <w:rsid w:val="4F362701"/>
    <w:rsid w:val="4F365F84"/>
    <w:rsid w:val="4F373A05"/>
    <w:rsid w:val="4F383685"/>
    <w:rsid w:val="4F3877A3"/>
    <w:rsid w:val="4F391107"/>
    <w:rsid w:val="4F396F09"/>
    <w:rsid w:val="4F3A6B88"/>
    <w:rsid w:val="4F3B460A"/>
    <w:rsid w:val="4F3D590F"/>
    <w:rsid w:val="4F3E0E12"/>
    <w:rsid w:val="4F3E3390"/>
    <w:rsid w:val="4F3E558F"/>
    <w:rsid w:val="4F3F6893"/>
    <w:rsid w:val="4F400A92"/>
    <w:rsid w:val="4F411D97"/>
    <w:rsid w:val="4F416513"/>
    <w:rsid w:val="4F437C01"/>
    <w:rsid w:val="4F4420B0"/>
    <w:rsid w:val="4F45079D"/>
    <w:rsid w:val="4F454F19"/>
    <w:rsid w:val="4F460C2D"/>
    <w:rsid w:val="4F461B54"/>
    <w:rsid w:val="4F47041D"/>
    <w:rsid w:val="4F473CA0"/>
    <w:rsid w:val="4F485E9E"/>
    <w:rsid w:val="4F493920"/>
    <w:rsid w:val="4F493C9D"/>
    <w:rsid w:val="4F49480A"/>
    <w:rsid w:val="4F4A13A1"/>
    <w:rsid w:val="4F4A4C24"/>
    <w:rsid w:val="4F4B26A6"/>
    <w:rsid w:val="4F4C0128"/>
    <w:rsid w:val="4F4D2326"/>
    <w:rsid w:val="4F4D5BA9"/>
    <w:rsid w:val="4F4E7DA7"/>
    <w:rsid w:val="4F4F32AA"/>
    <w:rsid w:val="4F4F5829"/>
    <w:rsid w:val="4F500D2C"/>
    <w:rsid w:val="4F506B2E"/>
    <w:rsid w:val="4F511FB2"/>
    <w:rsid w:val="4F512177"/>
    <w:rsid w:val="4F522031"/>
    <w:rsid w:val="4F52422F"/>
    <w:rsid w:val="4F52563A"/>
    <w:rsid w:val="4F531CB1"/>
    <w:rsid w:val="4F5336EF"/>
    <w:rsid w:val="4F537AB2"/>
    <w:rsid w:val="4F5435BF"/>
    <w:rsid w:val="4F545534"/>
    <w:rsid w:val="4F552FB6"/>
    <w:rsid w:val="4F556BB7"/>
    <w:rsid w:val="4F560A37"/>
    <w:rsid w:val="4F5706B7"/>
    <w:rsid w:val="4F573F3A"/>
    <w:rsid w:val="4F5764B9"/>
    <w:rsid w:val="4F5819BC"/>
    <w:rsid w:val="4F586138"/>
    <w:rsid w:val="4F58775A"/>
    <w:rsid w:val="4F593BBA"/>
    <w:rsid w:val="4F5A0E97"/>
    <w:rsid w:val="4F5A163C"/>
    <w:rsid w:val="4F5A4EBF"/>
    <w:rsid w:val="4F5B1872"/>
    <w:rsid w:val="4F5B2940"/>
    <w:rsid w:val="4F5B70BD"/>
    <w:rsid w:val="4F5C4B3F"/>
    <w:rsid w:val="4F5D25C0"/>
    <w:rsid w:val="4F5E0042"/>
    <w:rsid w:val="4F5E38C5"/>
    <w:rsid w:val="4F5F1347"/>
    <w:rsid w:val="4F5F5AC3"/>
    <w:rsid w:val="4F604B42"/>
    <w:rsid w:val="4F604F02"/>
    <w:rsid w:val="4F6050C6"/>
    <w:rsid w:val="4F61663F"/>
    <w:rsid w:val="4F617740"/>
    <w:rsid w:val="4F625F52"/>
    <w:rsid w:val="4F637D4D"/>
    <w:rsid w:val="4F660CD1"/>
    <w:rsid w:val="4F6726AA"/>
    <w:rsid w:val="4F676753"/>
    <w:rsid w:val="4F6841D5"/>
    <w:rsid w:val="4F691C56"/>
    <w:rsid w:val="4F693DE7"/>
    <w:rsid w:val="4F6A76D8"/>
    <w:rsid w:val="4F6C2BDB"/>
    <w:rsid w:val="4F6E60DE"/>
    <w:rsid w:val="4F6E763C"/>
    <w:rsid w:val="4F6F15E1"/>
    <w:rsid w:val="4F7014DC"/>
    <w:rsid w:val="4F707062"/>
    <w:rsid w:val="4F710059"/>
    <w:rsid w:val="4F711F6A"/>
    <w:rsid w:val="4F722566"/>
    <w:rsid w:val="4F723821"/>
    <w:rsid w:val="4F744081"/>
    <w:rsid w:val="4F760F6C"/>
    <w:rsid w:val="4F7657BE"/>
    <w:rsid w:val="4F776199"/>
    <w:rsid w:val="4F795774"/>
    <w:rsid w:val="4F7A0475"/>
    <w:rsid w:val="4F7A31F5"/>
    <w:rsid w:val="4F7A7972"/>
    <w:rsid w:val="4F7B0C77"/>
    <w:rsid w:val="4F7B53F3"/>
    <w:rsid w:val="4F7C2E75"/>
    <w:rsid w:val="4F7C66F8"/>
    <w:rsid w:val="4F7D08F7"/>
    <w:rsid w:val="4F7D417A"/>
    <w:rsid w:val="4F7D7B82"/>
    <w:rsid w:val="4F7E1566"/>
    <w:rsid w:val="4F7E3B05"/>
    <w:rsid w:val="4F7E6378"/>
    <w:rsid w:val="4F7F2918"/>
    <w:rsid w:val="4F7F29EB"/>
    <w:rsid w:val="4F7F342D"/>
    <w:rsid w:val="4F7F3DFA"/>
    <w:rsid w:val="4F7F44DF"/>
    <w:rsid w:val="4F7F767D"/>
    <w:rsid w:val="4F812B80"/>
    <w:rsid w:val="4F8172FD"/>
    <w:rsid w:val="4F8211C4"/>
    <w:rsid w:val="4F824D7E"/>
    <w:rsid w:val="4F836083"/>
    <w:rsid w:val="4F843B05"/>
    <w:rsid w:val="4F851586"/>
    <w:rsid w:val="4F855D03"/>
    <w:rsid w:val="4F8610E9"/>
    <w:rsid w:val="4F863785"/>
    <w:rsid w:val="4F871206"/>
    <w:rsid w:val="4F871C87"/>
    <w:rsid w:val="4F884709"/>
    <w:rsid w:val="4F89218B"/>
    <w:rsid w:val="4F897F8C"/>
    <w:rsid w:val="4F8A3D9F"/>
    <w:rsid w:val="4F8A7C0C"/>
    <w:rsid w:val="4F8B4779"/>
    <w:rsid w:val="4F8B5318"/>
    <w:rsid w:val="4F8C664C"/>
    <w:rsid w:val="4F8D0B91"/>
    <w:rsid w:val="4F8E4414"/>
    <w:rsid w:val="4F8E493C"/>
    <w:rsid w:val="4F8E6612"/>
    <w:rsid w:val="4F8F1E96"/>
    <w:rsid w:val="4F905399"/>
    <w:rsid w:val="4F911547"/>
    <w:rsid w:val="4F92089C"/>
    <w:rsid w:val="4F925019"/>
    <w:rsid w:val="4F932A9A"/>
    <w:rsid w:val="4F94051C"/>
    <w:rsid w:val="4F951821"/>
    <w:rsid w:val="4F963A1F"/>
    <w:rsid w:val="4F974D24"/>
    <w:rsid w:val="4F975776"/>
    <w:rsid w:val="4F9843DC"/>
    <w:rsid w:val="4F984C1B"/>
    <w:rsid w:val="4F986150"/>
    <w:rsid w:val="4F986314"/>
    <w:rsid w:val="4F986F22"/>
    <w:rsid w:val="4F98760D"/>
    <w:rsid w:val="4F990227"/>
    <w:rsid w:val="4F9A0268"/>
    <w:rsid w:val="4F9A042C"/>
    <w:rsid w:val="4F9A2425"/>
    <w:rsid w:val="4F9B0FCB"/>
    <w:rsid w:val="4F9B372A"/>
    <w:rsid w:val="4F9C11AB"/>
    <w:rsid w:val="4F9C5928"/>
    <w:rsid w:val="4F9D33AA"/>
    <w:rsid w:val="4F9D66D8"/>
    <w:rsid w:val="4F9D6BF9"/>
    <w:rsid w:val="4F9D6C2D"/>
    <w:rsid w:val="4F9E46AF"/>
    <w:rsid w:val="4F9F2130"/>
    <w:rsid w:val="4F9F432E"/>
    <w:rsid w:val="4F9F68AD"/>
    <w:rsid w:val="4FA07BB2"/>
    <w:rsid w:val="4FA15633"/>
    <w:rsid w:val="4FA17831"/>
    <w:rsid w:val="4FA230B5"/>
    <w:rsid w:val="4FA252B3"/>
    <w:rsid w:val="4FA30B36"/>
    <w:rsid w:val="4FA36773"/>
    <w:rsid w:val="4FA54039"/>
    <w:rsid w:val="4FA56238"/>
    <w:rsid w:val="4FA57B27"/>
    <w:rsid w:val="4FA61264"/>
    <w:rsid w:val="4FA63CB9"/>
    <w:rsid w:val="4FA829A2"/>
    <w:rsid w:val="4FA931B8"/>
    <w:rsid w:val="4FA94C3E"/>
    <w:rsid w:val="4FAA26BF"/>
    <w:rsid w:val="4FAA2859"/>
    <w:rsid w:val="4FAA3D56"/>
    <w:rsid w:val="4FAA3F1B"/>
    <w:rsid w:val="4FAA5F43"/>
    <w:rsid w:val="4FAB39C4"/>
    <w:rsid w:val="4FAC5BC3"/>
    <w:rsid w:val="4FAD3644"/>
    <w:rsid w:val="4FAE31CC"/>
    <w:rsid w:val="4FAE4949"/>
    <w:rsid w:val="4FAE6471"/>
    <w:rsid w:val="4FAF23CA"/>
    <w:rsid w:val="4FAF6B47"/>
    <w:rsid w:val="4FB0014A"/>
    <w:rsid w:val="4FB045C9"/>
    <w:rsid w:val="4FB07E4C"/>
    <w:rsid w:val="4FB214FE"/>
    <w:rsid w:val="4FB216C3"/>
    <w:rsid w:val="4FB42FCF"/>
    <w:rsid w:val="4FB46852"/>
    <w:rsid w:val="4FB50A50"/>
    <w:rsid w:val="4FB61D55"/>
    <w:rsid w:val="4FB73F54"/>
    <w:rsid w:val="4FB758F2"/>
    <w:rsid w:val="4FB777D7"/>
    <w:rsid w:val="4FB85557"/>
    <w:rsid w:val="4FB858C2"/>
    <w:rsid w:val="4FB92CDA"/>
    <w:rsid w:val="4FB940D4"/>
    <w:rsid w:val="4FB945F5"/>
    <w:rsid w:val="4FB94960"/>
    <w:rsid w:val="4FB94ED8"/>
    <w:rsid w:val="4FBA075B"/>
    <w:rsid w:val="4FBA295A"/>
    <w:rsid w:val="4FBB03DB"/>
    <w:rsid w:val="4FBB5D95"/>
    <w:rsid w:val="4FBB61DD"/>
    <w:rsid w:val="4FBC3C5F"/>
    <w:rsid w:val="4FBC5E5D"/>
    <w:rsid w:val="4FBE1360"/>
    <w:rsid w:val="4FBF253E"/>
    <w:rsid w:val="4FC04863"/>
    <w:rsid w:val="4FC122E5"/>
    <w:rsid w:val="4FC14613"/>
    <w:rsid w:val="4FC15B68"/>
    <w:rsid w:val="4FC235E9"/>
    <w:rsid w:val="4FC3106B"/>
    <w:rsid w:val="4FC357E8"/>
    <w:rsid w:val="4FC43269"/>
    <w:rsid w:val="4FC46AED"/>
    <w:rsid w:val="4FC50CEB"/>
    <w:rsid w:val="4FC6067D"/>
    <w:rsid w:val="4FC62A8C"/>
    <w:rsid w:val="4FC854F3"/>
    <w:rsid w:val="4FC868B1"/>
    <w:rsid w:val="4FC92F74"/>
    <w:rsid w:val="4FCB4F2B"/>
    <w:rsid w:val="4FCE3A09"/>
    <w:rsid w:val="4FCE5E25"/>
    <w:rsid w:val="4FCE5FEA"/>
    <w:rsid w:val="4FCE6B88"/>
    <w:rsid w:val="4FCE73FC"/>
    <w:rsid w:val="4FCF4E7E"/>
    <w:rsid w:val="4FCF7562"/>
    <w:rsid w:val="4FD00101"/>
    <w:rsid w:val="4FD07F3D"/>
    <w:rsid w:val="4FD41305"/>
    <w:rsid w:val="4FD51ACF"/>
    <w:rsid w:val="4FD60B6D"/>
    <w:rsid w:val="4FD60ED8"/>
    <w:rsid w:val="4FD7228A"/>
    <w:rsid w:val="4FD74D0A"/>
    <w:rsid w:val="4FD77DC0"/>
    <w:rsid w:val="4FD856E5"/>
    <w:rsid w:val="4FD8578D"/>
    <w:rsid w:val="4FD87D0C"/>
    <w:rsid w:val="4FDB6712"/>
    <w:rsid w:val="4FDC4193"/>
    <w:rsid w:val="4FDD1AD8"/>
    <w:rsid w:val="4FDD1C15"/>
    <w:rsid w:val="4FDE7696"/>
    <w:rsid w:val="4FDF3051"/>
    <w:rsid w:val="4FE0099B"/>
    <w:rsid w:val="4FE1061B"/>
    <w:rsid w:val="4FE13E9E"/>
    <w:rsid w:val="4FE20F0D"/>
    <w:rsid w:val="4FE21920"/>
    <w:rsid w:val="4FE415A0"/>
    <w:rsid w:val="4FE43BD6"/>
    <w:rsid w:val="4FE4651D"/>
    <w:rsid w:val="4FE51552"/>
    <w:rsid w:val="4FE53195"/>
    <w:rsid w:val="4FE57021"/>
    <w:rsid w:val="4FE60326"/>
    <w:rsid w:val="4FE62232"/>
    <w:rsid w:val="4FE64AA3"/>
    <w:rsid w:val="4FE707F9"/>
    <w:rsid w:val="4FE811D3"/>
    <w:rsid w:val="4FE87FA6"/>
    <w:rsid w:val="4FE912AB"/>
    <w:rsid w:val="4FEA274C"/>
    <w:rsid w:val="4FEA2911"/>
    <w:rsid w:val="4FEA34A9"/>
    <w:rsid w:val="4FEA6D2C"/>
    <w:rsid w:val="4FEB0F2B"/>
    <w:rsid w:val="4FEB47AE"/>
    <w:rsid w:val="4FEC222F"/>
    <w:rsid w:val="4FEC4864"/>
    <w:rsid w:val="4FEC4A28"/>
    <w:rsid w:val="4FED442E"/>
    <w:rsid w:val="4FED7CB1"/>
    <w:rsid w:val="4FEE1EAF"/>
    <w:rsid w:val="4FEF31B4"/>
    <w:rsid w:val="4FEF6B40"/>
    <w:rsid w:val="4FF02E34"/>
    <w:rsid w:val="4FF0751A"/>
    <w:rsid w:val="4FF108B5"/>
    <w:rsid w:val="4FF17EF4"/>
    <w:rsid w:val="4FF24139"/>
    <w:rsid w:val="4FF26337"/>
    <w:rsid w:val="4FF33DB8"/>
    <w:rsid w:val="4FF36048"/>
    <w:rsid w:val="4FF52BAA"/>
    <w:rsid w:val="4FF550BD"/>
    <w:rsid w:val="4FF572BC"/>
    <w:rsid w:val="4FF705C0"/>
    <w:rsid w:val="4FF727BF"/>
    <w:rsid w:val="4FF80240"/>
    <w:rsid w:val="4FF83AC3"/>
    <w:rsid w:val="4FF91545"/>
    <w:rsid w:val="4FFB11C5"/>
    <w:rsid w:val="4FFC0517"/>
    <w:rsid w:val="4FFC24CA"/>
    <w:rsid w:val="4FFC6C46"/>
    <w:rsid w:val="4FFD46C8"/>
    <w:rsid w:val="4FFE214A"/>
    <w:rsid w:val="4FFE59CD"/>
    <w:rsid w:val="4FFF344E"/>
    <w:rsid w:val="4FFF6735"/>
    <w:rsid w:val="50000ED0"/>
    <w:rsid w:val="50010D46"/>
    <w:rsid w:val="50016951"/>
    <w:rsid w:val="50020B50"/>
    <w:rsid w:val="50027A78"/>
    <w:rsid w:val="500371EC"/>
    <w:rsid w:val="50045AFA"/>
    <w:rsid w:val="500478D6"/>
    <w:rsid w:val="50051AD4"/>
    <w:rsid w:val="50055358"/>
    <w:rsid w:val="50062DD9"/>
    <w:rsid w:val="50067073"/>
    <w:rsid w:val="50067238"/>
    <w:rsid w:val="50067556"/>
    <w:rsid w:val="50067DD6"/>
    <w:rsid w:val="50074FD7"/>
    <w:rsid w:val="500804DB"/>
    <w:rsid w:val="5008118B"/>
    <w:rsid w:val="50082A59"/>
    <w:rsid w:val="500862DC"/>
    <w:rsid w:val="50091D29"/>
    <w:rsid w:val="500A17DF"/>
    <w:rsid w:val="500A28C8"/>
    <w:rsid w:val="500B7261"/>
    <w:rsid w:val="500C4CE2"/>
    <w:rsid w:val="500C6EE1"/>
    <w:rsid w:val="500D4962"/>
    <w:rsid w:val="5010116A"/>
    <w:rsid w:val="501025C1"/>
    <w:rsid w:val="501036E9"/>
    <w:rsid w:val="501058E7"/>
    <w:rsid w:val="5011165E"/>
    <w:rsid w:val="50120DEA"/>
    <w:rsid w:val="5012466D"/>
    <w:rsid w:val="50130C0F"/>
    <w:rsid w:val="501320EF"/>
    <w:rsid w:val="501442ED"/>
    <w:rsid w:val="50147B70"/>
    <w:rsid w:val="50152B62"/>
    <w:rsid w:val="501555F2"/>
    <w:rsid w:val="50163074"/>
    <w:rsid w:val="501677F0"/>
    <w:rsid w:val="501740DB"/>
    <w:rsid w:val="50175272"/>
    <w:rsid w:val="50182CF3"/>
    <w:rsid w:val="50190775"/>
    <w:rsid w:val="50193FF8"/>
    <w:rsid w:val="501A1A7A"/>
    <w:rsid w:val="501A63B7"/>
    <w:rsid w:val="501B3C78"/>
    <w:rsid w:val="501B6F55"/>
    <w:rsid w:val="501B74FB"/>
    <w:rsid w:val="501C16FA"/>
    <w:rsid w:val="501C4F7D"/>
    <w:rsid w:val="501D29FE"/>
    <w:rsid w:val="501E0480"/>
    <w:rsid w:val="501F267E"/>
    <w:rsid w:val="501F487D"/>
    <w:rsid w:val="502033FA"/>
    <w:rsid w:val="502035AF"/>
    <w:rsid w:val="50203983"/>
    <w:rsid w:val="50211405"/>
    <w:rsid w:val="50226E86"/>
    <w:rsid w:val="502350D7"/>
    <w:rsid w:val="50236B06"/>
    <w:rsid w:val="50242389"/>
    <w:rsid w:val="50242AD2"/>
    <w:rsid w:val="50244588"/>
    <w:rsid w:val="50256650"/>
    <w:rsid w:val="5026588C"/>
    <w:rsid w:val="50267A8B"/>
    <w:rsid w:val="5027550C"/>
    <w:rsid w:val="50280768"/>
    <w:rsid w:val="50282F8E"/>
    <w:rsid w:val="50290A0F"/>
    <w:rsid w:val="50294293"/>
    <w:rsid w:val="502A1D14"/>
    <w:rsid w:val="502A6491"/>
    <w:rsid w:val="502B6356"/>
    <w:rsid w:val="502B7796"/>
    <w:rsid w:val="502C341E"/>
    <w:rsid w:val="502D3DF8"/>
    <w:rsid w:val="502E071A"/>
    <w:rsid w:val="502F60D4"/>
    <w:rsid w:val="502F619C"/>
    <w:rsid w:val="5031169F"/>
    <w:rsid w:val="50317489"/>
    <w:rsid w:val="503201EC"/>
    <w:rsid w:val="50327120"/>
    <w:rsid w:val="50330BC6"/>
    <w:rsid w:val="50334BA2"/>
    <w:rsid w:val="5033554C"/>
    <w:rsid w:val="50341765"/>
    <w:rsid w:val="50342624"/>
    <w:rsid w:val="50362B19"/>
    <w:rsid w:val="50365B27"/>
    <w:rsid w:val="5038102A"/>
    <w:rsid w:val="50384256"/>
    <w:rsid w:val="503A452D"/>
    <w:rsid w:val="503B1FAE"/>
    <w:rsid w:val="503B242E"/>
    <w:rsid w:val="503B636E"/>
    <w:rsid w:val="503C6D48"/>
    <w:rsid w:val="503C7A30"/>
    <w:rsid w:val="503D54B2"/>
    <w:rsid w:val="503E02C1"/>
    <w:rsid w:val="503E2F33"/>
    <w:rsid w:val="50406436"/>
    <w:rsid w:val="50412F77"/>
    <w:rsid w:val="50413EB8"/>
    <w:rsid w:val="50423B16"/>
    <w:rsid w:val="504273BB"/>
    <w:rsid w:val="504344F0"/>
    <w:rsid w:val="504346B5"/>
    <w:rsid w:val="50434E3C"/>
    <w:rsid w:val="504428BE"/>
    <w:rsid w:val="504440A0"/>
    <w:rsid w:val="5045033F"/>
    <w:rsid w:val="50456141"/>
    <w:rsid w:val="5046031B"/>
    <w:rsid w:val="50463BC3"/>
    <w:rsid w:val="50465DC1"/>
    <w:rsid w:val="50466608"/>
    <w:rsid w:val="504667CC"/>
    <w:rsid w:val="50471644"/>
    <w:rsid w:val="50473843"/>
    <w:rsid w:val="504812C4"/>
    <w:rsid w:val="50484B47"/>
    <w:rsid w:val="504870C6"/>
    <w:rsid w:val="5049071F"/>
    <w:rsid w:val="504925C9"/>
    <w:rsid w:val="50496D46"/>
    <w:rsid w:val="504A004A"/>
    <w:rsid w:val="504A4014"/>
    <w:rsid w:val="504A47C7"/>
    <w:rsid w:val="504B2249"/>
    <w:rsid w:val="504B5ACC"/>
    <w:rsid w:val="504C354E"/>
    <w:rsid w:val="504D3DB0"/>
    <w:rsid w:val="504D3F74"/>
    <w:rsid w:val="504D574C"/>
    <w:rsid w:val="504E31CD"/>
    <w:rsid w:val="504E6A51"/>
    <w:rsid w:val="504F44D2"/>
    <w:rsid w:val="50504C4B"/>
    <w:rsid w:val="50505EC7"/>
    <w:rsid w:val="5050608C"/>
    <w:rsid w:val="505072AB"/>
    <w:rsid w:val="50514152"/>
    <w:rsid w:val="505179D5"/>
    <w:rsid w:val="50525457"/>
    <w:rsid w:val="50537655"/>
    <w:rsid w:val="5054095A"/>
    <w:rsid w:val="505450D7"/>
    <w:rsid w:val="505475F5"/>
    <w:rsid w:val="505563DC"/>
    <w:rsid w:val="505620F6"/>
    <w:rsid w:val="50563E5D"/>
    <w:rsid w:val="5057605B"/>
    <w:rsid w:val="50586D12"/>
    <w:rsid w:val="5058707D"/>
    <w:rsid w:val="50587360"/>
    <w:rsid w:val="5059155E"/>
    <w:rsid w:val="50594DE2"/>
    <w:rsid w:val="50595DB0"/>
    <w:rsid w:val="505962D0"/>
    <w:rsid w:val="50596FE0"/>
    <w:rsid w:val="505A2863"/>
    <w:rsid w:val="505A4A62"/>
    <w:rsid w:val="505A4AE2"/>
    <w:rsid w:val="505B02E5"/>
    <w:rsid w:val="505C7F65"/>
    <w:rsid w:val="505D37E8"/>
    <w:rsid w:val="505D59E6"/>
    <w:rsid w:val="505D789E"/>
    <w:rsid w:val="505E1269"/>
    <w:rsid w:val="505F61C2"/>
    <w:rsid w:val="50601B7A"/>
    <w:rsid w:val="5060476D"/>
    <w:rsid w:val="506121EE"/>
    <w:rsid w:val="50617C70"/>
    <w:rsid w:val="50633ACD"/>
    <w:rsid w:val="50652DF3"/>
    <w:rsid w:val="50656676"/>
    <w:rsid w:val="506640F7"/>
    <w:rsid w:val="50670742"/>
    <w:rsid w:val="50670C63"/>
    <w:rsid w:val="506720D3"/>
    <w:rsid w:val="5067715E"/>
    <w:rsid w:val="50680222"/>
    <w:rsid w:val="506875FB"/>
    <w:rsid w:val="506917F9"/>
    <w:rsid w:val="5069507C"/>
    <w:rsid w:val="506B057F"/>
    <w:rsid w:val="506B4CFC"/>
    <w:rsid w:val="506C277D"/>
    <w:rsid w:val="506C27EE"/>
    <w:rsid w:val="506C29B3"/>
    <w:rsid w:val="506E1504"/>
    <w:rsid w:val="506E5C81"/>
    <w:rsid w:val="506F3702"/>
    <w:rsid w:val="50701184"/>
    <w:rsid w:val="50712488"/>
    <w:rsid w:val="50722108"/>
    <w:rsid w:val="50726A1D"/>
    <w:rsid w:val="50727F0A"/>
    <w:rsid w:val="5073598C"/>
    <w:rsid w:val="50737B8A"/>
    <w:rsid w:val="50740B35"/>
    <w:rsid w:val="5074340D"/>
    <w:rsid w:val="50750E8F"/>
    <w:rsid w:val="5075308D"/>
    <w:rsid w:val="507620AE"/>
    <w:rsid w:val="50762272"/>
    <w:rsid w:val="50771A9C"/>
    <w:rsid w:val="50774392"/>
    <w:rsid w:val="50776590"/>
    <w:rsid w:val="50781E13"/>
    <w:rsid w:val="50784012"/>
    <w:rsid w:val="507941C5"/>
    <w:rsid w:val="50797895"/>
    <w:rsid w:val="507A7515"/>
    <w:rsid w:val="507B5903"/>
    <w:rsid w:val="507D0499"/>
    <w:rsid w:val="507D3D1D"/>
    <w:rsid w:val="507E179E"/>
    <w:rsid w:val="5080141E"/>
    <w:rsid w:val="50804CA1"/>
    <w:rsid w:val="50812723"/>
    <w:rsid w:val="508201A4"/>
    <w:rsid w:val="5082250C"/>
    <w:rsid w:val="508230AB"/>
    <w:rsid w:val="508323A3"/>
    <w:rsid w:val="50833C49"/>
    <w:rsid w:val="508362F4"/>
    <w:rsid w:val="508436A7"/>
    <w:rsid w:val="508456FD"/>
    <w:rsid w:val="50845DD3"/>
    <w:rsid w:val="50847E24"/>
    <w:rsid w:val="50851129"/>
    <w:rsid w:val="508558A6"/>
    <w:rsid w:val="50863327"/>
    <w:rsid w:val="50863D59"/>
    <w:rsid w:val="5087673B"/>
    <w:rsid w:val="508820AE"/>
    <w:rsid w:val="5088682A"/>
    <w:rsid w:val="50887115"/>
    <w:rsid w:val="50890512"/>
    <w:rsid w:val="50891D2D"/>
    <w:rsid w:val="508942AC"/>
    <w:rsid w:val="50897E78"/>
    <w:rsid w:val="508A55B1"/>
    <w:rsid w:val="508A77AF"/>
    <w:rsid w:val="508C0AB4"/>
    <w:rsid w:val="508C2CB2"/>
    <w:rsid w:val="508C4D38"/>
    <w:rsid w:val="508D0734"/>
    <w:rsid w:val="508D27A6"/>
    <w:rsid w:val="508E3FB7"/>
    <w:rsid w:val="508F3C37"/>
    <w:rsid w:val="508F3EE3"/>
    <w:rsid w:val="5090545C"/>
    <w:rsid w:val="509074BA"/>
    <w:rsid w:val="50914F3C"/>
    <w:rsid w:val="50915FFB"/>
    <w:rsid w:val="5091713A"/>
    <w:rsid w:val="509269D5"/>
    <w:rsid w:val="5094671F"/>
    <w:rsid w:val="509748C6"/>
    <w:rsid w:val="50982348"/>
    <w:rsid w:val="509937A3"/>
    <w:rsid w:val="50997DCA"/>
    <w:rsid w:val="509A417D"/>
    <w:rsid w:val="509A584B"/>
    <w:rsid w:val="509B32CD"/>
    <w:rsid w:val="509C58BA"/>
    <w:rsid w:val="509C6E7C"/>
    <w:rsid w:val="509E4251"/>
    <w:rsid w:val="509F1CD3"/>
    <w:rsid w:val="50A00F4B"/>
    <w:rsid w:val="50A02BD7"/>
    <w:rsid w:val="50A07754"/>
    <w:rsid w:val="50A151D6"/>
    <w:rsid w:val="50A22688"/>
    <w:rsid w:val="50A3011C"/>
    <w:rsid w:val="50A306D9"/>
    <w:rsid w:val="50A3118B"/>
    <w:rsid w:val="50A43A3C"/>
    <w:rsid w:val="50A4615B"/>
    <w:rsid w:val="50A6165E"/>
    <w:rsid w:val="50A770DF"/>
    <w:rsid w:val="50A84B61"/>
    <w:rsid w:val="50A868B7"/>
    <w:rsid w:val="50A90064"/>
    <w:rsid w:val="50AA5AE5"/>
    <w:rsid w:val="50AA7C6B"/>
    <w:rsid w:val="50AB1369"/>
    <w:rsid w:val="50AB13A9"/>
    <w:rsid w:val="50AC0FE9"/>
    <w:rsid w:val="50AC11E4"/>
    <w:rsid w:val="50AC6DEA"/>
    <w:rsid w:val="50AD486C"/>
    <w:rsid w:val="50AD6A6A"/>
    <w:rsid w:val="50AE44EC"/>
    <w:rsid w:val="50AF1F6D"/>
    <w:rsid w:val="50AF405F"/>
    <w:rsid w:val="50B03F31"/>
    <w:rsid w:val="50B0429D"/>
    <w:rsid w:val="50B057F0"/>
    <w:rsid w:val="50B10CF4"/>
    <w:rsid w:val="50B15470"/>
    <w:rsid w:val="50B22743"/>
    <w:rsid w:val="50B22EF2"/>
    <w:rsid w:val="50B26775"/>
    <w:rsid w:val="50B30973"/>
    <w:rsid w:val="50B3698C"/>
    <w:rsid w:val="50B36B51"/>
    <w:rsid w:val="50B476EF"/>
    <w:rsid w:val="50B53E76"/>
    <w:rsid w:val="50B576FA"/>
    <w:rsid w:val="50B60C68"/>
    <w:rsid w:val="50B618F8"/>
    <w:rsid w:val="50B6517B"/>
    <w:rsid w:val="50B71807"/>
    <w:rsid w:val="50B72BFD"/>
    <w:rsid w:val="50B7737A"/>
    <w:rsid w:val="50B8067E"/>
    <w:rsid w:val="50B80DC6"/>
    <w:rsid w:val="50B84DFB"/>
    <w:rsid w:val="50BA42F9"/>
    <w:rsid w:val="50BB1603"/>
    <w:rsid w:val="50BB4CD3"/>
    <w:rsid w:val="50BB5D80"/>
    <w:rsid w:val="50BD4B06"/>
    <w:rsid w:val="50BE2588"/>
    <w:rsid w:val="50BE6A7A"/>
    <w:rsid w:val="50BE6C2F"/>
    <w:rsid w:val="50BE6DEA"/>
    <w:rsid w:val="50BF0009"/>
    <w:rsid w:val="50BF4786"/>
    <w:rsid w:val="50C04F20"/>
    <w:rsid w:val="50C05A8B"/>
    <w:rsid w:val="50C1350C"/>
    <w:rsid w:val="50C14393"/>
    <w:rsid w:val="50C20F8E"/>
    <w:rsid w:val="50C21AA1"/>
    <w:rsid w:val="50C2318C"/>
    <w:rsid w:val="50C30C0E"/>
    <w:rsid w:val="50C36A0F"/>
    <w:rsid w:val="50C431DE"/>
    <w:rsid w:val="50C44491"/>
    <w:rsid w:val="50C51F13"/>
    <w:rsid w:val="50C53BB8"/>
    <w:rsid w:val="50C54111"/>
    <w:rsid w:val="50C64592"/>
    <w:rsid w:val="50C75416"/>
    <w:rsid w:val="50C77614"/>
    <w:rsid w:val="50C82E97"/>
    <w:rsid w:val="50CA0599"/>
    <w:rsid w:val="50CA3E1C"/>
    <w:rsid w:val="50CB189D"/>
    <w:rsid w:val="50CC1360"/>
    <w:rsid w:val="50CC1AE3"/>
    <w:rsid w:val="50CC3A9C"/>
    <w:rsid w:val="50CC731F"/>
    <w:rsid w:val="50CD151D"/>
    <w:rsid w:val="50CD4DA0"/>
    <w:rsid w:val="50CE6F9F"/>
    <w:rsid w:val="50CE78B3"/>
    <w:rsid w:val="50CF02A4"/>
    <w:rsid w:val="50CF0878"/>
    <w:rsid w:val="50CF4A20"/>
    <w:rsid w:val="50D03E52"/>
    <w:rsid w:val="50D130C8"/>
    <w:rsid w:val="50D137A7"/>
    <w:rsid w:val="50D17F23"/>
    <w:rsid w:val="50D219EE"/>
    <w:rsid w:val="50D33427"/>
    <w:rsid w:val="50D3612E"/>
    <w:rsid w:val="50D4472B"/>
    <w:rsid w:val="50D50245"/>
    <w:rsid w:val="50D51CA7"/>
    <w:rsid w:val="50D521AD"/>
    <w:rsid w:val="50D71E2D"/>
    <w:rsid w:val="50DA0833"/>
    <w:rsid w:val="50DA6635"/>
    <w:rsid w:val="50DB3F55"/>
    <w:rsid w:val="50DB40B6"/>
    <w:rsid w:val="50DC3D36"/>
    <w:rsid w:val="50DD1B6F"/>
    <w:rsid w:val="50DD59ED"/>
    <w:rsid w:val="50DD75B9"/>
    <w:rsid w:val="50DE503B"/>
    <w:rsid w:val="50DF2ABC"/>
    <w:rsid w:val="50DF4CBB"/>
    <w:rsid w:val="50E0053E"/>
    <w:rsid w:val="50E101BE"/>
    <w:rsid w:val="50E20EB9"/>
    <w:rsid w:val="50E214C3"/>
    <w:rsid w:val="50E21CB3"/>
    <w:rsid w:val="50E25C3F"/>
    <w:rsid w:val="50E325F7"/>
    <w:rsid w:val="50E336C1"/>
    <w:rsid w:val="50E36F44"/>
    <w:rsid w:val="50E41142"/>
    <w:rsid w:val="50E449C6"/>
    <w:rsid w:val="50E50361"/>
    <w:rsid w:val="50E52447"/>
    <w:rsid w:val="50E56BC4"/>
    <w:rsid w:val="50E6454A"/>
    <w:rsid w:val="50E64646"/>
    <w:rsid w:val="50E67EC9"/>
    <w:rsid w:val="50E720C7"/>
    <w:rsid w:val="50E7594A"/>
    <w:rsid w:val="50E833CC"/>
    <w:rsid w:val="50E85C87"/>
    <w:rsid w:val="50E87B49"/>
    <w:rsid w:val="50E90E4D"/>
    <w:rsid w:val="50E96661"/>
    <w:rsid w:val="50E96732"/>
    <w:rsid w:val="50E96826"/>
    <w:rsid w:val="50EA304C"/>
    <w:rsid w:val="50EA5464"/>
    <w:rsid w:val="50EA73C4"/>
    <w:rsid w:val="50EB4351"/>
    <w:rsid w:val="50EB4502"/>
    <w:rsid w:val="50EB46B7"/>
    <w:rsid w:val="50EB50F9"/>
    <w:rsid w:val="50EC0779"/>
    <w:rsid w:val="50EC093D"/>
    <w:rsid w:val="50EC654F"/>
    <w:rsid w:val="50ED14DC"/>
    <w:rsid w:val="50ED7854"/>
    <w:rsid w:val="50EE1EB6"/>
    <w:rsid w:val="50EE4E28"/>
    <w:rsid w:val="50EE52D5"/>
    <w:rsid w:val="50EF74D3"/>
    <w:rsid w:val="50F007D8"/>
    <w:rsid w:val="50F04F55"/>
    <w:rsid w:val="50F06140"/>
    <w:rsid w:val="50F07E93"/>
    <w:rsid w:val="50F129D7"/>
    <w:rsid w:val="50F20458"/>
    <w:rsid w:val="50F25EDA"/>
    <w:rsid w:val="50F3175D"/>
    <w:rsid w:val="50F360E5"/>
    <w:rsid w:val="50F471DE"/>
    <w:rsid w:val="50F56E5E"/>
    <w:rsid w:val="50F5765E"/>
    <w:rsid w:val="50F648E0"/>
    <w:rsid w:val="50F70163"/>
    <w:rsid w:val="50F70BD7"/>
    <w:rsid w:val="50F72361"/>
    <w:rsid w:val="50F87FAC"/>
    <w:rsid w:val="50F92150"/>
    <w:rsid w:val="50FA629D"/>
    <w:rsid w:val="50FA6B69"/>
    <w:rsid w:val="50FA6E95"/>
    <w:rsid w:val="50FC206C"/>
    <w:rsid w:val="50FC442C"/>
    <w:rsid w:val="50FD59A5"/>
    <w:rsid w:val="50FD7AEE"/>
    <w:rsid w:val="50FE5570"/>
    <w:rsid w:val="50FE637F"/>
    <w:rsid w:val="50FE6543"/>
    <w:rsid w:val="50FF2FF1"/>
    <w:rsid w:val="50FF6F1E"/>
    <w:rsid w:val="51000A73"/>
    <w:rsid w:val="51007ABC"/>
    <w:rsid w:val="51045B07"/>
    <w:rsid w:val="51047479"/>
    <w:rsid w:val="51052F88"/>
    <w:rsid w:val="510533D9"/>
    <w:rsid w:val="5106297C"/>
    <w:rsid w:val="510631F8"/>
    <w:rsid w:val="510703FD"/>
    <w:rsid w:val="510814BC"/>
    <w:rsid w:val="51081D48"/>
    <w:rsid w:val="51093901"/>
    <w:rsid w:val="510A1382"/>
    <w:rsid w:val="510B7D56"/>
    <w:rsid w:val="510D2307"/>
    <w:rsid w:val="510E1E6E"/>
    <w:rsid w:val="510E7D88"/>
    <w:rsid w:val="511033E7"/>
    <w:rsid w:val="51113F85"/>
    <w:rsid w:val="51122012"/>
    <w:rsid w:val="5112678F"/>
    <w:rsid w:val="51131C92"/>
    <w:rsid w:val="511354FE"/>
    <w:rsid w:val="51137A93"/>
    <w:rsid w:val="5115210E"/>
    <w:rsid w:val="51152F96"/>
    <w:rsid w:val="51154DB1"/>
    <w:rsid w:val="51154F67"/>
    <w:rsid w:val="51162C16"/>
    <w:rsid w:val="51170698"/>
    <w:rsid w:val="51173258"/>
    <w:rsid w:val="511735C3"/>
    <w:rsid w:val="5117649A"/>
    <w:rsid w:val="51177FF0"/>
    <w:rsid w:val="51183F1B"/>
    <w:rsid w:val="5119172D"/>
    <w:rsid w:val="5119199D"/>
    <w:rsid w:val="511A161C"/>
    <w:rsid w:val="511A2107"/>
    <w:rsid w:val="511B3845"/>
    <w:rsid w:val="511B709E"/>
    <w:rsid w:val="511C43E3"/>
    <w:rsid w:val="511D4F82"/>
    <w:rsid w:val="511E0023"/>
    <w:rsid w:val="511F1327"/>
    <w:rsid w:val="51203526"/>
    <w:rsid w:val="51206DA9"/>
    <w:rsid w:val="51207410"/>
    <w:rsid w:val="51210FA7"/>
    <w:rsid w:val="51226A29"/>
    <w:rsid w:val="51237D2E"/>
    <w:rsid w:val="512457AF"/>
    <w:rsid w:val="51253231"/>
    <w:rsid w:val="512579AE"/>
    <w:rsid w:val="51263104"/>
    <w:rsid w:val="51272EB1"/>
    <w:rsid w:val="51273ADE"/>
    <w:rsid w:val="51274842"/>
    <w:rsid w:val="51276734"/>
    <w:rsid w:val="51277588"/>
    <w:rsid w:val="51280932"/>
    <w:rsid w:val="512841B5"/>
    <w:rsid w:val="51291C37"/>
    <w:rsid w:val="512963B4"/>
    <w:rsid w:val="512A76B9"/>
    <w:rsid w:val="512B18B7"/>
    <w:rsid w:val="512D283B"/>
    <w:rsid w:val="512E02BD"/>
    <w:rsid w:val="512E60BF"/>
    <w:rsid w:val="512F5D3F"/>
    <w:rsid w:val="513015C2"/>
    <w:rsid w:val="513037C0"/>
    <w:rsid w:val="51311242"/>
    <w:rsid w:val="5131339E"/>
    <w:rsid w:val="513220D6"/>
    <w:rsid w:val="51323F3D"/>
    <w:rsid w:val="51324101"/>
    <w:rsid w:val="51324AC5"/>
    <w:rsid w:val="51326CC3"/>
    <w:rsid w:val="51337FC8"/>
    <w:rsid w:val="5134005C"/>
    <w:rsid w:val="51345A4A"/>
    <w:rsid w:val="513534CB"/>
    <w:rsid w:val="51356054"/>
    <w:rsid w:val="513675CD"/>
    <w:rsid w:val="5137016C"/>
    <w:rsid w:val="51384450"/>
    <w:rsid w:val="51391ED1"/>
    <w:rsid w:val="513A7953"/>
    <w:rsid w:val="513B53D4"/>
    <w:rsid w:val="513C39C1"/>
    <w:rsid w:val="513C75D3"/>
    <w:rsid w:val="513E2AD6"/>
    <w:rsid w:val="513E6359"/>
    <w:rsid w:val="513F0557"/>
    <w:rsid w:val="5140185C"/>
    <w:rsid w:val="51405FD9"/>
    <w:rsid w:val="514216A9"/>
    <w:rsid w:val="51422BA4"/>
    <w:rsid w:val="51424D5F"/>
    <w:rsid w:val="51427A2B"/>
    <w:rsid w:val="514314C8"/>
    <w:rsid w:val="514349DF"/>
    <w:rsid w:val="51436F5E"/>
    <w:rsid w:val="51442461"/>
    <w:rsid w:val="514526E1"/>
    <w:rsid w:val="51463280"/>
    <w:rsid w:val="51463765"/>
    <w:rsid w:val="514711E7"/>
    <w:rsid w:val="51480E67"/>
    <w:rsid w:val="51486C69"/>
    <w:rsid w:val="514946EA"/>
    <w:rsid w:val="514968E8"/>
    <w:rsid w:val="514B1DEB"/>
    <w:rsid w:val="514B674C"/>
    <w:rsid w:val="514C30F0"/>
    <w:rsid w:val="514C72EB"/>
    <w:rsid w:val="514C786D"/>
    <w:rsid w:val="514D0B72"/>
    <w:rsid w:val="514D52EF"/>
    <w:rsid w:val="514F07F2"/>
    <w:rsid w:val="514F1FA1"/>
    <w:rsid w:val="514F4075"/>
    <w:rsid w:val="514F6B70"/>
    <w:rsid w:val="51501AF7"/>
    <w:rsid w:val="51501DDC"/>
    <w:rsid w:val="51505C0D"/>
    <w:rsid w:val="51506273"/>
    <w:rsid w:val="51517578"/>
    <w:rsid w:val="515203DF"/>
    <w:rsid w:val="51521776"/>
    <w:rsid w:val="51523EF4"/>
    <w:rsid w:val="51532A7B"/>
    <w:rsid w:val="515371F8"/>
    <w:rsid w:val="51544C79"/>
    <w:rsid w:val="515802E8"/>
    <w:rsid w:val="51594984"/>
    <w:rsid w:val="515B2086"/>
    <w:rsid w:val="515B4604"/>
    <w:rsid w:val="515B7E88"/>
    <w:rsid w:val="515C5909"/>
    <w:rsid w:val="515D37B4"/>
    <w:rsid w:val="515E090B"/>
    <w:rsid w:val="515F58CB"/>
    <w:rsid w:val="515F688E"/>
    <w:rsid w:val="515F7B5F"/>
    <w:rsid w:val="51611D91"/>
    <w:rsid w:val="51616E44"/>
    <w:rsid w:val="5162104E"/>
    <w:rsid w:val="516279E3"/>
    <w:rsid w:val="51632D16"/>
    <w:rsid w:val="51640797"/>
    <w:rsid w:val="51640F5C"/>
    <w:rsid w:val="51641120"/>
    <w:rsid w:val="51651CBF"/>
    <w:rsid w:val="51656219"/>
    <w:rsid w:val="51663C9A"/>
    <w:rsid w:val="5167171C"/>
    <w:rsid w:val="51673073"/>
    <w:rsid w:val="51694C1F"/>
    <w:rsid w:val="516A518B"/>
    <w:rsid w:val="516A6794"/>
    <w:rsid w:val="516B68C8"/>
    <w:rsid w:val="516E10A7"/>
    <w:rsid w:val="51701F58"/>
    <w:rsid w:val="517045AA"/>
    <w:rsid w:val="51744C0F"/>
    <w:rsid w:val="51750A31"/>
    <w:rsid w:val="517664B3"/>
    <w:rsid w:val="51776D26"/>
    <w:rsid w:val="517777B8"/>
    <w:rsid w:val="517819B6"/>
    <w:rsid w:val="51792CBB"/>
    <w:rsid w:val="51797438"/>
    <w:rsid w:val="517A073C"/>
    <w:rsid w:val="517B03BC"/>
    <w:rsid w:val="517B21F2"/>
    <w:rsid w:val="517B4CCE"/>
    <w:rsid w:val="517B61BE"/>
    <w:rsid w:val="517C2D91"/>
    <w:rsid w:val="517C3C40"/>
    <w:rsid w:val="517D16C1"/>
    <w:rsid w:val="517D38BF"/>
    <w:rsid w:val="517D3A01"/>
    <w:rsid w:val="517D3BB6"/>
    <w:rsid w:val="517E1341"/>
    <w:rsid w:val="517E7143"/>
    <w:rsid w:val="517F4EA8"/>
    <w:rsid w:val="517F6DC2"/>
    <w:rsid w:val="51805A47"/>
    <w:rsid w:val="518165E6"/>
    <w:rsid w:val="51825B49"/>
    <w:rsid w:val="5183104C"/>
    <w:rsid w:val="51837B5F"/>
    <w:rsid w:val="5184324A"/>
    <w:rsid w:val="51850CCC"/>
    <w:rsid w:val="5185454F"/>
    <w:rsid w:val="51861AB2"/>
    <w:rsid w:val="51861FD1"/>
    <w:rsid w:val="5186674D"/>
    <w:rsid w:val="51881C50"/>
    <w:rsid w:val="518854D4"/>
    <w:rsid w:val="51892F55"/>
    <w:rsid w:val="51894768"/>
    <w:rsid w:val="518A5153"/>
    <w:rsid w:val="518B5E73"/>
    <w:rsid w:val="518B6458"/>
    <w:rsid w:val="518B68B4"/>
    <w:rsid w:val="518C0657"/>
    <w:rsid w:val="518C3EDA"/>
    <w:rsid w:val="518C5952"/>
    <w:rsid w:val="518C66BB"/>
    <w:rsid w:val="518C687F"/>
    <w:rsid w:val="518D195B"/>
    <w:rsid w:val="518E7DF8"/>
    <w:rsid w:val="518F07D2"/>
    <w:rsid w:val="518F15DB"/>
    <w:rsid w:val="51901371"/>
    <w:rsid w:val="5190705D"/>
    <w:rsid w:val="51914ADE"/>
    <w:rsid w:val="51922560"/>
    <w:rsid w:val="51925DE3"/>
    <w:rsid w:val="51933719"/>
    <w:rsid w:val="51933865"/>
    <w:rsid w:val="51937FE1"/>
    <w:rsid w:val="51956D68"/>
    <w:rsid w:val="519647E9"/>
    <w:rsid w:val="5196613F"/>
    <w:rsid w:val="51976CDE"/>
    <w:rsid w:val="51981EEB"/>
    <w:rsid w:val="5198466F"/>
    <w:rsid w:val="51990092"/>
    <w:rsid w:val="5199796C"/>
    <w:rsid w:val="519A012F"/>
    <w:rsid w:val="519A53EE"/>
    <w:rsid w:val="519B0C71"/>
    <w:rsid w:val="519B66F3"/>
    <w:rsid w:val="519C21AA"/>
    <w:rsid w:val="519C236E"/>
    <w:rsid w:val="519D1BF6"/>
    <w:rsid w:val="519F1876"/>
    <w:rsid w:val="519F4486"/>
    <w:rsid w:val="519F50F9"/>
    <w:rsid w:val="51A04E60"/>
    <w:rsid w:val="51A072F7"/>
    <w:rsid w:val="51A105FC"/>
    <w:rsid w:val="51A3027C"/>
    <w:rsid w:val="51A41581"/>
    <w:rsid w:val="51A45CFD"/>
    <w:rsid w:val="51A5108F"/>
    <w:rsid w:val="51A61200"/>
    <w:rsid w:val="51A64A84"/>
    <w:rsid w:val="51A716D3"/>
    <w:rsid w:val="51A727CC"/>
    <w:rsid w:val="51A92185"/>
    <w:rsid w:val="51A93B81"/>
    <w:rsid w:val="51A95A08"/>
    <w:rsid w:val="51AA348A"/>
    <w:rsid w:val="51AB52BE"/>
    <w:rsid w:val="51AB5688"/>
    <w:rsid w:val="51AC0B8B"/>
    <w:rsid w:val="51AC310A"/>
    <w:rsid w:val="51AC698D"/>
    <w:rsid w:val="51AE408E"/>
    <w:rsid w:val="51AE7211"/>
    <w:rsid w:val="51B0094E"/>
    <w:rsid w:val="51B014ED"/>
    <w:rsid w:val="51B11EC7"/>
    <w:rsid w:val="51B20896"/>
    <w:rsid w:val="51B22A95"/>
    <w:rsid w:val="51B30516"/>
    <w:rsid w:val="51B36318"/>
    <w:rsid w:val="51B43D99"/>
    <w:rsid w:val="51B43FDF"/>
    <w:rsid w:val="51B45F98"/>
    <w:rsid w:val="51B53A19"/>
    <w:rsid w:val="51B563B7"/>
    <w:rsid w:val="51B6251B"/>
    <w:rsid w:val="51B64D1E"/>
    <w:rsid w:val="51B727A0"/>
    <w:rsid w:val="51B8499E"/>
    <w:rsid w:val="51B86AD1"/>
    <w:rsid w:val="51B86C95"/>
    <w:rsid w:val="51B9241F"/>
    <w:rsid w:val="51B94A72"/>
    <w:rsid w:val="51B9766F"/>
    <w:rsid w:val="51BA0D11"/>
    <w:rsid w:val="51BA7EA1"/>
    <w:rsid w:val="51BB5923"/>
    <w:rsid w:val="51BC33A4"/>
    <w:rsid w:val="51BC4751"/>
    <w:rsid w:val="51BD2161"/>
    <w:rsid w:val="51BD2325"/>
    <w:rsid w:val="51BD2EC4"/>
    <w:rsid w:val="51BD46A9"/>
    <w:rsid w:val="51BE389E"/>
    <w:rsid w:val="51C0562E"/>
    <w:rsid w:val="51C1782C"/>
    <w:rsid w:val="51C20B31"/>
    <w:rsid w:val="51C252AD"/>
    <w:rsid w:val="51C26390"/>
    <w:rsid w:val="51C26554"/>
    <w:rsid w:val="51C32D2F"/>
    <w:rsid w:val="51C365B2"/>
    <w:rsid w:val="51C44034"/>
    <w:rsid w:val="51C47ACD"/>
    <w:rsid w:val="51C51AB5"/>
    <w:rsid w:val="51C6120B"/>
    <w:rsid w:val="51C67537"/>
    <w:rsid w:val="51C71BE5"/>
    <w:rsid w:val="51C82784"/>
    <w:rsid w:val="51C82A3A"/>
    <w:rsid w:val="51CA3CFC"/>
    <w:rsid w:val="51CB39BF"/>
    <w:rsid w:val="51CC5C50"/>
    <w:rsid w:val="51CC6EC2"/>
    <w:rsid w:val="51CD4943"/>
    <w:rsid w:val="51CD69B3"/>
    <w:rsid w:val="51CE23C5"/>
    <w:rsid w:val="51CF7E46"/>
    <w:rsid w:val="51D00906"/>
    <w:rsid w:val="51D058C8"/>
    <w:rsid w:val="51D114A4"/>
    <w:rsid w:val="51D13349"/>
    <w:rsid w:val="51D21E7F"/>
    <w:rsid w:val="51D22043"/>
    <w:rsid w:val="51D23006"/>
    <w:rsid w:val="51D32259"/>
    <w:rsid w:val="51D41141"/>
    <w:rsid w:val="51D41817"/>
    <w:rsid w:val="51D433F8"/>
    <w:rsid w:val="51D442CE"/>
    <w:rsid w:val="51D51D50"/>
    <w:rsid w:val="51D5415B"/>
    <w:rsid w:val="51D64B35"/>
    <w:rsid w:val="51D75253"/>
    <w:rsid w:val="51D7550F"/>
    <w:rsid w:val="51D82CD4"/>
    <w:rsid w:val="51D86272"/>
    <w:rsid w:val="51D90756"/>
    <w:rsid w:val="51D96C4C"/>
    <w:rsid w:val="51D977EB"/>
    <w:rsid w:val="51DA61D7"/>
    <w:rsid w:val="51DB0B9F"/>
    <w:rsid w:val="51DB3C59"/>
    <w:rsid w:val="51DD22DD"/>
    <w:rsid w:val="51DD715C"/>
    <w:rsid w:val="51DE0461"/>
    <w:rsid w:val="51DE2CB7"/>
    <w:rsid w:val="51DE4BDE"/>
    <w:rsid w:val="51DF5EE2"/>
    <w:rsid w:val="51E000E1"/>
    <w:rsid w:val="51E03964"/>
    <w:rsid w:val="51E113E5"/>
    <w:rsid w:val="51E235E4"/>
    <w:rsid w:val="51E26E67"/>
    <w:rsid w:val="51E33AD4"/>
    <w:rsid w:val="51E44568"/>
    <w:rsid w:val="51E46AE7"/>
    <w:rsid w:val="51E470AB"/>
    <w:rsid w:val="51E57A85"/>
    <w:rsid w:val="51E60623"/>
    <w:rsid w:val="51E70FFE"/>
    <w:rsid w:val="51E732EF"/>
    <w:rsid w:val="51E754ED"/>
    <w:rsid w:val="51E82577"/>
    <w:rsid w:val="51E8779D"/>
    <w:rsid w:val="51E932DA"/>
    <w:rsid w:val="51E951E6"/>
    <w:rsid w:val="51EA6472"/>
    <w:rsid w:val="51EC51F8"/>
    <w:rsid w:val="51EC7777"/>
    <w:rsid w:val="51EE06FB"/>
    <w:rsid w:val="51EE67A6"/>
    <w:rsid w:val="51EF28F9"/>
    <w:rsid w:val="51EF7509"/>
    <w:rsid w:val="51EF7E0A"/>
    <w:rsid w:val="51F0037B"/>
    <w:rsid w:val="51F03BFE"/>
    <w:rsid w:val="51F06CF2"/>
    <w:rsid w:val="51F07D1F"/>
    <w:rsid w:val="51F15DFD"/>
    <w:rsid w:val="51F27101"/>
    <w:rsid w:val="51F34B83"/>
    <w:rsid w:val="51F46D81"/>
    <w:rsid w:val="51F65B08"/>
    <w:rsid w:val="51F77D06"/>
    <w:rsid w:val="51F8100B"/>
    <w:rsid w:val="51F93209"/>
    <w:rsid w:val="51FA0C8B"/>
    <w:rsid w:val="51FA450E"/>
    <w:rsid w:val="51FB1F8F"/>
    <w:rsid w:val="51FB670C"/>
    <w:rsid w:val="51FC1C0F"/>
    <w:rsid w:val="51FC7A11"/>
    <w:rsid w:val="51FD16F6"/>
    <w:rsid w:val="51FE2294"/>
    <w:rsid w:val="51FE2459"/>
    <w:rsid w:val="51FE2F14"/>
    <w:rsid w:val="51FE5112"/>
    <w:rsid w:val="51FF0996"/>
    <w:rsid w:val="51FF1685"/>
    <w:rsid w:val="51FF183A"/>
    <w:rsid w:val="51FF2B94"/>
    <w:rsid w:val="51FF2E33"/>
    <w:rsid w:val="51FF3797"/>
    <w:rsid w:val="520039D2"/>
    <w:rsid w:val="52006417"/>
    <w:rsid w:val="52016097"/>
    <w:rsid w:val="5202191A"/>
    <w:rsid w:val="5203159A"/>
    <w:rsid w:val="5203739C"/>
    <w:rsid w:val="5204289F"/>
    <w:rsid w:val="52044E1D"/>
    <w:rsid w:val="52050320"/>
    <w:rsid w:val="52054A9D"/>
    <w:rsid w:val="5206251F"/>
    <w:rsid w:val="52065DA2"/>
    <w:rsid w:val="5207117A"/>
    <w:rsid w:val="52073823"/>
    <w:rsid w:val="520812A5"/>
    <w:rsid w:val="52081B54"/>
    <w:rsid w:val="52087684"/>
    <w:rsid w:val="52096D27"/>
    <w:rsid w:val="520A47A8"/>
    <w:rsid w:val="520B222A"/>
    <w:rsid w:val="520C4428"/>
    <w:rsid w:val="520C4646"/>
    <w:rsid w:val="520C46EE"/>
    <w:rsid w:val="520C4C0F"/>
    <w:rsid w:val="520D1EAA"/>
    <w:rsid w:val="520D4383"/>
    <w:rsid w:val="520D53A9"/>
    <w:rsid w:val="520E2D4A"/>
    <w:rsid w:val="520E31AE"/>
    <w:rsid w:val="520E792B"/>
    <w:rsid w:val="520F0C30"/>
    <w:rsid w:val="520F53AD"/>
    <w:rsid w:val="520F6DE4"/>
    <w:rsid w:val="521108B0"/>
    <w:rsid w:val="52114133"/>
    <w:rsid w:val="52121BB5"/>
    <w:rsid w:val="52126331"/>
    <w:rsid w:val="52137636"/>
    <w:rsid w:val="52141834"/>
    <w:rsid w:val="521450B8"/>
    <w:rsid w:val="52152B39"/>
    <w:rsid w:val="521627B9"/>
    <w:rsid w:val="5217023B"/>
    <w:rsid w:val="5217603C"/>
    <w:rsid w:val="52185CBC"/>
    <w:rsid w:val="52186F93"/>
    <w:rsid w:val="5219153F"/>
    <w:rsid w:val="5219373E"/>
    <w:rsid w:val="5219601D"/>
    <w:rsid w:val="521961E1"/>
    <w:rsid w:val="521964E2"/>
    <w:rsid w:val="521A6DB2"/>
    <w:rsid w:val="521A6FC1"/>
    <w:rsid w:val="521C24C4"/>
    <w:rsid w:val="521C46C2"/>
    <w:rsid w:val="521D2144"/>
    <w:rsid w:val="521D4C9B"/>
    <w:rsid w:val="521D4E51"/>
    <w:rsid w:val="521E3449"/>
    <w:rsid w:val="521E3E1C"/>
    <w:rsid w:val="521E7BC5"/>
    <w:rsid w:val="521F0ECA"/>
    <w:rsid w:val="522030C9"/>
    <w:rsid w:val="52210B4A"/>
    <w:rsid w:val="52221E4F"/>
    <w:rsid w:val="52224F02"/>
    <w:rsid w:val="522378D0"/>
    <w:rsid w:val="52252DD4"/>
    <w:rsid w:val="52257019"/>
    <w:rsid w:val="52260855"/>
    <w:rsid w:val="522679F4"/>
    <w:rsid w:val="52272A53"/>
    <w:rsid w:val="522804D5"/>
    <w:rsid w:val="52291CD0"/>
    <w:rsid w:val="522A39D8"/>
    <w:rsid w:val="522A725B"/>
    <w:rsid w:val="522B4CDD"/>
    <w:rsid w:val="522B58DB"/>
    <w:rsid w:val="522C47C1"/>
    <w:rsid w:val="522E5D3A"/>
    <w:rsid w:val="522F36E3"/>
    <w:rsid w:val="52301165"/>
    <w:rsid w:val="523072B3"/>
    <w:rsid w:val="52324668"/>
    <w:rsid w:val="523313CB"/>
    <w:rsid w:val="523320E9"/>
    <w:rsid w:val="5234212E"/>
    <w:rsid w:val="52347B6B"/>
    <w:rsid w:val="52352B08"/>
    <w:rsid w:val="5235306E"/>
    <w:rsid w:val="52360AEF"/>
    <w:rsid w:val="523634E2"/>
    <w:rsid w:val="52376571"/>
    <w:rsid w:val="523924E1"/>
    <w:rsid w:val="523B4F77"/>
    <w:rsid w:val="523D047A"/>
    <w:rsid w:val="523D0C8A"/>
    <w:rsid w:val="523D0E4F"/>
    <w:rsid w:val="523E5EFC"/>
    <w:rsid w:val="523F397D"/>
    <w:rsid w:val="52413940"/>
    <w:rsid w:val="5242431B"/>
    <w:rsid w:val="52424902"/>
    <w:rsid w:val="52434EB9"/>
    <w:rsid w:val="52443688"/>
    <w:rsid w:val="5245110A"/>
    <w:rsid w:val="52463308"/>
    <w:rsid w:val="52467195"/>
    <w:rsid w:val="52470D8A"/>
    <w:rsid w:val="5247460D"/>
    <w:rsid w:val="52474E74"/>
    <w:rsid w:val="5248427D"/>
    <w:rsid w:val="5248680B"/>
    <w:rsid w:val="52491C87"/>
    <w:rsid w:val="52497B10"/>
    <w:rsid w:val="524B3013"/>
    <w:rsid w:val="524B7790"/>
    <w:rsid w:val="524C0A95"/>
    <w:rsid w:val="524C5212"/>
    <w:rsid w:val="524D0715"/>
    <w:rsid w:val="524D2C93"/>
    <w:rsid w:val="524D7600"/>
    <w:rsid w:val="524F3C18"/>
    <w:rsid w:val="5251711B"/>
    <w:rsid w:val="5252299E"/>
    <w:rsid w:val="52524B9C"/>
    <w:rsid w:val="52530420"/>
    <w:rsid w:val="5253261E"/>
    <w:rsid w:val="5254009F"/>
    <w:rsid w:val="525410A0"/>
    <w:rsid w:val="52541547"/>
    <w:rsid w:val="525420E5"/>
    <w:rsid w:val="52545EA1"/>
    <w:rsid w:val="525503FE"/>
    <w:rsid w:val="525513A4"/>
    <w:rsid w:val="52551F21"/>
    <w:rsid w:val="52555B21"/>
    <w:rsid w:val="525635A3"/>
    <w:rsid w:val="52566E26"/>
    <w:rsid w:val="52575082"/>
    <w:rsid w:val="52576C0F"/>
    <w:rsid w:val="52586AA6"/>
    <w:rsid w:val="525A1FA9"/>
    <w:rsid w:val="525A22CE"/>
    <w:rsid w:val="525A582C"/>
    <w:rsid w:val="525A6314"/>
    <w:rsid w:val="525B0222"/>
    <w:rsid w:val="525B6CEF"/>
    <w:rsid w:val="525B7A2A"/>
    <w:rsid w:val="525C54AC"/>
    <w:rsid w:val="525E0E06"/>
    <w:rsid w:val="525E4232"/>
    <w:rsid w:val="525F1CB4"/>
    <w:rsid w:val="52607735"/>
    <w:rsid w:val="52611934"/>
    <w:rsid w:val="526151B7"/>
    <w:rsid w:val="52621580"/>
    <w:rsid w:val="52623ABC"/>
    <w:rsid w:val="526306BA"/>
    <w:rsid w:val="52635035"/>
    <w:rsid w:val="52641C79"/>
    <w:rsid w:val="526428B8"/>
    <w:rsid w:val="52644E71"/>
    <w:rsid w:val="5264613C"/>
    <w:rsid w:val="52653BBD"/>
    <w:rsid w:val="52655DBB"/>
    <w:rsid w:val="5266048A"/>
    <w:rsid w:val="5266383D"/>
    <w:rsid w:val="526712BE"/>
    <w:rsid w:val="526770C0"/>
    <w:rsid w:val="52686D40"/>
    <w:rsid w:val="526925C3"/>
    <w:rsid w:val="526A0045"/>
    <w:rsid w:val="526B2619"/>
    <w:rsid w:val="526B27DD"/>
    <w:rsid w:val="526B5AC6"/>
    <w:rsid w:val="526B7CC5"/>
    <w:rsid w:val="526C31B7"/>
    <w:rsid w:val="526C3548"/>
    <w:rsid w:val="526C5746"/>
    <w:rsid w:val="526D0FC9"/>
    <w:rsid w:val="526E0C49"/>
    <w:rsid w:val="526F1F4E"/>
    <w:rsid w:val="526F5493"/>
    <w:rsid w:val="526F66CB"/>
    <w:rsid w:val="52705E6E"/>
    <w:rsid w:val="527079D0"/>
    <w:rsid w:val="52711BCE"/>
    <w:rsid w:val="52722ED3"/>
    <w:rsid w:val="52724CE2"/>
    <w:rsid w:val="52727F85"/>
    <w:rsid w:val="527350D1"/>
    <w:rsid w:val="52742AB2"/>
    <w:rsid w:val="52742B53"/>
    <w:rsid w:val="527505D4"/>
    <w:rsid w:val="527618D9"/>
    <w:rsid w:val="52766056"/>
    <w:rsid w:val="52773AD7"/>
    <w:rsid w:val="5277735B"/>
    <w:rsid w:val="52784DDC"/>
    <w:rsid w:val="5279285E"/>
    <w:rsid w:val="52794D53"/>
    <w:rsid w:val="52796FDA"/>
    <w:rsid w:val="527A4A5C"/>
    <w:rsid w:val="527A572D"/>
    <w:rsid w:val="527B62CC"/>
    <w:rsid w:val="527D1264"/>
    <w:rsid w:val="527D3462"/>
    <w:rsid w:val="527D59E1"/>
    <w:rsid w:val="527E0EE4"/>
    <w:rsid w:val="527F1798"/>
    <w:rsid w:val="527F6965"/>
    <w:rsid w:val="528021E8"/>
    <w:rsid w:val="52811E68"/>
    <w:rsid w:val="52812ED5"/>
    <w:rsid w:val="52817C6A"/>
    <w:rsid w:val="528256EC"/>
    <w:rsid w:val="528257B0"/>
    <w:rsid w:val="528278EA"/>
    <w:rsid w:val="52835CF8"/>
    <w:rsid w:val="52844FED"/>
    <w:rsid w:val="528540F2"/>
    <w:rsid w:val="528559C7"/>
    <w:rsid w:val="52856670"/>
    <w:rsid w:val="52861B73"/>
    <w:rsid w:val="52866565"/>
    <w:rsid w:val="52873D72"/>
    <w:rsid w:val="528817F3"/>
    <w:rsid w:val="52897275"/>
    <w:rsid w:val="528A121C"/>
    <w:rsid w:val="528A4CF6"/>
    <w:rsid w:val="528C3A7D"/>
    <w:rsid w:val="528E36FC"/>
    <w:rsid w:val="528E46E8"/>
    <w:rsid w:val="528E48AC"/>
    <w:rsid w:val="528E6F80"/>
    <w:rsid w:val="528F1AE6"/>
    <w:rsid w:val="52902483"/>
    <w:rsid w:val="52906C00"/>
    <w:rsid w:val="529169C4"/>
    <w:rsid w:val="5291754B"/>
    <w:rsid w:val="52917701"/>
    <w:rsid w:val="52925986"/>
    <w:rsid w:val="52933407"/>
    <w:rsid w:val="52940917"/>
    <w:rsid w:val="52940E89"/>
    <w:rsid w:val="5295167A"/>
    <w:rsid w:val="52971E0E"/>
    <w:rsid w:val="5298788F"/>
    <w:rsid w:val="52994D0A"/>
    <w:rsid w:val="529A56E5"/>
    <w:rsid w:val="529B60BF"/>
    <w:rsid w:val="529E1798"/>
    <w:rsid w:val="529E3F58"/>
    <w:rsid w:val="529E721A"/>
    <w:rsid w:val="529F2AD5"/>
    <w:rsid w:val="529F4C9C"/>
    <w:rsid w:val="52A0174F"/>
    <w:rsid w:val="52A01914"/>
    <w:rsid w:val="52A0271D"/>
    <w:rsid w:val="52A1019F"/>
    <w:rsid w:val="52A336A2"/>
    <w:rsid w:val="52A33867"/>
    <w:rsid w:val="52A44405"/>
    <w:rsid w:val="52A56BA5"/>
    <w:rsid w:val="52A64626"/>
    <w:rsid w:val="52A720A8"/>
    <w:rsid w:val="52A7651D"/>
    <w:rsid w:val="52A770BC"/>
    <w:rsid w:val="52A87B2A"/>
    <w:rsid w:val="52A87C5A"/>
    <w:rsid w:val="52A955AB"/>
    <w:rsid w:val="52AA100F"/>
    <w:rsid w:val="52AA68B0"/>
    <w:rsid w:val="52AB4331"/>
    <w:rsid w:val="52AD32EB"/>
    <w:rsid w:val="52AD3FB1"/>
    <w:rsid w:val="52AD7835"/>
    <w:rsid w:val="52AE4870"/>
    <w:rsid w:val="52AE52B6"/>
    <w:rsid w:val="52AF2D38"/>
    <w:rsid w:val="52AF74B4"/>
    <w:rsid w:val="52B007B9"/>
    <w:rsid w:val="52B04F36"/>
    <w:rsid w:val="52B05402"/>
    <w:rsid w:val="52B1623B"/>
    <w:rsid w:val="52B20439"/>
    <w:rsid w:val="52B23CBC"/>
    <w:rsid w:val="52B256B5"/>
    <w:rsid w:val="52B265AC"/>
    <w:rsid w:val="52B35EBB"/>
    <w:rsid w:val="52B37FC4"/>
    <w:rsid w:val="52B471BF"/>
    <w:rsid w:val="52B513BE"/>
    <w:rsid w:val="52B51631"/>
    <w:rsid w:val="52B6200C"/>
    <w:rsid w:val="52B626C2"/>
    <w:rsid w:val="52B66E3F"/>
    <w:rsid w:val="52B70144"/>
    <w:rsid w:val="52B72342"/>
    <w:rsid w:val="52B93647"/>
    <w:rsid w:val="52BA32C7"/>
    <w:rsid w:val="52BA4AFD"/>
    <w:rsid w:val="52BB0D49"/>
    <w:rsid w:val="52BB6B4A"/>
    <w:rsid w:val="52BC67CA"/>
    <w:rsid w:val="52BD204D"/>
    <w:rsid w:val="52BD6C15"/>
    <w:rsid w:val="52BE1CCD"/>
    <w:rsid w:val="52BE5550"/>
    <w:rsid w:val="52BE7ACF"/>
    <w:rsid w:val="52BF774F"/>
    <w:rsid w:val="52C00A54"/>
    <w:rsid w:val="52C00D2C"/>
    <w:rsid w:val="52C164D5"/>
    <w:rsid w:val="52C206D3"/>
    <w:rsid w:val="52C2246A"/>
    <w:rsid w:val="52C23F57"/>
    <w:rsid w:val="52C319D8"/>
    <w:rsid w:val="52C33C07"/>
    <w:rsid w:val="52C4745A"/>
    <w:rsid w:val="52C51658"/>
    <w:rsid w:val="52C54EDB"/>
    <w:rsid w:val="52C670DA"/>
    <w:rsid w:val="52C703DE"/>
    <w:rsid w:val="52C764D4"/>
    <w:rsid w:val="52C80AAA"/>
    <w:rsid w:val="52C825DD"/>
    <w:rsid w:val="52C85E60"/>
    <w:rsid w:val="52C87073"/>
    <w:rsid w:val="52C92AF8"/>
    <w:rsid w:val="52CA1363"/>
    <w:rsid w:val="52CA226C"/>
    <w:rsid w:val="52CB0C33"/>
    <w:rsid w:val="52CC055D"/>
    <w:rsid w:val="52CC0FE3"/>
    <w:rsid w:val="52CC1B65"/>
    <w:rsid w:val="52CC4866"/>
    <w:rsid w:val="52CD22E8"/>
    <w:rsid w:val="52CD2703"/>
    <w:rsid w:val="52CE44E6"/>
    <w:rsid w:val="52CF57EB"/>
    <w:rsid w:val="52CF79E9"/>
    <w:rsid w:val="52D0481B"/>
    <w:rsid w:val="52D2096E"/>
    <w:rsid w:val="52D2676F"/>
    <w:rsid w:val="52D341F1"/>
    <w:rsid w:val="52D3730D"/>
    <w:rsid w:val="52D41C73"/>
    <w:rsid w:val="52D518F2"/>
    <w:rsid w:val="52D576F4"/>
    <w:rsid w:val="52D61424"/>
    <w:rsid w:val="52D615E9"/>
    <w:rsid w:val="52D62BF7"/>
    <w:rsid w:val="52D65176"/>
    <w:rsid w:val="52D71FC3"/>
    <w:rsid w:val="52D72187"/>
    <w:rsid w:val="52D902F9"/>
    <w:rsid w:val="52D93700"/>
    <w:rsid w:val="52D93B7C"/>
    <w:rsid w:val="52DA15FD"/>
    <w:rsid w:val="52DB37FC"/>
    <w:rsid w:val="52DB4C79"/>
    <w:rsid w:val="52DB707F"/>
    <w:rsid w:val="52DC127D"/>
    <w:rsid w:val="52DC4B00"/>
    <w:rsid w:val="52DE0004"/>
    <w:rsid w:val="52DE4780"/>
    <w:rsid w:val="52DE792F"/>
    <w:rsid w:val="52DF2202"/>
    <w:rsid w:val="52E03507"/>
    <w:rsid w:val="52E07C83"/>
    <w:rsid w:val="52E10F88"/>
    <w:rsid w:val="52E15705"/>
    <w:rsid w:val="52E3448B"/>
    <w:rsid w:val="52E41F0D"/>
    <w:rsid w:val="52E4399A"/>
    <w:rsid w:val="52E5410B"/>
    <w:rsid w:val="52E54539"/>
    <w:rsid w:val="52E61B8D"/>
    <w:rsid w:val="52E65410"/>
    <w:rsid w:val="52E6760E"/>
    <w:rsid w:val="52E72E92"/>
    <w:rsid w:val="52E75090"/>
    <w:rsid w:val="52E76EBB"/>
    <w:rsid w:val="52E77591"/>
    <w:rsid w:val="52E82B11"/>
    <w:rsid w:val="52E96395"/>
    <w:rsid w:val="52EA3E16"/>
    <w:rsid w:val="52EA6014"/>
    <w:rsid w:val="52EB0768"/>
    <w:rsid w:val="52EB1898"/>
    <w:rsid w:val="52EB3A96"/>
    <w:rsid w:val="52EC7319"/>
    <w:rsid w:val="52ED4D9B"/>
    <w:rsid w:val="52EE029E"/>
    <w:rsid w:val="52EE281C"/>
    <w:rsid w:val="52EE369A"/>
    <w:rsid w:val="52EE5798"/>
    <w:rsid w:val="52EF249C"/>
    <w:rsid w:val="52EF3DF8"/>
    <w:rsid w:val="52EF5D1F"/>
    <w:rsid w:val="52F031A2"/>
    <w:rsid w:val="52F037A1"/>
    <w:rsid w:val="52F047D2"/>
    <w:rsid w:val="52F07F1E"/>
    <w:rsid w:val="52F11223"/>
    <w:rsid w:val="52F26CA4"/>
    <w:rsid w:val="52F36AAE"/>
    <w:rsid w:val="52F46924"/>
    <w:rsid w:val="52F57C29"/>
    <w:rsid w:val="52F60FC2"/>
    <w:rsid w:val="52F656AA"/>
    <w:rsid w:val="52F7312C"/>
    <w:rsid w:val="52F80BAD"/>
    <w:rsid w:val="52F92CDD"/>
    <w:rsid w:val="52FA40B1"/>
    <w:rsid w:val="52FB1B32"/>
    <w:rsid w:val="52FB4C31"/>
    <w:rsid w:val="52FC57CF"/>
    <w:rsid w:val="52FD5035"/>
    <w:rsid w:val="52FE6D48"/>
    <w:rsid w:val="53005FBA"/>
    <w:rsid w:val="530214BD"/>
    <w:rsid w:val="53036F3E"/>
    <w:rsid w:val="53042F77"/>
    <w:rsid w:val="530449C0"/>
    <w:rsid w:val="53052442"/>
    <w:rsid w:val="530524D1"/>
    <w:rsid w:val="53061FB1"/>
    <w:rsid w:val="5307508F"/>
    <w:rsid w:val="53075C2D"/>
    <w:rsid w:val="530968C9"/>
    <w:rsid w:val="530C12BE"/>
    <w:rsid w:val="530C784E"/>
    <w:rsid w:val="530E2D51"/>
    <w:rsid w:val="530E598A"/>
    <w:rsid w:val="530F4056"/>
    <w:rsid w:val="53101AD7"/>
    <w:rsid w:val="53106254"/>
    <w:rsid w:val="53113CD6"/>
    <w:rsid w:val="53117559"/>
    <w:rsid w:val="53121757"/>
    <w:rsid w:val="53124FDB"/>
    <w:rsid w:val="531254ED"/>
    <w:rsid w:val="531371D9"/>
    <w:rsid w:val="531404DE"/>
    <w:rsid w:val="53144C5A"/>
    <w:rsid w:val="53144E64"/>
    <w:rsid w:val="53147604"/>
    <w:rsid w:val="531526DC"/>
    <w:rsid w:val="53155F5F"/>
    <w:rsid w:val="53157440"/>
    <w:rsid w:val="531609B9"/>
    <w:rsid w:val="531639E1"/>
    <w:rsid w:val="53171462"/>
    <w:rsid w:val="531910E2"/>
    <w:rsid w:val="53192C95"/>
    <w:rsid w:val="53194965"/>
    <w:rsid w:val="531A366F"/>
    <w:rsid w:val="531A6B64"/>
    <w:rsid w:val="531B420E"/>
    <w:rsid w:val="531B7E68"/>
    <w:rsid w:val="531C2067"/>
    <w:rsid w:val="531C4DAC"/>
    <w:rsid w:val="531E0DED"/>
    <w:rsid w:val="531E3C37"/>
    <w:rsid w:val="531F0A6D"/>
    <w:rsid w:val="531F2FEB"/>
    <w:rsid w:val="531F686F"/>
    <w:rsid w:val="531F6EC4"/>
    <w:rsid w:val="532064EF"/>
    <w:rsid w:val="532076DA"/>
    <w:rsid w:val="53211D72"/>
    <w:rsid w:val="532219F2"/>
    <w:rsid w:val="532272D6"/>
    <w:rsid w:val="532277F3"/>
    <w:rsid w:val="532317F1"/>
    <w:rsid w:val="532319B6"/>
    <w:rsid w:val="53235275"/>
    <w:rsid w:val="53236894"/>
    <w:rsid w:val="53236DB5"/>
    <w:rsid w:val="53237473"/>
    <w:rsid w:val="53242CF6"/>
    <w:rsid w:val="53250778"/>
    <w:rsid w:val="53252976"/>
    <w:rsid w:val="532603F8"/>
    <w:rsid w:val="532661FA"/>
    <w:rsid w:val="532716FD"/>
    <w:rsid w:val="53285A20"/>
    <w:rsid w:val="5328717E"/>
    <w:rsid w:val="5329137C"/>
    <w:rsid w:val="53294C00"/>
    <w:rsid w:val="532A2681"/>
    <w:rsid w:val="532A6DFE"/>
    <w:rsid w:val="532B4880"/>
    <w:rsid w:val="532C5B84"/>
    <w:rsid w:val="532C75F3"/>
    <w:rsid w:val="532F3286"/>
    <w:rsid w:val="532F32A1"/>
    <w:rsid w:val="532F6B09"/>
    <w:rsid w:val="53310EBC"/>
    <w:rsid w:val="5331200C"/>
    <w:rsid w:val="53320D06"/>
    <w:rsid w:val="53327A8E"/>
    <w:rsid w:val="5333550F"/>
    <w:rsid w:val="53336043"/>
    <w:rsid w:val="53342F91"/>
    <w:rsid w:val="53366494"/>
    <w:rsid w:val="53370692"/>
    <w:rsid w:val="53373F15"/>
    <w:rsid w:val="53376114"/>
    <w:rsid w:val="5338150F"/>
    <w:rsid w:val="53383B95"/>
    <w:rsid w:val="533920AE"/>
    <w:rsid w:val="53397419"/>
    <w:rsid w:val="533A4E9A"/>
    <w:rsid w:val="533A7098"/>
    <w:rsid w:val="533B3627"/>
    <w:rsid w:val="533B37EB"/>
    <w:rsid w:val="533B4B1A"/>
    <w:rsid w:val="533C039D"/>
    <w:rsid w:val="533C25EA"/>
    <w:rsid w:val="533D5E1F"/>
    <w:rsid w:val="533E38A0"/>
    <w:rsid w:val="533E5A9F"/>
    <w:rsid w:val="533F1322"/>
    <w:rsid w:val="533F6118"/>
    <w:rsid w:val="533F6DA3"/>
    <w:rsid w:val="53400FA2"/>
    <w:rsid w:val="53403178"/>
    <w:rsid w:val="53404825"/>
    <w:rsid w:val="53416A23"/>
    <w:rsid w:val="534244A5"/>
    <w:rsid w:val="5342670B"/>
    <w:rsid w:val="53431F26"/>
    <w:rsid w:val="534357AA"/>
    <w:rsid w:val="5344322B"/>
    <w:rsid w:val="53447A23"/>
    <w:rsid w:val="53450CAD"/>
    <w:rsid w:val="53452EE6"/>
    <w:rsid w:val="53462EAB"/>
    <w:rsid w:val="5346672E"/>
    <w:rsid w:val="5347445F"/>
    <w:rsid w:val="53474F61"/>
    <w:rsid w:val="53481C31"/>
    <w:rsid w:val="53493E30"/>
    <w:rsid w:val="534A18B1"/>
    <w:rsid w:val="534A673B"/>
    <w:rsid w:val="534B2BB6"/>
    <w:rsid w:val="534C0852"/>
    <w:rsid w:val="534D122D"/>
    <w:rsid w:val="534D60B9"/>
    <w:rsid w:val="534D7664"/>
    <w:rsid w:val="534E02B7"/>
    <w:rsid w:val="534E1DCB"/>
    <w:rsid w:val="534E3B3B"/>
    <w:rsid w:val="534E5B0B"/>
    <w:rsid w:val="534F15BC"/>
    <w:rsid w:val="534F296A"/>
    <w:rsid w:val="534F37BA"/>
    <w:rsid w:val="534F57A0"/>
    <w:rsid w:val="5350123C"/>
    <w:rsid w:val="53516CBE"/>
    <w:rsid w:val="53522541"/>
    <w:rsid w:val="5352473F"/>
    <w:rsid w:val="535248BD"/>
    <w:rsid w:val="53537FC2"/>
    <w:rsid w:val="53545A44"/>
    <w:rsid w:val="53547C42"/>
    <w:rsid w:val="535534C5"/>
    <w:rsid w:val="53560F47"/>
    <w:rsid w:val="53570BC7"/>
    <w:rsid w:val="53586648"/>
    <w:rsid w:val="5359168B"/>
    <w:rsid w:val="535940CA"/>
    <w:rsid w:val="535A1B4B"/>
    <w:rsid w:val="535A53CF"/>
    <w:rsid w:val="535C08D2"/>
    <w:rsid w:val="535C1400"/>
    <w:rsid w:val="535D4B57"/>
    <w:rsid w:val="535D6353"/>
    <w:rsid w:val="535D7F7D"/>
    <w:rsid w:val="535E3DD5"/>
    <w:rsid w:val="535F1857"/>
    <w:rsid w:val="535F6294"/>
    <w:rsid w:val="536072D8"/>
    <w:rsid w:val="53614D5A"/>
    <w:rsid w:val="5361780D"/>
    <w:rsid w:val="536179D1"/>
    <w:rsid w:val="5363025D"/>
    <w:rsid w:val="53641AE9"/>
    <w:rsid w:val="53657426"/>
    <w:rsid w:val="53660DB0"/>
    <w:rsid w:val="536611E0"/>
    <w:rsid w:val="53673A3C"/>
    <w:rsid w:val="53676C63"/>
    <w:rsid w:val="53682217"/>
    <w:rsid w:val="536A66F2"/>
    <w:rsid w:val="536A7BE8"/>
    <w:rsid w:val="536B2AC5"/>
    <w:rsid w:val="536B319B"/>
    <w:rsid w:val="536B5669"/>
    <w:rsid w:val="536C30EB"/>
    <w:rsid w:val="536D0B6C"/>
    <w:rsid w:val="536E13A9"/>
    <w:rsid w:val="536E65EE"/>
    <w:rsid w:val="536F406F"/>
    <w:rsid w:val="53714FF4"/>
    <w:rsid w:val="53726DDE"/>
    <w:rsid w:val="537304F7"/>
    <w:rsid w:val="53745F79"/>
    <w:rsid w:val="53756B51"/>
    <w:rsid w:val="5376147C"/>
    <w:rsid w:val="53772781"/>
    <w:rsid w:val="53776EFD"/>
    <w:rsid w:val="53777F05"/>
    <w:rsid w:val="53780202"/>
    <w:rsid w:val="5378497F"/>
    <w:rsid w:val="53786204"/>
    <w:rsid w:val="53786C46"/>
    <w:rsid w:val="53792400"/>
    <w:rsid w:val="53795978"/>
    <w:rsid w:val="53795C84"/>
    <w:rsid w:val="537A201C"/>
    <w:rsid w:val="537A3705"/>
    <w:rsid w:val="537A50EC"/>
    <w:rsid w:val="537B1187"/>
    <w:rsid w:val="537C3385"/>
    <w:rsid w:val="537C3595"/>
    <w:rsid w:val="537D0E07"/>
    <w:rsid w:val="537D468A"/>
    <w:rsid w:val="537E210B"/>
    <w:rsid w:val="537E6888"/>
    <w:rsid w:val="537F5871"/>
    <w:rsid w:val="537F6A81"/>
    <w:rsid w:val="537F7B8D"/>
    <w:rsid w:val="53801D8B"/>
    <w:rsid w:val="5380560E"/>
    <w:rsid w:val="5380624C"/>
    <w:rsid w:val="53813946"/>
    <w:rsid w:val="5381780D"/>
    <w:rsid w:val="53820B12"/>
    <w:rsid w:val="5382461A"/>
    <w:rsid w:val="53832D10"/>
    <w:rsid w:val="53836593"/>
    <w:rsid w:val="53840D3D"/>
    <w:rsid w:val="53844015"/>
    <w:rsid w:val="53856213"/>
    <w:rsid w:val="53862E55"/>
    <w:rsid w:val="53867518"/>
    <w:rsid w:val="53870D4D"/>
    <w:rsid w:val="53884C19"/>
    <w:rsid w:val="53887198"/>
    <w:rsid w:val="5389049C"/>
    <w:rsid w:val="5389269B"/>
    <w:rsid w:val="538A5F1E"/>
    <w:rsid w:val="538B39A0"/>
    <w:rsid w:val="538B5B9E"/>
    <w:rsid w:val="538B66AA"/>
    <w:rsid w:val="538C1421"/>
    <w:rsid w:val="538C361F"/>
    <w:rsid w:val="538C7248"/>
    <w:rsid w:val="538D10A1"/>
    <w:rsid w:val="538E4924"/>
    <w:rsid w:val="538F23A6"/>
    <w:rsid w:val="538F45A4"/>
    <w:rsid w:val="538F7E27"/>
    <w:rsid w:val="53902026"/>
    <w:rsid w:val="5391332A"/>
    <w:rsid w:val="53932FAA"/>
    <w:rsid w:val="5393682D"/>
    <w:rsid w:val="53940A2C"/>
    <w:rsid w:val="53951D31"/>
    <w:rsid w:val="539564AD"/>
    <w:rsid w:val="53966B08"/>
    <w:rsid w:val="539677B2"/>
    <w:rsid w:val="5397181B"/>
    <w:rsid w:val="539719B0"/>
    <w:rsid w:val="53975234"/>
    <w:rsid w:val="53980081"/>
    <w:rsid w:val="539816D1"/>
    <w:rsid w:val="53982CB5"/>
    <w:rsid w:val="539A61B8"/>
    <w:rsid w:val="539B03B7"/>
    <w:rsid w:val="539B3C3A"/>
    <w:rsid w:val="539C16BB"/>
    <w:rsid w:val="539C2D37"/>
    <w:rsid w:val="539C5E38"/>
    <w:rsid w:val="539D713D"/>
    <w:rsid w:val="539E133B"/>
    <w:rsid w:val="539E4E4F"/>
    <w:rsid w:val="539F2640"/>
    <w:rsid w:val="53A022C0"/>
    <w:rsid w:val="53A039CC"/>
    <w:rsid w:val="53A0483E"/>
    <w:rsid w:val="53A1505A"/>
    <w:rsid w:val="53A304DF"/>
    <w:rsid w:val="53A31046"/>
    <w:rsid w:val="53A53C8D"/>
    <w:rsid w:val="53A53E42"/>
    <w:rsid w:val="53A541AD"/>
    <w:rsid w:val="53A546CE"/>
    <w:rsid w:val="53A6376C"/>
    <w:rsid w:val="53A641C9"/>
    <w:rsid w:val="53A71C4B"/>
    <w:rsid w:val="53A77A4C"/>
    <w:rsid w:val="53A82F50"/>
    <w:rsid w:val="53A876CC"/>
    <w:rsid w:val="53A909D1"/>
    <w:rsid w:val="53AA2BCF"/>
    <w:rsid w:val="53AA6453"/>
    <w:rsid w:val="53AB3ED4"/>
    <w:rsid w:val="53AC60D2"/>
    <w:rsid w:val="53AD3B54"/>
    <w:rsid w:val="53AD703B"/>
    <w:rsid w:val="53AD73D7"/>
    <w:rsid w:val="53AE4E59"/>
    <w:rsid w:val="53AF28DA"/>
    <w:rsid w:val="53B01CF2"/>
    <w:rsid w:val="53B01EB6"/>
    <w:rsid w:val="53B04AD9"/>
    <w:rsid w:val="53B15DDD"/>
    <w:rsid w:val="53B2385F"/>
    <w:rsid w:val="53B27FDC"/>
    <w:rsid w:val="53B33FCE"/>
    <w:rsid w:val="53B35A5D"/>
    <w:rsid w:val="53B37216"/>
    <w:rsid w:val="53B434DF"/>
    <w:rsid w:val="53B46D62"/>
    <w:rsid w:val="53B547E4"/>
    <w:rsid w:val="53B62265"/>
    <w:rsid w:val="53B669E2"/>
    <w:rsid w:val="53B74464"/>
    <w:rsid w:val="53B77CE7"/>
    <w:rsid w:val="53B81EE5"/>
    <w:rsid w:val="53B85768"/>
    <w:rsid w:val="53B87967"/>
    <w:rsid w:val="53B931EA"/>
    <w:rsid w:val="53B953E8"/>
    <w:rsid w:val="53BA0BD7"/>
    <w:rsid w:val="53BA0C6B"/>
    <w:rsid w:val="53BB15B1"/>
    <w:rsid w:val="53BB2150"/>
    <w:rsid w:val="53BB4387"/>
    <w:rsid w:val="53BC416F"/>
    <w:rsid w:val="53BC636D"/>
    <w:rsid w:val="53BD1BF0"/>
    <w:rsid w:val="53BD388D"/>
    <w:rsid w:val="53BD3DEE"/>
    <w:rsid w:val="53BE1870"/>
    <w:rsid w:val="53BE40A3"/>
    <w:rsid w:val="53BF50F3"/>
    <w:rsid w:val="53BF72F1"/>
    <w:rsid w:val="53C02B75"/>
    <w:rsid w:val="53C04D73"/>
    <w:rsid w:val="53C127F5"/>
    <w:rsid w:val="53C303BB"/>
    <w:rsid w:val="53C37CE4"/>
    <w:rsid w:val="53C402D2"/>
    <w:rsid w:val="53C46FFC"/>
    <w:rsid w:val="53C50E71"/>
    <w:rsid w:val="53C54A7E"/>
    <w:rsid w:val="53C725AE"/>
    <w:rsid w:val="53C7314D"/>
    <w:rsid w:val="53C77F81"/>
    <w:rsid w:val="53C94501"/>
    <w:rsid w:val="53CB5A7A"/>
    <w:rsid w:val="53CB5C3E"/>
    <w:rsid w:val="53CB6987"/>
    <w:rsid w:val="53CC4409"/>
    <w:rsid w:val="53CC6619"/>
    <w:rsid w:val="53CD1E8A"/>
    <w:rsid w:val="53CE790C"/>
    <w:rsid w:val="53CE7B91"/>
    <w:rsid w:val="53CF538E"/>
    <w:rsid w:val="53D12B98"/>
    <w:rsid w:val="53D26312"/>
    <w:rsid w:val="53D33222"/>
    <w:rsid w:val="53D41815"/>
    <w:rsid w:val="53D43DC1"/>
    <w:rsid w:val="53D65ED8"/>
    <w:rsid w:val="53D7279A"/>
    <w:rsid w:val="53D8021B"/>
    <w:rsid w:val="53D85C9D"/>
    <w:rsid w:val="53D87451"/>
    <w:rsid w:val="53D97FF0"/>
    <w:rsid w:val="53DA11A0"/>
    <w:rsid w:val="53DB4A23"/>
    <w:rsid w:val="53DC24A5"/>
    <w:rsid w:val="53DD2AE1"/>
    <w:rsid w:val="53DE62D7"/>
    <w:rsid w:val="53DE6B63"/>
    <w:rsid w:val="53DF342A"/>
    <w:rsid w:val="53DF5F6C"/>
    <w:rsid w:val="53E00EAB"/>
    <w:rsid w:val="53E143AE"/>
    <w:rsid w:val="53E21E30"/>
    <w:rsid w:val="53E265AD"/>
    <w:rsid w:val="53E33EC5"/>
    <w:rsid w:val="53E3402E"/>
    <w:rsid w:val="53E45333"/>
    <w:rsid w:val="53E478AF"/>
    <w:rsid w:val="53E50E28"/>
    <w:rsid w:val="53E53180"/>
    <w:rsid w:val="53E60836"/>
    <w:rsid w:val="53E72A34"/>
    <w:rsid w:val="53E762B8"/>
    <w:rsid w:val="53E804B6"/>
    <w:rsid w:val="53E93ADE"/>
    <w:rsid w:val="53E95F37"/>
    <w:rsid w:val="53EA39B9"/>
    <w:rsid w:val="53EB143A"/>
    <w:rsid w:val="53EB521C"/>
    <w:rsid w:val="53EC0FD5"/>
    <w:rsid w:val="53EC6EBC"/>
    <w:rsid w:val="53ED493E"/>
    <w:rsid w:val="53EE23BF"/>
    <w:rsid w:val="53EE5C42"/>
    <w:rsid w:val="53EE7631"/>
    <w:rsid w:val="53EE7B52"/>
    <w:rsid w:val="53F01145"/>
    <w:rsid w:val="53F058C2"/>
    <w:rsid w:val="53F16BC7"/>
    <w:rsid w:val="53F21C60"/>
    <w:rsid w:val="53F229C4"/>
    <w:rsid w:val="53F24649"/>
    <w:rsid w:val="53F26847"/>
    <w:rsid w:val="53F320CA"/>
    <w:rsid w:val="53F342C8"/>
    <w:rsid w:val="53F577CC"/>
    <w:rsid w:val="53F6304F"/>
    <w:rsid w:val="53F6524D"/>
    <w:rsid w:val="53F654B5"/>
    <w:rsid w:val="53F70AD0"/>
    <w:rsid w:val="53F80750"/>
    <w:rsid w:val="53F91A55"/>
    <w:rsid w:val="53F975CD"/>
    <w:rsid w:val="53FB16D5"/>
    <w:rsid w:val="53FB3291"/>
    <w:rsid w:val="53FB37B2"/>
    <w:rsid w:val="53FB4F58"/>
    <w:rsid w:val="53FC1FC4"/>
    <w:rsid w:val="53FC232F"/>
    <w:rsid w:val="53FC7156"/>
    <w:rsid w:val="53FD045B"/>
    <w:rsid w:val="53FD1061"/>
    <w:rsid w:val="53FD2283"/>
    <w:rsid w:val="53FE2659"/>
    <w:rsid w:val="53FE2C5D"/>
    <w:rsid w:val="53FE5EDD"/>
    <w:rsid w:val="53FF00DB"/>
    <w:rsid w:val="53FF395E"/>
    <w:rsid w:val="540013E0"/>
    <w:rsid w:val="540041D6"/>
    <w:rsid w:val="5401574F"/>
    <w:rsid w:val="54016E61"/>
    <w:rsid w:val="5401711E"/>
    <w:rsid w:val="54021060"/>
    <w:rsid w:val="540262EE"/>
    <w:rsid w:val="54047DE6"/>
    <w:rsid w:val="54051FE4"/>
    <w:rsid w:val="54063E08"/>
    <w:rsid w:val="5407197E"/>
    <w:rsid w:val="54071B43"/>
    <w:rsid w:val="540754E7"/>
    <w:rsid w:val="54082F69"/>
    <w:rsid w:val="540867EC"/>
    <w:rsid w:val="540909EB"/>
    <w:rsid w:val="5409426E"/>
    <w:rsid w:val="54095C24"/>
    <w:rsid w:val="5409646C"/>
    <w:rsid w:val="540B4280"/>
    <w:rsid w:val="540B47A1"/>
    <w:rsid w:val="540B7771"/>
    <w:rsid w:val="540C73F1"/>
    <w:rsid w:val="540D2C74"/>
    <w:rsid w:val="540D4E72"/>
    <w:rsid w:val="540E06F6"/>
    <w:rsid w:val="540E28F4"/>
    <w:rsid w:val="540F0375"/>
    <w:rsid w:val="540F6177"/>
    <w:rsid w:val="54105DF7"/>
    <w:rsid w:val="54111402"/>
    <w:rsid w:val="5411167A"/>
    <w:rsid w:val="541170FC"/>
    <w:rsid w:val="541212FA"/>
    <w:rsid w:val="54124B7D"/>
    <w:rsid w:val="54136D7C"/>
    <w:rsid w:val="54140080"/>
    <w:rsid w:val="541461DF"/>
    <w:rsid w:val="54155B02"/>
    <w:rsid w:val="54163583"/>
    <w:rsid w:val="541648CE"/>
    <w:rsid w:val="54167D00"/>
    <w:rsid w:val="54171005"/>
    <w:rsid w:val="54175631"/>
    <w:rsid w:val="54175782"/>
    <w:rsid w:val="54183203"/>
    <w:rsid w:val="54186A87"/>
    <w:rsid w:val="54187D2B"/>
    <w:rsid w:val="54190C85"/>
    <w:rsid w:val="541969E6"/>
    <w:rsid w:val="54196BAA"/>
    <w:rsid w:val="541A0123"/>
    <w:rsid w:val="541A5E66"/>
    <w:rsid w:val="541A6706"/>
    <w:rsid w:val="541B4188"/>
    <w:rsid w:val="541B7A0B"/>
    <w:rsid w:val="541C1C0A"/>
    <w:rsid w:val="541C548D"/>
    <w:rsid w:val="541D2F0E"/>
    <w:rsid w:val="541D768B"/>
    <w:rsid w:val="541E2C15"/>
    <w:rsid w:val="541E2DD9"/>
    <w:rsid w:val="541E510D"/>
    <w:rsid w:val="541F6411"/>
    <w:rsid w:val="54203E93"/>
    <w:rsid w:val="54211915"/>
    <w:rsid w:val="54216091"/>
    <w:rsid w:val="54221594"/>
    <w:rsid w:val="54234E18"/>
    <w:rsid w:val="542362A5"/>
    <w:rsid w:val="5423646A"/>
    <w:rsid w:val="54242899"/>
    <w:rsid w:val="54244A97"/>
    <w:rsid w:val="5425031B"/>
    <w:rsid w:val="54252519"/>
    <w:rsid w:val="542603BD"/>
    <w:rsid w:val="54260581"/>
    <w:rsid w:val="5427381E"/>
    <w:rsid w:val="54281936"/>
    <w:rsid w:val="54290122"/>
    <w:rsid w:val="542947A2"/>
    <w:rsid w:val="54296D21"/>
    <w:rsid w:val="542A2224"/>
    <w:rsid w:val="542B7CA6"/>
    <w:rsid w:val="542C409C"/>
    <w:rsid w:val="542C5727"/>
    <w:rsid w:val="542D31A9"/>
    <w:rsid w:val="542E6703"/>
    <w:rsid w:val="542F66AC"/>
    <w:rsid w:val="542F70DE"/>
    <w:rsid w:val="54300ECB"/>
    <w:rsid w:val="5430412D"/>
    <w:rsid w:val="543079D2"/>
    <w:rsid w:val="54311BAF"/>
    <w:rsid w:val="543211F5"/>
    <w:rsid w:val="54327630"/>
    <w:rsid w:val="54331D94"/>
    <w:rsid w:val="54331F58"/>
    <w:rsid w:val="54342932"/>
    <w:rsid w:val="543437E8"/>
    <w:rsid w:val="5435330D"/>
    <w:rsid w:val="54354E9B"/>
    <w:rsid w:val="54363A17"/>
    <w:rsid w:val="54366037"/>
    <w:rsid w:val="5438153A"/>
    <w:rsid w:val="54385FC3"/>
    <w:rsid w:val="543B24BE"/>
    <w:rsid w:val="543C0AB5"/>
    <w:rsid w:val="543C7F40"/>
    <w:rsid w:val="543E21F2"/>
    <w:rsid w:val="543F2D91"/>
    <w:rsid w:val="54406707"/>
    <w:rsid w:val="54406946"/>
    <w:rsid w:val="54411E49"/>
    <w:rsid w:val="54414145"/>
    <w:rsid w:val="54414309"/>
    <w:rsid w:val="544143C8"/>
    <w:rsid w:val="54417C4B"/>
    <w:rsid w:val="544256CC"/>
    <w:rsid w:val="54436421"/>
    <w:rsid w:val="5444625D"/>
    <w:rsid w:val="5445084F"/>
    <w:rsid w:val="54456651"/>
    <w:rsid w:val="544640D3"/>
    <w:rsid w:val="544748A8"/>
    <w:rsid w:val="544818ED"/>
    <w:rsid w:val="544875D6"/>
    <w:rsid w:val="54492AD9"/>
    <w:rsid w:val="54497256"/>
    <w:rsid w:val="544A055A"/>
    <w:rsid w:val="544B2759"/>
    <w:rsid w:val="544B3A05"/>
    <w:rsid w:val="544B3BC9"/>
    <w:rsid w:val="544B7B6F"/>
    <w:rsid w:val="544C3A5E"/>
    <w:rsid w:val="544D14DF"/>
    <w:rsid w:val="544D2C2B"/>
    <w:rsid w:val="544D5C5C"/>
    <w:rsid w:val="544E5B1C"/>
    <w:rsid w:val="54506BE0"/>
    <w:rsid w:val="54510997"/>
    <w:rsid w:val="5451451C"/>
    <w:rsid w:val="545207D2"/>
    <w:rsid w:val="545220E4"/>
    <w:rsid w:val="54525967"/>
    <w:rsid w:val="54530D3D"/>
    <w:rsid w:val="545333E8"/>
    <w:rsid w:val="54537B65"/>
    <w:rsid w:val="54540E6A"/>
    <w:rsid w:val="545455E7"/>
    <w:rsid w:val="54553068"/>
    <w:rsid w:val="545532C4"/>
    <w:rsid w:val="54560AEA"/>
    <w:rsid w:val="54563E63"/>
    <w:rsid w:val="5456436D"/>
    <w:rsid w:val="545870BA"/>
    <w:rsid w:val="54587870"/>
    <w:rsid w:val="545974F0"/>
    <w:rsid w:val="545A2D73"/>
    <w:rsid w:val="545A4F71"/>
    <w:rsid w:val="545A6B19"/>
    <w:rsid w:val="545B0648"/>
    <w:rsid w:val="545B76B8"/>
    <w:rsid w:val="545C6276"/>
    <w:rsid w:val="545D0A6C"/>
    <w:rsid w:val="545D5EF6"/>
    <w:rsid w:val="545E3978"/>
    <w:rsid w:val="54604111"/>
    <w:rsid w:val="54604C7D"/>
    <w:rsid w:val="54606E7B"/>
    <w:rsid w:val="54610180"/>
    <w:rsid w:val="546126FE"/>
    <w:rsid w:val="546136CF"/>
    <w:rsid w:val="546142C1"/>
    <w:rsid w:val="5462237E"/>
    <w:rsid w:val="54624C9B"/>
    <w:rsid w:val="54625C01"/>
    <w:rsid w:val="5463583A"/>
    <w:rsid w:val="54653303"/>
    <w:rsid w:val="54656B86"/>
    <w:rsid w:val="54656DB3"/>
    <w:rsid w:val="54667B16"/>
    <w:rsid w:val="54672089"/>
    <w:rsid w:val="54676806"/>
    <w:rsid w:val="5468108F"/>
    <w:rsid w:val="54684287"/>
    <w:rsid w:val="54691D09"/>
    <w:rsid w:val="546A2443"/>
    <w:rsid w:val="546A778A"/>
    <w:rsid w:val="546B0A8F"/>
    <w:rsid w:val="546B31A6"/>
    <w:rsid w:val="546D3F92"/>
    <w:rsid w:val="546E5C98"/>
    <w:rsid w:val="546E6190"/>
    <w:rsid w:val="546F3C12"/>
    <w:rsid w:val="546F6062"/>
    <w:rsid w:val="54701694"/>
    <w:rsid w:val="54704F17"/>
    <w:rsid w:val="54713E32"/>
    <w:rsid w:val="54714874"/>
    <w:rsid w:val="54717115"/>
    <w:rsid w:val="5472078A"/>
    <w:rsid w:val="5472094E"/>
    <w:rsid w:val="54723AC7"/>
    <w:rsid w:val="54724B97"/>
    <w:rsid w:val="5473009A"/>
    <w:rsid w:val="54741D03"/>
    <w:rsid w:val="5475139F"/>
    <w:rsid w:val="547528A1"/>
    <w:rsid w:val="54766E20"/>
    <w:rsid w:val="547748A2"/>
    <w:rsid w:val="54782323"/>
    <w:rsid w:val="547849B9"/>
    <w:rsid w:val="547A32A8"/>
    <w:rsid w:val="547B0D29"/>
    <w:rsid w:val="547B54A6"/>
    <w:rsid w:val="547C2F28"/>
    <w:rsid w:val="547D09A9"/>
    <w:rsid w:val="547D0BAA"/>
    <w:rsid w:val="547E1CAE"/>
    <w:rsid w:val="547E642B"/>
    <w:rsid w:val="547F2325"/>
    <w:rsid w:val="547F3EAC"/>
    <w:rsid w:val="547F7730"/>
    <w:rsid w:val="548051B1"/>
    <w:rsid w:val="54812C33"/>
    <w:rsid w:val="5481389E"/>
    <w:rsid w:val="54824E31"/>
    <w:rsid w:val="54836136"/>
    <w:rsid w:val="54843BB7"/>
    <w:rsid w:val="54851639"/>
    <w:rsid w:val="54865F37"/>
    <w:rsid w:val="548825BE"/>
    <w:rsid w:val="54886D3A"/>
    <w:rsid w:val="548947BC"/>
    <w:rsid w:val="548A223D"/>
    <w:rsid w:val="548A25BF"/>
    <w:rsid w:val="548A7CBF"/>
    <w:rsid w:val="548B3542"/>
    <w:rsid w:val="548C0FC4"/>
    <w:rsid w:val="548D0C44"/>
    <w:rsid w:val="548D226F"/>
    <w:rsid w:val="548D6A45"/>
    <w:rsid w:val="548D7640"/>
    <w:rsid w:val="548E0A81"/>
    <w:rsid w:val="549079CA"/>
    <w:rsid w:val="5491544C"/>
    <w:rsid w:val="5492094F"/>
    <w:rsid w:val="549363D0"/>
    <w:rsid w:val="549518D3"/>
    <w:rsid w:val="54974DD6"/>
    <w:rsid w:val="54982858"/>
    <w:rsid w:val="549A0AF6"/>
    <w:rsid w:val="549A5D5B"/>
    <w:rsid w:val="549A5EE9"/>
    <w:rsid w:val="549A60AE"/>
    <w:rsid w:val="549B46E1"/>
    <w:rsid w:val="549C125E"/>
    <w:rsid w:val="549C7626"/>
    <w:rsid w:val="54A23691"/>
    <w:rsid w:val="54A30BE9"/>
    <w:rsid w:val="54A34230"/>
    <w:rsid w:val="54A4666B"/>
    <w:rsid w:val="54A5650C"/>
    <w:rsid w:val="54A72E72"/>
    <w:rsid w:val="54A775EF"/>
    <w:rsid w:val="54A778C0"/>
    <w:rsid w:val="54A85071"/>
    <w:rsid w:val="54A92AF2"/>
    <w:rsid w:val="54A96376"/>
    <w:rsid w:val="54AA0574"/>
    <w:rsid w:val="54AA5FF5"/>
    <w:rsid w:val="54AA6EBE"/>
    <w:rsid w:val="54AB1879"/>
    <w:rsid w:val="54AB3A77"/>
    <w:rsid w:val="54AC14F8"/>
    <w:rsid w:val="54AC72FA"/>
    <w:rsid w:val="54AD6F7A"/>
    <w:rsid w:val="54AE27FD"/>
    <w:rsid w:val="54AF027F"/>
    <w:rsid w:val="54AF247D"/>
    <w:rsid w:val="54AF5068"/>
    <w:rsid w:val="54B13782"/>
    <w:rsid w:val="54B15980"/>
    <w:rsid w:val="54B167A5"/>
    <w:rsid w:val="54B25E40"/>
    <w:rsid w:val="54B26C85"/>
    <w:rsid w:val="54B27D1E"/>
    <w:rsid w:val="54B27EE3"/>
    <w:rsid w:val="54B30E83"/>
    <w:rsid w:val="54B4145C"/>
    <w:rsid w:val="54B42188"/>
    <w:rsid w:val="54B46905"/>
    <w:rsid w:val="54B54386"/>
    <w:rsid w:val="54B57C0A"/>
    <w:rsid w:val="54B61E08"/>
    <w:rsid w:val="54B6568B"/>
    <w:rsid w:val="54B7310D"/>
    <w:rsid w:val="54B80B8E"/>
    <w:rsid w:val="54B8169C"/>
    <w:rsid w:val="54B82797"/>
    <w:rsid w:val="54B92D8D"/>
    <w:rsid w:val="54BA0063"/>
    <w:rsid w:val="54BA080E"/>
    <w:rsid w:val="54BA4091"/>
    <w:rsid w:val="54BA7621"/>
    <w:rsid w:val="54BB1B13"/>
    <w:rsid w:val="54BB6290"/>
    <w:rsid w:val="54BC6C04"/>
    <w:rsid w:val="54BD75DE"/>
    <w:rsid w:val="54BE7214"/>
    <w:rsid w:val="54BF0519"/>
    <w:rsid w:val="54BF0B57"/>
    <w:rsid w:val="54C02717"/>
    <w:rsid w:val="54C05F9B"/>
    <w:rsid w:val="54C12C6E"/>
    <w:rsid w:val="54C2149E"/>
    <w:rsid w:val="54C25C1B"/>
    <w:rsid w:val="54C26276"/>
    <w:rsid w:val="54C341E7"/>
    <w:rsid w:val="54C343AC"/>
    <w:rsid w:val="54C449A1"/>
    <w:rsid w:val="54C620A2"/>
    <w:rsid w:val="54C67EA4"/>
    <w:rsid w:val="54C75926"/>
    <w:rsid w:val="54C77062"/>
    <w:rsid w:val="54C87878"/>
    <w:rsid w:val="54C90E29"/>
    <w:rsid w:val="54C91DFE"/>
    <w:rsid w:val="54CA432C"/>
    <w:rsid w:val="54CA68AA"/>
    <w:rsid w:val="54CB1B54"/>
    <w:rsid w:val="54CB1DAD"/>
    <w:rsid w:val="54CB652A"/>
    <w:rsid w:val="54CC3FAC"/>
    <w:rsid w:val="54CD52B0"/>
    <w:rsid w:val="54CE74AF"/>
    <w:rsid w:val="54CF07B4"/>
    <w:rsid w:val="54CF6D6B"/>
    <w:rsid w:val="54D06235"/>
    <w:rsid w:val="54D10433"/>
    <w:rsid w:val="54D21738"/>
    <w:rsid w:val="54D25EB5"/>
    <w:rsid w:val="54D33936"/>
    <w:rsid w:val="54D371BA"/>
    <w:rsid w:val="54D413B8"/>
    <w:rsid w:val="54D44C3B"/>
    <w:rsid w:val="54D56E3A"/>
    <w:rsid w:val="54D6013E"/>
    <w:rsid w:val="54D61FB2"/>
    <w:rsid w:val="54D74791"/>
    <w:rsid w:val="54D74E67"/>
    <w:rsid w:val="54D83641"/>
    <w:rsid w:val="54D910C3"/>
    <w:rsid w:val="54D95840"/>
    <w:rsid w:val="54DA0D43"/>
    <w:rsid w:val="54DB45C6"/>
    <w:rsid w:val="54DC2048"/>
    <w:rsid w:val="54DC4246"/>
    <w:rsid w:val="54DC7107"/>
    <w:rsid w:val="54DD7595"/>
    <w:rsid w:val="54DE0134"/>
    <w:rsid w:val="54DE554B"/>
    <w:rsid w:val="54DF2FCC"/>
    <w:rsid w:val="54DF51CB"/>
    <w:rsid w:val="54E00A4E"/>
    <w:rsid w:val="54E02C4C"/>
    <w:rsid w:val="54E1224C"/>
    <w:rsid w:val="54E164CF"/>
    <w:rsid w:val="54E22DEA"/>
    <w:rsid w:val="54E2614F"/>
    <w:rsid w:val="54E33989"/>
    <w:rsid w:val="54E33BD1"/>
    <w:rsid w:val="54E41652"/>
    <w:rsid w:val="54E57FC4"/>
    <w:rsid w:val="54E64B55"/>
    <w:rsid w:val="54E65AA0"/>
    <w:rsid w:val="54E75E5A"/>
    <w:rsid w:val="54E762B6"/>
    <w:rsid w:val="54E80059"/>
    <w:rsid w:val="54E86E55"/>
    <w:rsid w:val="54E9135D"/>
    <w:rsid w:val="54E979F3"/>
    <w:rsid w:val="54EA03CE"/>
    <w:rsid w:val="54EA6DDF"/>
    <w:rsid w:val="54EB0FDD"/>
    <w:rsid w:val="54EB4860"/>
    <w:rsid w:val="54EC22E2"/>
    <w:rsid w:val="54ED44E0"/>
    <w:rsid w:val="54EE57E5"/>
    <w:rsid w:val="54EF3267"/>
    <w:rsid w:val="54F20968"/>
    <w:rsid w:val="54F22D84"/>
    <w:rsid w:val="54F241EB"/>
    <w:rsid w:val="54F26714"/>
    <w:rsid w:val="54F324F8"/>
    <w:rsid w:val="54F363EA"/>
    <w:rsid w:val="54F62BF2"/>
    <w:rsid w:val="54F72943"/>
    <w:rsid w:val="54F73313"/>
    <w:rsid w:val="54F80955"/>
    <w:rsid w:val="54F860F5"/>
    <w:rsid w:val="54F93B76"/>
    <w:rsid w:val="54FA4A5B"/>
    <w:rsid w:val="54FB4AFB"/>
    <w:rsid w:val="54FB7079"/>
    <w:rsid w:val="54FC257C"/>
    <w:rsid w:val="54FC5FD4"/>
    <w:rsid w:val="54FC6198"/>
    <w:rsid w:val="54FD7FFE"/>
    <w:rsid w:val="54FE5A7F"/>
    <w:rsid w:val="54FE6FDD"/>
    <w:rsid w:val="54FF02B0"/>
    <w:rsid w:val="54FF2A93"/>
    <w:rsid w:val="55011829"/>
    <w:rsid w:val="550240DE"/>
    <w:rsid w:val="55024486"/>
    <w:rsid w:val="55032DA2"/>
    <w:rsid w:val="55032FC6"/>
    <w:rsid w:val="55033331"/>
    <w:rsid w:val="5505540A"/>
    <w:rsid w:val="55062E8C"/>
    <w:rsid w:val="550652BB"/>
    <w:rsid w:val="55076432"/>
    <w:rsid w:val="550979AB"/>
    <w:rsid w:val="550A1892"/>
    <w:rsid w:val="550B5550"/>
    <w:rsid w:val="550C1C87"/>
    <w:rsid w:val="550C4D95"/>
    <w:rsid w:val="550D249D"/>
    <w:rsid w:val="550D609A"/>
    <w:rsid w:val="550E303B"/>
    <w:rsid w:val="550E3B1C"/>
    <w:rsid w:val="550F159D"/>
    <w:rsid w:val="550F5D1A"/>
    <w:rsid w:val="550F7EF4"/>
    <w:rsid w:val="5510379B"/>
    <w:rsid w:val="551045B4"/>
    <w:rsid w:val="5511121D"/>
    <w:rsid w:val="55114AA0"/>
    <w:rsid w:val="55115959"/>
    <w:rsid w:val="5511639A"/>
    <w:rsid w:val="55125282"/>
    <w:rsid w:val="55126C9E"/>
    <w:rsid w:val="551321A2"/>
    <w:rsid w:val="551366CC"/>
    <w:rsid w:val="55145A25"/>
    <w:rsid w:val="55170BA8"/>
    <w:rsid w:val="551769A9"/>
    <w:rsid w:val="55186629"/>
    <w:rsid w:val="5519123C"/>
    <w:rsid w:val="55191EAD"/>
    <w:rsid w:val="551A1B2C"/>
    <w:rsid w:val="551B4A12"/>
    <w:rsid w:val="551B53B0"/>
    <w:rsid w:val="551B75AE"/>
    <w:rsid w:val="551C08B3"/>
    <w:rsid w:val="551C5030"/>
    <w:rsid w:val="551C55B1"/>
    <w:rsid w:val="551E0533"/>
    <w:rsid w:val="551E1403"/>
    <w:rsid w:val="551E1E45"/>
    <w:rsid w:val="551E3DB6"/>
    <w:rsid w:val="551F0B77"/>
    <w:rsid w:val="551F76C9"/>
    <w:rsid w:val="552000A3"/>
    <w:rsid w:val="55203A36"/>
    <w:rsid w:val="552114B7"/>
    <w:rsid w:val="55214D3B"/>
    <w:rsid w:val="552221BA"/>
    <w:rsid w:val="5523023E"/>
    <w:rsid w:val="55245CBF"/>
    <w:rsid w:val="5525126D"/>
    <w:rsid w:val="552611C2"/>
    <w:rsid w:val="552733C1"/>
    <w:rsid w:val="55276C44"/>
    <w:rsid w:val="55280E42"/>
    <w:rsid w:val="55292147"/>
    <w:rsid w:val="552B564A"/>
    <w:rsid w:val="552C10A0"/>
    <w:rsid w:val="552C30CC"/>
    <w:rsid w:val="552C446C"/>
    <w:rsid w:val="552C52CA"/>
    <w:rsid w:val="552D2D4B"/>
    <w:rsid w:val="552D79CE"/>
    <w:rsid w:val="552E2E34"/>
    <w:rsid w:val="552E31B7"/>
    <w:rsid w:val="552E65CF"/>
    <w:rsid w:val="552F4050"/>
    <w:rsid w:val="552F624E"/>
    <w:rsid w:val="55301AD2"/>
    <w:rsid w:val="55303CD0"/>
    <w:rsid w:val="55324FD5"/>
    <w:rsid w:val="553271D3"/>
    <w:rsid w:val="553304D8"/>
    <w:rsid w:val="55334C55"/>
    <w:rsid w:val="553426D6"/>
    <w:rsid w:val="55350158"/>
    <w:rsid w:val="553539DB"/>
    <w:rsid w:val="55365BD9"/>
    <w:rsid w:val="5537365B"/>
    <w:rsid w:val="55376EDE"/>
    <w:rsid w:val="553774BF"/>
    <w:rsid w:val="553810DC"/>
    <w:rsid w:val="55384960"/>
    <w:rsid w:val="553923E1"/>
    <w:rsid w:val="55396B5E"/>
    <w:rsid w:val="553A3615"/>
    <w:rsid w:val="553A45E0"/>
    <w:rsid w:val="553A7E63"/>
    <w:rsid w:val="553B4B8E"/>
    <w:rsid w:val="553B58E4"/>
    <w:rsid w:val="553B6208"/>
    <w:rsid w:val="553C3366"/>
    <w:rsid w:val="553C572D"/>
    <w:rsid w:val="553C7AE3"/>
    <w:rsid w:val="553D0DE7"/>
    <w:rsid w:val="553E2FE6"/>
    <w:rsid w:val="553E6AE1"/>
    <w:rsid w:val="553F0A67"/>
    <w:rsid w:val="553F42EB"/>
    <w:rsid w:val="553F7680"/>
    <w:rsid w:val="55401D6C"/>
    <w:rsid w:val="554064E9"/>
    <w:rsid w:val="55413F6A"/>
    <w:rsid w:val="554177EE"/>
    <w:rsid w:val="5542526F"/>
    <w:rsid w:val="55432CF1"/>
    <w:rsid w:val="55434EEF"/>
    <w:rsid w:val="55442D10"/>
    <w:rsid w:val="55442ED5"/>
    <w:rsid w:val="55464289"/>
    <w:rsid w:val="5546444E"/>
    <w:rsid w:val="55486082"/>
    <w:rsid w:val="55487179"/>
    <w:rsid w:val="55490D50"/>
    <w:rsid w:val="55491426"/>
    <w:rsid w:val="554A067A"/>
    <w:rsid w:val="554B71F7"/>
    <w:rsid w:val="554C1057"/>
    <w:rsid w:val="554C3600"/>
    <w:rsid w:val="554C7D7D"/>
    <w:rsid w:val="554E25D0"/>
    <w:rsid w:val="554E3280"/>
    <w:rsid w:val="554E6B03"/>
    <w:rsid w:val="554F4585"/>
    <w:rsid w:val="55502006"/>
    <w:rsid w:val="55506783"/>
    <w:rsid w:val="555170A7"/>
    <w:rsid w:val="55517A88"/>
    <w:rsid w:val="55521C86"/>
    <w:rsid w:val="5552550A"/>
    <w:rsid w:val="55532F8B"/>
    <w:rsid w:val="55537708"/>
    <w:rsid w:val="555467FF"/>
    <w:rsid w:val="5556068C"/>
    <w:rsid w:val="55563F10"/>
    <w:rsid w:val="5557610E"/>
    <w:rsid w:val="555812F1"/>
    <w:rsid w:val="55583378"/>
    <w:rsid w:val="55583B90"/>
    <w:rsid w:val="55587413"/>
    <w:rsid w:val="55592260"/>
    <w:rsid w:val="55592936"/>
    <w:rsid w:val="55594E94"/>
    <w:rsid w:val="555A7093"/>
    <w:rsid w:val="555B0397"/>
    <w:rsid w:val="555C4981"/>
    <w:rsid w:val="555C5E19"/>
    <w:rsid w:val="555D56E4"/>
    <w:rsid w:val="555E00A0"/>
    <w:rsid w:val="555E131C"/>
    <w:rsid w:val="555E1B24"/>
    <w:rsid w:val="555F6A99"/>
    <w:rsid w:val="556077FC"/>
    <w:rsid w:val="55627D22"/>
    <w:rsid w:val="5563174F"/>
    <w:rsid w:val="556357A4"/>
    <w:rsid w:val="556422EE"/>
    <w:rsid w:val="55653A2B"/>
    <w:rsid w:val="55654D48"/>
    <w:rsid w:val="556641AA"/>
    <w:rsid w:val="55664241"/>
    <w:rsid w:val="55674DDF"/>
    <w:rsid w:val="55674F5D"/>
    <w:rsid w:val="556757E9"/>
    <w:rsid w:val="55683FFB"/>
    <w:rsid w:val="556876AD"/>
    <w:rsid w:val="556935BA"/>
    <w:rsid w:val="556A2BB0"/>
    <w:rsid w:val="556A70BB"/>
    <w:rsid w:val="556B0632"/>
    <w:rsid w:val="556C0634"/>
    <w:rsid w:val="556C60B3"/>
    <w:rsid w:val="556D11D3"/>
    <w:rsid w:val="556D7BFC"/>
    <w:rsid w:val="556E15B6"/>
    <w:rsid w:val="556F2587"/>
    <w:rsid w:val="55703126"/>
    <w:rsid w:val="5572469F"/>
    <w:rsid w:val="557257AC"/>
    <w:rsid w:val="55727FBD"/>
    <w:rsid w:val="557312C2"/>
    <w:rsid w:val="557434C0"/>
    <w:rsid w:val="55750F41"/>
    <w:rsid w:val="557547C5"/>
    <w:rsid w:val="55762246"/>
    <w:rsid w:val="55774444"/>
    <w:rsid w:val="557762B7"/>
    <w:rsid w:val="55777CC8"/>
    <w:rsid w:val="55785749"/>
    <w:rsid w:val="557931CB"/>
    <w:rsid w:val="55797948"/>
    <w:rsid w:val="557A53C9"/>
    <w:rsid w:val="557B3584"/>
    <w:rsid w:val="557B66CE"/>
    <w:rsid w:val="557C414F"/>
    <w:rsid w:val="557C634E"/>
    <w:rsid w:val="557E1851"/>
    <w:rsid w:val="557F50D4"/>
    <w:rsid w:val="557F6076"/>
    <w:rsid w:val="557F72D2"/>
    <w:rsid w:val="55802B56"/>
    <w:rsid w:val="55804D54"/>
    <w:rsid w:val="558077B3"/>
    <w:rsid w:val="558105D7"/>
    <w:rsid w:val="558127D5"/>
    <w:rsid w:val="55820D2C"/>
    <w:rsid w:val="558318CB"/>
    <w:rsid w:val="55835CD9"/>
    <w:rsid w:val="5584155C"/>
    <w:rsid w:val="558420CD"/>
    <w:rsid w:val="55846FDD"/>
    <w:rsid w:val="55850A94"/>
    <w:rsid w:val="558511DC"/>
    <w:rsid w:val="558624E1"/>
    <w:rsid w:val="5586381E"/>
    <w:rsid w:val="558639E2"/>
    <w:rsid w:val="558746DF"/>
    <w:rsid w:val="5587536D"/>
    <w:rsid w:val="55882160"/>
    <w:rsid w:val="55893465"/>
    <w:rsid w:val="55895AFA"/>
    <w:rsid w:val="558A0EE7"/>
    <w:rsid w:val="558B30E5"/>
    <w:rsid w:val="558B6968"/>
    <w:rsid w:val="558C0B67"/>
    <w:rsid w:val="558D1E6B"/>
    <w:rsid w:val="558E1B65"/>
    <w:rsid w:val="558E406A"/>
    <w:rsid w:val="558F1AEB"/>
    <w:rsid w:val="55902DF0"/>
    <w:rsid w:val="5590756D"/>
    <w:rsid w:val="55910872"/>
    <w:rsid w:val="55922A70"/>
    <w:rsid w:val="559262F3"/>
    <w:rsid w:val="559304F1"/>
    <w:rsid w:val="55933792"/>
    <w:rsid w:val="55933D75"/>
    <w:rsid w:val="559424C5"/>
    <w:rsid w:val="5594267A"/>
    <w:rsid w:val="559439F4"/>
    <w:rsid w:val="55951476"/>
    <w:rsid w:val="55966EF8"/>
    <w:rsid w:val="55974979"/>
    <w:rsid w:val="55977EAB"/>
    <w:rsid w:val="55986733"/>
    <w:rsid w:val="55995C7E"/>
    <w:rsid w:val="559B174B"/>
    <w:rsid w:val="559B299D"/>
    <w:rsid w:val="559C3F16"/>
    <w:rsid w:val="559C40DA"/>
    <w:rsid w:val="559C4684"/>
    <w:rsid w:val="559D2106"/>
    <w:rsid w:val="559D6882"/>
    <w:rsid w:val="559E7B87"/>
    <w:rsid w:val="559F1D86"/>
    <w:rsid w:val="559F61F2"/>
    <w:rsid w:val="55A07807"/>
    <w:rsid w:val="55A162DB"/>
    <w:rsid w:val="55A175A6"/>
    <w:rsid w:val="55A1776B"/>
    <w:rsid w:val="55A22D0A"/>
    <w:rsid w:val="55A25F60"/>
    <w:rsid w:val="55A2658D"/>
    <w:rsid w:val="55A3078C"/>
    <w:rsid w:val="55A41882"/>
    <w:rsid w:val="55A41A91"/>
    <w:rsid w:val="55A4620D"/>
    <w:rsid w:val="55A53C8F"/>
    <w:rsid w:val="55A61710"/>
    <w:rsid w:val="55A80497"/>
    <w:rsid w:val="55A92695"/>
    <w:rsid w:val="55A94F13"/>
    <w:rsid w:val="55A95F18"/>
    <w:rsid w:val="55AA0117"/>
    <w:rsid w:val="55AA58ED"/>
    <w:rsid w:val="55AA648C"/>
    <w:rsid w:val="55AA6650"/>
    <w:rsid w:val="55AB5B98"/>
    <w:rsid w:val="55AC109B"/>
    <w:rsid w:val="55AC361A"/>
    <w:rsid w:val="55AC6E9D"/>
    <w:rsid w:val="55AD491E"/>
    <w:rsid w:val="55AD6B1D"/>
    <w:rsid w:val="55AE459E"/>
    <w:rsid w:val="55AF0E23"/>
    <w:rsid w:val="55AF14F9"/>
    <w:rsid w:val="55AF2020"/>
    <w:rsid w:val="55B058A3"/>
    <w:rsid w:val="55B07AA1"/>
    <w:rsid w:val="55B13095"/>
    <w:rsid w:val="55B15523"/>
    <w:rsid w:val="55B172C9"/>
    <w:rsid w:val="55B20DA6"/>
    <w:rsid w:val="55B23DF8"/>
    <w:rsid w:val="55B347D2"/>
    <w:rsid w:val="55B442A9"/>
    <w:rsid w:val="55B53F29"/>
    <w:rsid w:val="55B55F10"/>
    <w:rsid w:val="55B619AB"/>
    <w:rsid w:val="55B6522E"/>
    <w:rsid w:val="55B72CB0"/>
    <w:rsid w:val="55B7742C"/>
    <w:rsid w:val="55B8083D"/>
    <w:rsid w:val="55B84EAE"/>
    <w:rsid w:val="55B915A0"/>
    <w:rsid w:val="55B9292F"/>
    <w:rsid w:val="55B961B3"/>
    <w:rsid w:val="55BA03B1"/>
    <w:rsid w:val="55BA3C34"/>
    <w:rsid w:val="55BB16B6"/>
    <w:rsid w:val="55BB2B19"/>
    <w:rsid w:val="55BB5E32"/>
    <w:rsid w:val="55BC36B8"/>
    <w:rsid w:val="55BC7137"/>
    <w:rsid w:val="55BE263A"/>
    <w:rsid w:val="55BE4C30"/>
    <w:rsid w:val="55BF4839"/>
    <w:rsid w:val="55BF794C"/>
    <w:rsid w:val="55C022BA"/>
    <w:rsid w:val="55C05B3D"/>
    <w:rsid w:val="55C135BF"/>
    <w:rsid w:val="55C21041"/>
    <w:rsid w:val="55C44544"/>
    <w:rsid w:val="55C51FC5"/>
    <w:rsid w:val="55C523D8"/>
    <w:rsid w:val="55C73951"/>
    <w:rsid w:val="55C754C8"/>
    <w:rsid w:val="55C76FE7"/>
    <w:rsid w:val="55C82F4A"/>
    <w:rsid w:val="55C909CB"/>
    <w:rsid w:val="55C94ECA"/>
    <w:rsid w:val="55CA644D"/>
    <w:rsid w:val="55CB3ECF"/>
    <w:rsid w:val="55CB6607"/>
    <w:rsid w:val="55CC73D2"/>
    <w:rsid w:val="55CD4B0F"/>
    <w:rsid w:val="55CD4E53"/>
    <w:rsid w:val="55CE0CF4"/>
    <w:rsid w:val="55CE28D5"/>
    <w:rsid w:val="55CE3D63"/>
    <w:rsid w:val="55D03AAD"/>
    <w:rsid w:val="55D13859"/>
    <w:rsid w:val="55D212DB"/>
    <w:rsid w:val="55D36D5C"/>
    <w:rsid w:val="55D447DE"/>
    <w:rsid w:val="55D45164"/>
    <w:rsid w:val="55D55D03"/>
    <w:rsid w:val="55D944E9"/>
    <w:rsid w:val="55DB4169"/>
    <w:rsid w:val="55DB79EC"/>
    <w:rsid w:val="55DC72ED"/>
    <w:rsid w:val="55DD2EEF"/>
    <w:rsid w:val="55E03E74"/>
    <w:rsid w:val="55E118F5"/>
    <w:rsid w:val="55E16072"/>
    <w:rsid w:val="55E23AF4"/>
    <w:rsid w:val="55E27377"/>
    <w:rsid w:val="55E2789E"/>
    <w:rsid w:val="55E31575"/>
    <w:rsid w:val="55E40E17"/>
    <w:rsid w:val="55E4287A"/>
    <w:rsid w:val="55E46FF7"/>
    <w:rsid w:val="55E65D7D"/>
    <w:rsid w:val="55E67F7B"/>
    <w:rsid w:val="55E72D6A"/>
    <w:rsid w:val="55E90F00"/>
    <w:rsid w:val="55E96D02"/>
    <w:rsid w:val="55EB1088"/>
    <w:rsid w:val="55EB4403"/>
    <w:rsid w:val="55EB5A20"/>
    <w:rsid w:val="55EC1E85"/>
    <w:rsid w:val="55EC5708"/>
    <w:rsid w:val="55ED318A"/>
    <w:rsid w:val="55ED715E"/>
    <w:rsid w:val="55ED7906"/>
    <w:rsid w:val="55EE0C0B"/>
    <w:rsid w:val="55EE5388"/>
    <w:rsid w:val="55EF10B1"/>
    <w:rsid w:val="55EF2E09"/>
    <w:rsid w:val="55F0088B"/>
    <w:rsid w:val="55F01C4F"/>
    <w:rsid w:val="55F0410E"/>
    <w:rsid w:val="55F1262A"/>
    <w:rsid w:val="55F1630D"/>
    <w:rsid w:val="55F31810"/>
    <w:rsid w:val="55F33D67"/>
    <w:rsid w:val="55F42B14"/>
    <w:rsid w:val="55F440EC"/>
    <w:rsid w:val="55F44741"/>
    <w:rsid w:val="55F47291"/>
    <w:rsid w:val="55F50161"/>
    <w:rsid w:val="55F50596"/>
    <w:rsid w:val="55F54D13"/>
    <w:rsid w:val="55F73A99"/>
    <w:rsid w:val="55F76859"/>
    <w:rsid w:val="55F8151B"/>
    <w:rsid w:val="55F84E9E"/>
    <w:rsid w:val="55F85C97"/>
    <w:rsid w:val="55F93719"/>
    <w:rsid w:val="55FA4A1E"/>
    <w:rsid w:val="55FB20AD"/>
    <w:rsid w:val="55FB249F"/>
    <w:rsid w:val="55FB7373"/>
    <w:rsid w:val="55FC4663"/>
    <w:rsid w:val="55FC469E"/>
    <w:rsid w:val="55FD211F"/>
    <w:rsid w:val="55FD3FDF"/>
    <w:rsid w:val="55FD59A2"/>
    <w:rsid w:val="55FD7BA1"/>
    <w:rsid w:val="55FE5622"/>
    <w:rsid w:val="560143A9"/>
    <w:rsid w:val="560165A7"/>
    <w:rsid w:val="56021E2A"/>
    <w:rsid w:val="56026CB7"/>
    <w:rsid w:val="56037691"/>
    <w:rsid w:val="56037855"/>
    <w:rsid w:val="560378AC"/>
    <w:rsid w:val="5604532D"/>
    <w:rsid w:val="5604752C"/>
    <w:rsid w:val="56052DAF"/>
    <w:rsid w:val="56054FAD"/>
    <w:rsid w:val="560704B0"/>
    <w:rsid w:val="56072347"/>
    <w:rsid w:val="56076719"/>
    <w:rsid w:val="560939B3"/>
    <w:rsid w:val="56097237"/>
    <w:rsid w:val="560A1435"/>
    <w:rsid w:val="560B273A"/>
    <w:rsid w:val="560C01BB"/>
    <w:rsid w:val="560C6576"/>
    <w:rsid w:val="560D23B9"/>
    <w:rsid w:val="560D5C3D"/>
    <w:rsid w:val="560E7E3B"/>
    <w:rsid w:val="561064EB"/>
    <w:rsid w:val="56110DC0"/>
    <w:rsid w:val="561225E1"/>
    <w:rsid w:val="56137B46"/>
    <w:rsid w:val="56141D44"/>
    <w:rsid w:val="561455C8"/>
    <w:rsid w:val="56151416"/>
    <w:rsid w:val="56153049"/>
    <w:rsid w:val="56155247"/>
    <w:rsid w:val="561577C6"/>
    <w:rsid w:val="56160ACB"/>
    <w:rsid w:val="5616545C"/>
    <w:rsid w:val="5617074A"/>
    <w:rsid w:val="5617654C"/>
    <w:rsid w:val="561769D4"/>
    <w:rsid w:val="56183FCE"/>
    <w:rsid w:val="56191A4F"/>
    <w:rsid w:val="561A16CF"/>
    <w:rsid w:val="561A74D1"/>
    <w:rsid w:val="561B14C6"/>
    <w:rsid w:val="561B4F52"/>
    <w:rsid w:val="561C29D4"/>
    <w:rsid w:val="561C3B8D"/>
    <w:rsid w:val="561D0456"/>
    <w:rsid w:val="561D2654"/>
    <w:rsid w:val="561D2C04"/>
    <w:rsid w:val="561F13DA"/>
    <w:rsid w:val="561F417C"/>
    <w:rsid w:val="561F5B57"/>
    <w:rsid w:val="56204B57"/>
    <w:rsid w:val="56205CFE"/>
    <w:rsid w:val="56206E5C"/>
    <w:rsid w:val="562148DD"/>
    <w:rsid w:val="56215531"/>
    <w:rsid w:val="562156F5"/>
    <w:rsid w:val="5622235F"/>
    <w:rsid w:val="562260D0"/>
    <w:rsid w:val="56226ADC"/>
    <w:rsid w:val="5623032F"/>
    <w:rsid w:val="56237DE0"/>
    <w:rsid w:val="56243888"/>
    <w:rsid w:val="56250D86"/>
    <w:rsid w:val="56252770"/>
    <w:rsid w:val="56257A60"/>
    <w:rsid w:val="56261760"/>
    <w:rsid w:val="5627287C"/>
    <w:rsid w:val="56284268"/>
    <w:rsid w:val="56291CEA"/>
    <w:rsid w:val="56293878"/>
    <w:rsid w:val="562A45DB"/>
    <w:rsid w:val="562A7AE8"/>
    <w:rsid w:val="562B51ED"/>
    <w:rsid w:val="562D06F0"/>
    <w:rsid w:val="562E6171"/>
    <w:rsid w:val="56300645"/>
    <w:rsid w:val="56311020"/>
    <w:rsid w:val="563111E4"/>
    <w:rsid w:val="563325F9"/>
    <w:rsid w:val="56333137"/>
    <w:rsid w:val="563332FB"/>
    <w:rsid w:val="56355AFC"/>
    <w:rsid w:val="56360FFF"/>
    <w:rsid w:val="5638698C"/>
    <w:rsid w:val="563A1319"/>
    <w:rsid w:val="563B5487"/>
    <w:rsid w:val="563D201C"/>
    <w:rsid w:val="563E2BBB"/>
    <w:rsid w:val="563F7711"/>
    <w:rsid w:val="56405192"/>
    <w:rsid w:val="56412C14"/>
    <w:rsid w:val="56417390"/>
    <w:rsid w:val="56424E12"/>
    <w:rsid w:val="5642624B"/>
    <w:rsid w:val="56426E9F"/>
    <w:rsid w:val="56432893"/>
    <w:rsid w:val="56436117"/>
    <w:rsid w:val="56436C26"/>
    <w:rsid w:val="56443B98"/>
    <w:rsid w:val="56450363"/>
    <w:rsid w:val="56455D97"/>
    <w:rsid w:val="56463818"/>
    <w:rsid w:val="5646709B"/>
    <w:rsid w:val="5647129A"/>
    <w:rsid w:val="564718DC"/>
    <w:rsid w:val="56490020"/>
    <w:rsid w:val="5649479D"/>
    <w:rsid w:val="564A221E"/>
    <w:rsid w:val="564A382F"/>
    <w:rsid w:val="564A5AA2"/>
    <w:rsid w:val="564B4592"/>
    <w:rsid w:val="564C4F6C"/>
    <w:rsid w:val="564C5721"/>
    <w:rsid w:val="564D0C25"/>
    <w:rsid w:val="564D31A3"/>
    <w:rsid w:val="564D6793"/>
    <w:rsid w:val="564D6A26"/>
    <w:rsid w:val="564E64E5"/>
    <w:rsid w:val="564E7084"/>
    <w:rsid w:val="564F1F29"/>
    <w:rsid w:val="564F4128"/>
    <w:rsid w:val="56501BA9"/>
    <w:rsid w:val="56510A85"/>
    <w:rsid w:val="5651115B"/>
    <w:rsid w:val="565114C6"/>
    <w:rsid w:val="5651762B"/>
    <w:rsid w:val="56521B76"/>
    <w:rsid w:val="56522EAE"/>
    <w:rsid w:val="565250AC"/>
    <w:rsid w:val="565276E9"/>
    <w:rsid w:val="56530930"/>
    <w:rsid w:val="56532B2E"/>
    <w:rsid w:val="565405AF"/>
    <w:rsid w:val="565432B3"/>
    <w:rsid w:val="56553E33"/>
    <w:rsid w:val="56556031"/>
    <w:rsid w:val="56571534"/>
    <w:rsid w:val="56582839"/>
    <w:rsid w:val="565902BA"/>
    <w:rsid w:val="56594A37"/>
    <w:rsid w:val="565A5D3C"/>
    <w:rsid w:val="565A731E"/>
    <w:rsid w:val="565B7F3A"/>
    <w:rsid w:val="565D1435"/>
    <w:rsid w:val="565D6CC1"/>
    <w:rsid w:val="565E4C06"/>
    <w:rsid w:val="565F6940"/>
    <w:rsid w:val="56603262"/>
    <w:rsid w:val="566043C2"/>
    <w:rsid w:val="56607C45"/>
    <w:rsid w:val="56611E44"/>
    <w:rsid w:val="56623148"/>
    <w:rsid w:val="56625664"/>
    <w:rsid w:val="566278C5"/>
    <w:rsid w:val="56630BCA"/>
    <w:rsid w:val="56642DC8"/>
    <w:rsid w:val="56646DA2"/>
    <w:rsid w:val="5665084A"/>
    <w:rsid w:val="566540CD"/>
    <w:rsid w:val="566775D0"/>
    <w:rsid w:val="56685052"/>
    <w:rsid w:val="56687250"/>
    <w:rsid w:val="56692432"/>
    <w:rsid w:val="5669600B"/>
    <w:rsid w:val="566A0555"/>
    <w:rsid w:val="566A2753"/>
    <w:rsid w:val="566B01D5"/>
    <w:rsid w:val="566B4385"/>
    <w:rsid w:val="566B5FD6"/>
    <w:rsid w:val="566C3A58"/>
    <w:rsid w:val="566C5C56"/>
    <w:rsid w:val="566E49DC"/>
    <w:rsid w:val="566E6F5B"/>
    <w:rsid w:val="566F245E"/>
    <w:rsid w:val="5670465C"/>
    <w:rsid w:val="5670538B"/>
    <w:rsid w:val="56715961"/>
    <w:rsid w:val="567233E3"/>
    <w:rsid w:val="56723E99"/>
    <w:rsid w:val="56727B5F"/>
    <w:rsid w:val="567426CC"/>
    <w:rsid w:val="56754367"/>
    <w:rsid w:val="56761DE9"/>
    <w:rsid w:val="567649A8"/>
    <w:rsid w:val="56766566"/>
    <w:rsid w:val="56773FE7"/>
    <w:rsid w:val="5677786A"/>
    <w:rsid w:val="567852EC"/>
    <w:rsid w:val="56792D6E"/>
    <w:rsid w:val="567968FB"/>
    <w:rsid w:val="56796ABF"/>
    <w:rsid w:val="567974EA"/>
    <w:rsid w:val="567A07EF"/>
    <w:rsid w:val="567A7499"/>
    <w:rsid w:val="567B1855"/>
    <w:rsid w:val="567B1F2B"/>
    <w:rsid w:val="567B29ED"/>
    <w:rsid w:val="567B6271"/>
    <w:rsid w:val="567C046F"/>
    <w:rsid w:val="567C0A12"/>
    <w:rsid w:val="567C0AA8"/>
    <w:rsid w:val="567C0FC9"/>
    <w:rsid w:val="567E13F4"/>
    <w:rsid w:val="567F4C77"/>
    <w:rsid w:val="567F58CA"/>
    <w:rsid w:val="567F6E75"/>
    <w:rsid w:val="568026F8"/>
    <w:rsid w:val="568036C9"/>
    <w:rsid w:val="568048F7"/>
    <w:rsid w:val="56824C41"/>
    <w:rsid w:val="56825BFB"/>
    <w:rsid w:val="56827DFA"/>
    <w:rsid w:val="568357E0"/>
    <w:rsid w:val="5683587B"/>
    <w:rsid w:val="5684637F"/>
    <w:rsid w:val="568578F8"/>
    <w:rsid w:val="56862083"/>
    <w:rsid w:val="56877B05"/>
    <w:rsid w:val="56885586"/>
    <w:rsid w:val="56897785"/>
    <w:rsid w:val="568A2DC4"/>
    <w:rsid w:val="568A3285"/>
    <w:rsid w:val="568A5206"/>
    <w:rsid w:val="568B3B27"/>
    <w:rsid w:val="568B5430"/>
    <w:rsid w:val="568B650B"/>
    <w:rsid w:val="568C3F8D"/>
    <w:rsid w:val="568E7490"/>
    <w:rsid w:val="568F59BA"/>
    <w:rsid w:val="568F6454"/>
    <w:rsid w:val="568F6618"/>
    <w:rsid w:val="56910414"/>
    <w:rsid w:val="56917B91"/>
    <w:rsid w:val="56925E96"/>
    <w:rsid w:val="56933917"/>
    <w:rsid w:val="56941399"/>
    <w:rsid w:val="56956E1A"/>
    <w:rsid w:val="5696489C"/>
    <w:rsid w:val="56986138"/>
    <w:rsid w:val="569956F7"/>
    <w:rsid w:val="56995821"/>
    <w:rsid w:val="56995ED8"/>
    <w:rsid w:val="569B0D24"/>
    <w:rsid w:val="569C67A5"/>
    <w:rsid w:val="569C7FF0"/>
    <w:rsid w:val="569D4227"/>
    <w:rsid w:val="569E1CA8"/>
    <w:rsid w:val="569F2107"/>
    <w:rsid w:val="569F51AC"/>
    <w:rsid w:val="56A106AF"/>
    <w:rsid w:val="56A30CA4"/>
    <w:rsid w:val="56A31759"/>
    <w:rsid w:val="56A33BB2"/>
    <w:rsid w:val="56A41633"/>
    <w:rsid w:val="56A570B5"/>
    <w:rsid w:val="56A60E36"/>
    <w:rsid w:val="56A75E3B"/>
    <w:rsid w:val="56A80039"/>
    <w:rsid w:val="56A838BD"/>
    <w:rsid w:val="56A86C06"/>
    <w:rsid w:val="56A95ABB"/>
    <w:rsid w:val="56AA353D"/>
    <w:rsid w:val="56AA6DC0"/>
    <w:rsid w:val="56AB4841"/>
    <w:rsid w:val="56AC6A40"/>
    <w:rsid w:val="56AD44C1"/>
    <w:rsid w:val="56AD7D44"/>
    <w:rsid w:val="56AE5057"/>
    <w:rsid w:val="56AE57C6"/>
    <w:rsid w:val="56AF79C4"/>
    <w:rsid w:val="56B04A8B"/>
    <w:rsid w:val="56B05446"/>
    <w:rsid w:val="56B12EC7"/>
    <w:rsid w:val="56B1674B"/>
    <w:rsid w:val="56B17B49"/>
    <w:rsid w:val="56B206E7"/>
    <w:rsid w:val="56B22A9C"/>
    <w:rsid w:val="56B363CB"/>
    <w:rsid w:val="56B37D51"/>
    <w:rsid w:val="56B43E4C"/>
    <w:rsid w:val="56B518CE"/>
    <w:rsid w:val="56B527FF"/>
    <w:rsid w:val="56B54AA4"/>
    <w:rsid w:val="56B55151"/>
    <w:rsid w:val="56B61C6F"/>
    <w:rsid w:val="56B61E25"/>
    <w:rsid w:val="56B62BD2"/>
    <w:rsid w:val="56B6734F"/>
    <w:rsid w:val="56B70654"/>
    <w:rsid w:val="56B71599"/>
    <w:rsid w:val="56B73D78"/>
    <w:rsid w:val="56B802D4"/>
    <w:rsid w:val="56B93B57"/>
    <w:rsid w:val="56BA15D9"/>
    <w:rsid w:val="56BA37D7"/>
    <w:rsid w:val="56BA5E8F"/>
    <w:rsid w:val="56BB1258"/>
    <w:rsid w:val="56BB705A"/>
    <w:rsid w:val="56BC4ADC"/>
    <w:rsid w:val="56BC7408"/>
    <w:rsid w:val="56BD475C"/>
    <w:rsid w:val="56BE5A60"/>
    <w:rsid w:val="56BE7FDF"/>
    <w:rsid w:val="56BF7C5F"/>
    <w:rsid w:val="56C00F63"/>
    <w:rsid w:val="56C13162"/>
    <w:rsid w:val="56C134B9"/>
    <w:rsid w:val="56C169E5"/>
    <w:rsid w:val="56C31EE8"/>
    <w:rsid w:val="56C440E6"/>
    <w:rsid w:val="56C51B68"/>
    <w:rsid w:val="56C53F2C"/>
    <w:rsid w:val="56C5444C"/>
    <w:rsid w:val="56C708EE"/>
    <w:rsid w:val="56C9056E"/>
    <w:rsid w:val="56C90DDF"/>
    <w:rsid w:val="56C93DF1"/>
    <w:rsid w:val="56CA251D"/>
    <w:rsid w:val="56CB72F5"/>
    <w:rsid w:val="56CC14F3"/>
    <w:rsid w:val="56CC3A96"/>
    <w:rsid w:val="56CC4D76"/>
    <w:rsid w:val="56CD10B7"/>
    <w:rsid w:val="56CD27F8"/>
    <w:rsid w:val="56CD6F74"/>
    <w:rsid w:val="56CE3AA9"/>
    <w:rsid w:val="56CE49F6"/>
    <w:rsid w:val="56CF59E9"/>
    <w:rsid w:val="56CF7EF9"/>
    <w:rsid w:val="56D0597B"/>
    <w:rsid w:val="56D0674C"/>
    <w:rsid w:val="56D133FC"/>
    <w:rsid w:val="56D20E7E"/>
    <w:rsid w:val="56D26C7F"/>
    <w:rsid w:val="56D27B8C"/>
    <w:rsid w:val="56D36553"/>
    <w:rsid w:val="56D368FF"/>
    <w:rsid w:val="56D36DDF"/>
    <w:rsid w:val="56D44381"/>
    <w:rsid w:val="56D51C18"/>
    <w:rsid w:val="56D51DDC"/>
    <w:rsid w:val="56D63107"/>
    <w:rsid w:val="56D70B89"/>
    <w:rsid w:val="56D75305"/>
    <w:rsid w:val="56D82D87"/>
    <w:rsid w:val="56D8660A"/>
    <w:rsid w:val="56D90809"/>
    <w:rsid w:val="56D952A8"/>
    <w:rsid w:val="56DA16A7"/>
    <w:rsid w:val="56DA1B0D"/>
    <w:rsid w:val="56DA5E47"/>
    <w:rsid w:val="56DA628A"/>
    <w:rsid w:val="56DB3D0C"/>
    <w:rsid w:val="56DB758F"/>
    <w:rsid w:val="56DC178D"/>
    <w:rsid w:val="56DC5010"/>
    <w:rsid w:val="56DD2A92"/>
    <w:rsid w:val="56DD7F5E"/>
    <w:rsid w:val="56DE0514"/>
    <w:rsid w:val="56DE4C90"/>
    <w:rsid w:val="56DF14D7"/>
    <w:rsid w:val="56DF5F95"/>
    <w:rsid w:val="56E03A17"/>
    <w:rsid w:val="56E0419E"/>
    <w:rsid w:val="56E11407"/>
    <w:rsid w:val="56E15C15"/>
    <w:rsid w:val="56E20D30"/>
    <w:rsid w:val="56E237B3"/>
    <w:rsid w:val="56E27849"/>
    <w:rsid w:val="56E3499B"/>
    <w:rsid w:val="56E37DCE"/>
    <w:rsid w:val="56E4241D"/>
    <w:rsid w:val="56E458CB"/>
    <w:rsid w:val="56E46B9A"/>
    <w:rsid w:val="56E5461B"/>
    <w:rsid w:val="56E55F8D"/>
    <w:rsid w:val="56E62340"/>
    <w:rsid w:val="56E65920"/>
    <w:rsid w:val="56E66E44"/>
    <w:rsid w:val="56E7781E"/>
    <w:rsid w:val="56E77B1E"/>
    <w:rsid w:val="56E803BD"/>
    <w:rsid w:val="56E878F7"/>
    <w:rsid w:val="56E90D97"/>
    <w:rsid w:val="56E968A5"/>
    <w:rsid w:val="56EA6524"/>
    <w:rsid w:val="56EB3FA6"/>
    <w:rsid w:val="56EC7829"/>
    <w:rsid w:val="56ED13B1"/>
    <w:rsid w:val="56EE4427"/>
    <w:rsid w:val="56F0042E"/>
    <w:rsid w:val="56F05B65"/>
    <w:rsid w:val="56F12ACC"/>
    <w:rsid w:val="56F16703"/>
    <w:rsid w:val="56F34C36"/>
    <w:rsid w:val="56F37AB8"/>
    <w:rsid w:val="56F62932"/>
    <w:rsid w:val="56F65BBA"/>
    <w:rsid w:val="56F7363C"/>
    <w:rsid w:val="56F810BD"/>
    <w:rsid w:val="56FB2042"/>
    <w:rsid w:val="56FB5DFE"/>
    <w:rsid w:val="56FC6617"/>
    <w:rsid w:val="56FD5545"/>
    <w:rsid w:val="56FD6E02"/>
    <w:rsid w:val="56FE35BF"/>
    <w:rsid w:val="56FE7F16"/>
    <w:rsid w:val="56FF57CA"/>
    <w:rsid w:val="570021F2"/>
    <w:rsid w:val="57013F4B"/>
    <w:rsid w:val="570219CD"/>
    <w:rsid w:val="57034145"/>
    <w:rsid w:val="57034309"/>
    <w:rsid w:val="57044ED0"/>
    <w:rsid w:val="570556BE"/>
    <w:rsid w:val="570603D3"/>
    <w:rsid w:val="57075E55"/>
    <w:rsid w:val="57081358"/>
    <w:rsid w:val="570A0D4E"/>
    <w:rsid w:val="570A0F13"/>
    <w:rsid w:val="570C1274"/>
    <w:rsid w:val="570C248C"/>
    <w:rsid w:val="570D302A"/>
    <w:rsid w:val="570D35E1"/>
    <w:rsid w:val="570D57DF"/>
    <w:rsid w:val="570E1063"/>
    <w:rsid w:val="570F0CE3"/>
    <w:rsid w:val="57101FE7"/>
    <w:rsid w:val="571141E6"/>
    <w:rsid w:val="571164F6"/>
    <w:rsid w:val="57117A69"/>
    <w:rsid w:val="57121C67"/>
    <w:rsid w:val="571254EA"/>
    <w:rsid w:val="57132F6C"/>
    <w:rsid w:val="571376E9"/>
    <w:rsid w:val="57137F1B"/>
    <w:rsid w:val="571409EE"/>
    <w:rsid w:val="5714516A"/>
    <w:rsid w:val="57163EF1"/>
    <w:rsid w:val="57171972"/>
    <w:rsid w:val="571760EF"/>
    <w:rsid w:val="57183B71"/>
    <w:rsid w:val="571873F4"/>
    <w:rsid w:val="571915F2"/>
    <w:rsid w:val="57193C9E"/>
    <w:rsid w:val="571A389C"/>
    <w:rsid w:val="571C2577"/>
    <w:rsid w:val="571C25CE"/>
    <w:rsid w:val="571C2784"/>
    <w:rsid w:val="571C5DFA"/>
    <w:rsid w:val="571D7FF8"/>
    <w:rsid w:val="571E12FD"/>
    <w:rsid w:val="571F6D7F"/>
    <w:rsid w:val="57204800"/>
    <w:rsid w:val="57211AA7"/>
    <w:rsid w:val="572121A9"/>
    <w:rsid w:val="57212282"/>
    <w:rsid w:val="57214480"/>
    <w:rsid w:val="57221F02"/>
    <w:rsid w:val="57235785"/>
    <w:rsid w:val="57237983"/>
    <w:rsid w:val="572529A2"/>
    <w:rsid w:val="57252E86"/>
    <w:rsid w:val="57266709"/>
    <w:rsid w:val="57271C0D"/>
    <w:rsid w:val="5727418B"/>
    <w:rsid w:val="57276214"/>
    <w:rsid w:val="57283E0B"/>
    <w:rsid w:val="57286DB3"/>
    <w:rsid w:val="57295110"/>
    <w:rsid w:val="572A0ECA"/>
    <w:rsid w:val="572A2B91"/>
    <w:rsid w:val="572B3928"/>
    <w:rsid w:val="572B4D8F"/>
    <w:rsid w:val="572C2811"/>
    <w:rsid w:val="572C6094"/>
    <w:rsid w:val="572E1597"/>
    <w:rsid w:val="572E3B80"/>
    <w:rsid w:val="572F3796"/>
    <w:rsid w:val="572F7019"/>
    <w:rsid w:val="5731251C"/>
    <w:rsid w:val="57316C99"/>
    <w:rsid w:val="57337211"/>
    <w:rsid w:val="573434A1"/>
    <w:rsid w:val="57347C1D"/>
    <w:rsid w:val="573669A4"/>
    <w:rsid w:val="57370BA2"/>
    <w:rsid w:val="57374425"/>
    <w:rsid w:val="573828A1"/>
    <w:rsid w:val="57391B27"/>
    <w:rsid w:val="57396626"/>
    <w:rsid w:val="57397928"/>
    <w:rsid w:val="573A49B9"/>
    <w:rsid w:val="573A4E20"/>
    <w:rsid w:val="573A53AA"/>
    <w:rsid w:val="573B5393"/>
    <w:rsid w:val="573C40E7"/>
    <w:rsid w:val="573D632F"/>
    <w:rsid w:val="573D6AD0"/>
    <w:rsid w:val="573E06D1"/>
    <w:rsid w:val="573E3DB0"/>
    <w:rsid w:val="573E5FAE"/>
    <w:rsid w:val="573F1832"/>
    <w:rsid w:val="573F3A30"/>
    <w:rsid w:val="573F72B3"/>
    <w:rsid w:val="57400A23"/>
    <w:rsid w:val="57404D35"/>
    <w:rsid w:val="574127B6"/>
    <w:rsid w:val="57416F33"/>
    <w:rsid w:val="57432436"/>
    <w:rsid w:val="57435CBA"/>
    <w:rsid w:val="574436DA"/>
    <w:rsid w:val="5744373B"/>
    <w:rsid w:val="574511BD"/>
    <w:rsid w:val="57455939"/>
    <w:rsid w:val="574633BB"/>
    <w:rsid w:val="57470E3C"/>
    <w:rsid w:val="574803C1"/>
    <w:rsid w:val="574808E2"/>
    <w:rsid w:val="574868BE"/>
    <w:rsid w:val="57486F2E"/>
    <w:rsid w:val="57497744"/>
    <w:rsid w:val="574A5644"/>
    <w:rsid w:val="574C0B47"/>
    <w:rsid w:val="574C1A20"/>
    <w:rsid w:val="574D2D46"/>
    <w:rsid w:val="574E404B"/>
    <w:rsid w:val="574F6249"/>
    <w:rsid w:val="57503CCA"/>
    <w:rsid w:val="5750754E"/>
    <w:rsid w:val="575171CD"/>
    <w:rsid w:val="57522A51"/>
    <w:rsid w:val="575267EE"/>
    <w:rsid w:val="575326D1"/>
    <w:rsid w:val="57536629"/>
    <w:rsid w:val="57540152"/>
    <w:rsid w:val="575539D5"/>
    <w:rsid w:val="57554542"/>
    <w:rsid w:val="57554DCE"/>
    <w:rsid w:val="575612E0"/>
    <w:rsid w:val="57561457"/>
    <w:rsid w:val="57563655"/>
    <w:rsid w:val="57576ED8"/>
    <w:rsid w:val="575823DC"/>
    <w:rsid w:val="57586B58"/>
    <w:rsid w:val="57593233"/>
    <w:rsid w:val="57597E5D"/>
    <w:rsid w:val="575A3F96"/>
    <w:rsid w:val="575B3360"/>
    <w:rsid w:val="575C0DE2"/>
    <w:rsid w:val="575D5EE9"/>
    <w:rsid w:val="575D6863"/>
    <w:rsid w:val="575E68C3"/>
    <w:rsid w:val="575F1D66"/>
    <w:rsid w:val="575F7B33"/>
    <w:rsid w:val="576077E8"/>
    <w:rsid w:val="5761173E"/>
    <w:rsid w:val="5761526A"/>
    <w:rsid w:val="57621579"/>
    <w:rsid w:val="57622CEB"/>
    <w:rsid w:val="57631674"/>
    <w:rsid w:val="57632AF2"/>
    <w:rsid w:val="57636ED5"/>
    <w:rsid w:val="576461EE"/>
    <w:rsid w:val="57646494"/>
    <w:rsid w:val="57653C70"/>
    <w:rsid w:val="57664C0A"/>
    <w:rsid w:val="576757A8"/>
    <w:rsid w:val="57677173"/>
    <w:rsid w:val="57684BF4"/>
    <w:rsid w:val="57692676"/>
    <w:rsid w:val="57696EE6"/>
    <w:rsid w:val="576C35FB"/>
    <w:rsid w:val="576D19D8"/>
    <w:rsid w:val="576E2576"/>
    <w:rsid w:val="576E6AFE"/>
    <w:rsid w:val="576F457F"/>
    <w:rsid w:val="57707A82"/>
    <w:rsid w:val="57720D87"/>
    <w:rsid w:val="57721191"/>
    <w:rsid w:val="577214FD"/>
    <w:rsid w:val="57722F85"/>
    <w:rsid w:val="57736809"/>
    <w:rsid w:val="57746489"/>
    <w:rsid w:val="57753F0A"/>
    <w:rsid w:val="577606F8"/>
    <w:rsid w:val="577608BD"/>
    <w:rsid w:val="5776198C"/>
    <w:rsid w:val="57771297"/>
    <w:rsid w:val="5777520F"/>
    <w:rsid w:val="5777740D"/>
    <w:rsid w:val="57780712"/>
    <w:rsid w:val="57782C90"/>
    <w:rsid w:val="57792910"/>
    <w:rsid w:val="57796194"/>
    <w:rsid w:val="577A33AF"/>
    <w:rsid w:val="577A3C15"/>
    <w:rsid w:val="577B1697"/>
    <w:rsid w:val="577B3D89"/>
    <w:rsid w:val="577B5E13"/>
    <w:rsid w:val="577C035B"/>
    <w:rsid w:val="577C4928"/>
    <w:rsid w:val="577D4B9A"/>
    <w:rsid w:val="577D5302"/>
    <w:rsid w:val="577E6A3F"/>
    <w:rsid w:val="577F23BE"/>
    <w:rsid w:val="577F481A"/>
    <w:rsid w:val="57807FB8"/>
    <w:rsid w:val="57810B57"/>
    <w:rsid w:val="578176F0"/>
    <w:rsid w:val="57821021"/>
    <w:rsid w:val="5782579E"/>
    <w:rsid w:val="57833220"/>
    <w:rsid w:val="57840CA1"/>
    <w:rsid w:val="578641A4"/>
    <w:rsid w:val="57867A28"/>
    <w:rsid w:val="57871C26"/>
    <w:rsid w:val="57874D86"/>
    <w:rsid w:val="57885129"/>
    <w:rsid w:val="57885924"/>
    <w:rsid w:val="578876A8"/>
    <w:rsid w:val="578909AC"/>
    <w:rsid w:val="578962FF"/>
    <w:rsid w:val="578A062C"/>
    <w:rsid w:val="578A642E"/>
    <w:rsid w:val="578A6E9D"/>
    <w:rsid w:val="578B3EAF"/>
    <w:rsid w:val="578B469D"/>
    <w:rsid w:val="578B60AE"/>
    <w:rsid w:val="578B7877"/>
    <w:rsid w:val="578C0FB5"/>
    <w:rsid w:val="578C3B2F"/>
    <w:rsid w:val="578D73B3"/>
    <w:rsid w:val="578E7032"/>
    <w:rsid w:val="578F2F08"/>
    <w:rsid w:val="578F4AB4"/>
    <w:rsid w:val="578F5F96"/>
    <w:rsid w:val="57902535"/>
    <w:rsid w:val="57903AA7"/>
    <w:rsid w:val="57905DB9"/>
    <w:rsid w:val="5791383A"/>
    <w:rsid w:val="57917FB7"/>
    <w:rsid w:val="579212BC"/>
    <w:rsid w:val="57925A39"/>
    <w:rsid w:val="579569BD"/>
    <w:rsid w:val="57967CD6"/>
    <w:rsid w:val="57975744"/>
    <w:rsid w:val="579831C5"/>
    <w:rsid w:val="57987942"/>
    <w:rsid w:val="57990C47"/>
    <w:rsid w:val="57991C29"/>
    <w:rsid w:val="579953C3"/>
    <w:rsid w:val="579A2E45"/>
    <w:rsid w:val="579A66C8"/>
    <w:rsid w:val="579B3D40"/>
    <w:rsid w:val="579B414A"/>
    <w:rsid w:val="579C1BCB"/>
    <w:rsid w:val="579C6348"/>
    <w:rsid w:val="579D3DCA"/>
    <w:rsid w:val="579D764D"/>
    <w:rsid w:val="579E184B"/>
    <w:rsid w:val="579E765B"/>
    <w:rsid w:val="579F2B50"/>
    <w:rsid w:val="579F6C1A"/>
    <w:rsid w:val="579F72CD"/>
    <w:rsid w:val="57A005D2"/>
    <w:rsid w:val="57A0742D"/>
    <w:rsid w:val="57A10251"/>
    <w:rsid w:val="57A16053"/>
    <w:rsid w:val="57A17F6F"/>
    <w:rsid w:val="57A20B0E"/>
    <w:rsid w:val="57A23AD5"/>
    <w:rsid w:val="57A25CD3"/>
    <w:rsid w:val="57A31556"/>
    <w:rsid w:val="57A316AD"/>
    <w:rsid w:val="57A411D6"/>
    <w:rsid w:val="57A567BF"/>
    <w:rsid w:val="57A56C58"/>
    <w:rsid w:val="57A624DB"/>
    <w:rsid w:val="57A6419E"/>
    <w:rsid w:val="57A64363"/>
    <w:rsid w:val="57A7215B"/>
    <w:rsid w:val="57A77F5C"/>
    <w:rsid w:val="57A8345F"/>
    <w:rsid w:val="57A859DE"/>
    <w:rsid w:val="57A9565E"/>
    <w:rsid w:val="57AA30DF"/>
    <w:rsid w:val="57AA6963"/>
    <w:rsid w:val="57AB43E4"/>
    <w:rsid w:val="57AB782F"/>
    <w:rsid w:val="57AC1E66"/>
    <w:rsid w:val="57AC65E2"/>
    <w:rsid w:val="57AD15AC"/>
    <w:rsid w:val="57AD78E7"/>
    <w:rsid w:val="57AE1241"/>
    <w:rsid w:val="57AE1946"/>
    <w:rsid w:val="57AE1AE6"/>
    <w:rsid w:val="57AE5369"/>
    <w:rsid w:val="57AF0129"/>
    <w:rsid w:val="57AF2DEA"/>
    <w:rsid w:val="57B0086C"/>
    <w:rsid w:val="57B03084"/>
    <w:rsid w:val="57B12A6A"/>
    <w:rsid w:val="57B13C22"/>
    <w:rsid w:val="57B162ED"/>
    <w:rsid w:val="57B204EC"/>
    <w:rsid w:val="57B23D6F"/>
    <w:rsid w:val="57B317F1"/>
    <w:rsid w:val="57B439EF"/>
    <w:rsid w:val="57B51470"/>
    <w:rsid w:val="57B54CF4"/>
    <w:rsid w:val="57B62775"/>
    <w:rsid w:val="57B66EF2"/>
    <w:rsid w:val="57B701F7"/>
    <w:rsid w:val="57B72A76"/>
    <w:rsid w:val="57B74973"/>
    <w:rsid w:val="57B823F5"/>
    <w:rsid w:val="57B936FA"/>
    <w:rsid w:val="57BA337A"/>
    <w:rsid w:val="57BB4980"/>
    <w:rsid w:val="57BB4B36"/>
    <w:rsid w:val="57BB4CEC"/>
    <w:rsid w:val="57BB5619"/>
    <w:rsid w:val="57BC34FD"/>
    <w:rsid w:val="57BC467E"/>
    <w:rsid w:val="57BC687D"/>
    <w:rsid w:val="57BD2100"/>
    <w:rsid w:val="57BD42FE"/>
    <w:rsid w:val="57BE7B82"/>
    <w:rsid w:val="57BF34B4"/>
    <w:rsid w:val="57BF5603"/>
    <w:rsid w:val="57C1754D"/>
    <w:rsid w:val="57C24009"/>
    <w:rsid w:val="57C31664"/>
    <w:rsid w:val="57C31A8B"/>
    <w:rsid w:val="57C3426C"/>
    <w:rsid w:val="57C42203"/>
    <w:rsid w:val="57C4750C"/>
    <w:rsid w:val="57C54F8E"/>
    <w:rsid w:val="57C62A10"/>
    <w:rsid w:val="57C70491"/>
    <w:rsid w:val="57C84EB9"/>
    <w:rsid w:val="57C85F13"/>
    <w:rsid w:val="57C93994"/>
    <w:rsid w:val="57C9767E"/>
    <w:rsid w:val="57CB6E97"/>
    <w:rsid w:val="57CC4919"/>
    <w:rsid w:val="57CD0385"/>
    <w:rsid w:val="57CD239A"/>
    <w:rsid w:val="57CE1F93"/>
    <w:rsid w:val="57CF1AC2"/>
    <w:rsid w:val="57D0331F"/>
    <w:rsid w:val="57D10DA1"/>
    <w:rsid w:val="57D245B4"/>
    <w:rsid w:val="57D26822"/>
    <w:rsid w:val="57D35153"/>
    <w:rsid w:val="57D45CF1"/>
    <w:rsid w:val="57D670A6"/>
    <w:rsid w:val="57D72CAA"/>
    <w:rsid w:val="57D8072B"/>
    <w:rsid w:val="57D807E3"/>
    <w:rsid w:val="57D815CF"/>
    <w:rsid w:val="57D83FAF"/>
    <w:rsid w:val="57D904B8"/>
    <w:rsid w:val="57D909D8"/>
    <w:rsid w:val="57D911BD"/>
    <w:rsid w:val="57D961AD"/>
    <w:rsid w:val="57DA16B0"/>
    <w:rsid w:val="57DA1D5C"/>
    <w:rsid w:val="57DA74B2"/>
    <w:rsid w:val="57DB28FB"/>
    <w:rsid w:val="57DB4F33"/>
    <w:rsid w:val="57DB5A29"/>
    <w:rsid w:val="57DC3861"/>
    <w:rsid w:val="57DC4BB3"/>
    <w:rsid w:val="57DD0436"/>
    <w:rsid w:val="57DD2635"/>
    <w:rsid w:val="57DD4A12"/>
    <w:rsid w:val="57DF5B38"/>
    <w:rsid w:val="57E035B9"/>
    <w:rsid w:val="57E06965"/>
    <w:rsid w:val="57E07844"/>
    <w:rsid w:val="57E16E3D"/>
    <w:rsid w:val="57E17504"/>
    <w:rsid w:val="57E26ABC"/>
    <w:rsid w:val="57E30C41"/>
    <w:rsid w:val="57E4161C"/>
    <w:rsid w:val="57E41FC0"/>
    <w:rsid w:val="57E60D46"/>
    <w:rsid w:val="57E654C3"/>
    <w:rsid w:val="57E738F8"/>
    <w:rsid w:val="57E767C7"/>
    <w:rsid w:val="57E809C6"/>
    <w:rsid w:val="57E8410D"/>
    <w:rsid w:val="57E84249"/>
    <w:rsid w:val="57E95805"/>
    <w:rsid w:val="57EB194A"/>
    <w:rsid w:val="57EB6DC4"/>
    <w:rsid w:val="57EC73CC"/>
    <w:rsid w:val="57EC7962"/>
    <w:rsid w:val="57ED4E4E"/>
    <w:rsid w:val="57EE28CF"/>
    <w:rsid w:val="57EE6152"/>
    <w:rsid w:val="57EF0351"/>
    <w:rsid w:val="57EF3BD4"/>
    <w:rsid w:val="57F01655"/>
    <w:rsid w:val="57F02454"/>
    <w:rsid w:val="57F05DD2"/>
    <w:rsid w:val="57F112D5"/>
    <w:rsid w:val="57F26D57"/>
    <w:rsid w:val="57F34730"/>
    <w:rsid w:val="57F347D8"/>
    <w:rsid w:val="57F4005C"/>
    <w:rsid w:val="57F535F0"/>
    <w:rsid w:val="57F55ADD"/>
    <w:rsid w:val="57F5658A"/>
    <w:rsid w:val="57F57CDB"/>
    <w:rsid w:val="57F6575D"/>
    <w:rsid w:val="57F657DD"/>
    <w:rsid w:val="57F66683"/>
    <w:rsid w:val="57F70FE0"/>
    <w:rsid w:val="57F741A4"/>
    <w:rsid w:val="57F77222"/>
    <w:rsid w:val="57F8095F"/>
    <w:rsid w:val="57F87BFC"/>
    <w:rsid w:val="57F966E2"/>
    <w:rsid w:val="57FA1ED8"/>
    <w:rsid w:val="57FB1BE5"/>
    <w:rsid w:val="57FB5468"/>
    <w:rsid w:val="57FC2EEA"/>
    <w:rsid w:val="57FD50E8"/>
    <w:rsid w:val="57FE2B69"/>
    <w:rsid w:val="57FE63ED"/>
    <w:rsid w:val="57FF3E6E"/>
    <w:rsid w:val="57FF5568"/>
    <w:rsid w:val="580018F0"/>
    <w:rsid w:val="58005F43"/>
    <w:rsid w:val="58016AE1"/>
    <w:rsid w:val="58017371"/>
    <w:rsid w:val="58024DF3"/>
    <w:rsid w:val="58032874"/>
    <w:rsid w:val="58036FF1"/>
    <w:rsid w:val="58040170"/>
    <w:rsid w:val="58040BF9"/>
    <w:rsid w:val="58044A73"/>
    <w:rsid w:val="58053F6E"/>
    <w:rsid w:val="58055D78"/>
    <w:rsid w:val="580637F9"/>
    <w:rsid w:val="580660F5"/>
    <w:rsid w:val="58067F76"/>
    <w:rsid w:val="580759F7"/>
    <w:rsid w:val="58085E8A"/>
    <w:rsid w:val="58086CFC"/>
    <w:rsid w:val="58090EFA"/>
    <w:rsid w:val="5809477E"/>
    <w:rsid w:val="5809697C"/>
    <w:rsid w:val="580A43FE"/>
    <w:rsid w:val="580A59C7"/>
    <w:rsid w:val="580B1E7F"/>
    <w:rsid w:val="580C5702"/>
    <w:rsid w:val="580D3184"/>
    <w:rsid w:val="580D5382"/>
    <w:rsid w:val="580E2E04"/>
    <w:rsid w:val="580F6687"/>
    <w:rsid w:val="58104109"/>
    <w:rsid w:val="58106307"/>
    <w:rsid w:val="5811240B"/>
    <w:rsid w:val="58113D88"/>
    <w:rsid w:val="5811760C"/>
    <w:rsid w:val="5812180A"/>
    <w:rsid w:val="58132B0F"/>
    <w:rsid w:val="58133B49"/>
    <w:rsid w:val="581346E7"/>
    <w:rsid w:val="58134E48"/>
    <w:rsid w:val="5813728B"/>
    <w:rsid w:val="58140590"/>
    <w:rsid w:val="5814115E"/>
    <w:rsid w:val="58144D0D"/>
    <w:rsid w:val="5815278F"/>
    <w:rsid w:val="58163A93"/>
    <w:rsid w:val="581667FF"/>
    <w:rsid w:val="58170670"/>
    <w:rsid w:val="58171515"/>
    <w:rsid w:val="5817252A"/>
    <w:rsid w:val="581771D9"/>
    <w:rsid w:val="58194A18"/>
    <w:rsid w:val="581A6C16"/>
    <w:rsid w:val="581C2119"/>
    <w:rsid w:val="581C599D"/>
    <w:rsid w:val="581D3408"/>
    <w:rsid w:val="581E0EA0"/>
    <w:rsid w:val="581E3FA7"/>
    <w:rsid w:val="581F309E"/>
    <w:rsid w:val="581F4981"/>
    <w:rsid w:val="58200B20"/>
    <w:rsid w:val="582043A3"/>
    <w:rsid w:val="58205495"/>
    <w:rsid w:val="58205520"/>
    <w:rsid w:val="58214023"/>
    <w:rsid w:val="58214F74"/>
    <w:rsid w:val="58215EFA"/>
    <w:rsid w:val="58216C5D"/>
    <w:rsid w:val="58226A99"/>
    <w:rsid w:val="58230012"/>
    <w:rsid w:val="58235328"/>
    <w:rsid w:val="58237526"/>
    <w:rsid w:val="58242DA9"/>
    <w:rsid w:val="58244FA7"/>
    <w:rsid w:val="5825082B"/>
    <w:rsid w:val="5825174F"/>
    <w:rsid w:val="582662AC"/>
    <w:rsid w:val="58273D2E"/>
    <w:rsid w:val="582817AF"/>
    <w:rsid w:val="58294CB2"/>
    <w:rsid w:val="582A2734"/>
    <w:rsid w:val="582A4DDF"/>
    <w:rsid w:val="582C415B"/>
    <w:rsid w:val="582C5C37"/>
    <w:rsid w:val="582C651D"/>
    <w:rsid w:val="582D36B9"/>
    <w:rsid w:val="582E113A"/>
    <w:rsid w:val="582F0470"/>
    <w:rsid w:val="58312587"/>
    <w:rsid w:val="58323126"/>
    <w:rsid w:val="58327B40"/>
    <w:rsid w:val="583355C2"/>
    <w:rsid w:val="58343043"/>
    <w:rsid w:val="5834469F"/>
    <w:rsid w:val="58373FC8"/>
    <w:rsid w:val="583A4F4D"/>
    <w:rsid w:val="583E3953"/>
    <w:rsid w:val="583E71D6"/>
    <w:rsid w:val="583F13D4"/>
    <w:rsid w:val="583F4C58"/>
    <w:rsid w:val="583F7EB4"/>
    <w:rsid w:val="58407472"/>
    <w:rsid w:val="584077DE"/>
    <w:rsid w:val="58407993"/>
    <w:rsid w:val="5841015B"/>
    <w:rsid w:val="58416076"/>
    <w:rsid w:val="58425BDC"/>
    <w:rsid w:val="58427DDB"/>
    <w:rsid w:val="5843585C"/>
    <w:rsid w:val="5844018D"/>
    <w:rsid w:val="584410E0"/>
    <w:rsid w:val="58456B61"/>
    <w:rsid w:val="584645E3"/>
    <w:rsid w:val="584667E1"/>
    <w:rsid w:val="58472064"/>
    <w:rsid w:val="58477D83"/>
    <w:rsid w:val="58481CE4"/>
    <w:rsid w:val="58487AE6"/>
    <w:rsid w:val="58495567"/>
    <w:rsid w:val="584A2FE9"/>
    <w:rsid w:val="584A50FF"/>
    <w:rsid w:val="584B2C69"/>
    <w:rsid w:val="584B4D97"/>
    <w:rsid w:val="584C06EA"/>
    <w:rsid w:val="584C3F6D"/>
    <w:rsid w:val="584D19EF"/>
    <w:rsid w:val="584E7471"/>
    <w:rsid w:val="584E7A4D"/>
    <w:rsid w:val="584F4EF2"/>
    <w:rsid w:val="58500FC6"/>
    <w:rsid w:val="585103F5"/>
    <w:rsid w:val="585119A0"/>
    <w:rsid w:val="58514B72"/>
    <w:rsid w:val="5852253F"/>
    <w:rsid w:val="585225F3"/>
    <w:rsid w:val="58525E77"/>
    <w:rsid w:val="58530075"/>
    <w:rsid w:val="585338F8"/>
    <w:rsid w:val="5854137A"/>
    <w:rsid w:val="58553578"/>
    <w:rsid w:val="58560FFA"/>
    <w:rsid w:val="585844FD"/>
    <w:rsid w:val="58587D80"/>
    <w:rsid w:val="58595802"/>
    <w:rsid w:val="58597148"/>
    <w:rsid w:val="585A3283"/>
    <w:rsid w:val="585B1260"/>
    <w:rsid w:val="585C0985"/>
    <w:rsid w:val="585D4208"/>
    <w:rsid w:val="585E353C"/>
    <w:rsid w:val="585E3E88"/>
    <w:rsid w:val="585F1909"/>
    <w:rsid w:val="585F770B"/>
    <w:rsid w:val="586048F0"/>
    <w:rsid w:val="5860518C"/>
    <w:rsid w:val="5860738B"/>
    <w:rsid w:val="58614E0C"/>
    <w:rsid w:val="58626111"/>
    <w:rsid w:val="58633B93"/>
    <w:rsid w:val="58641614"/>
    <w:rsid w:val="58650145"/>
    <w:rsid w:val="58653812"/>
    <w:rsid w:val="58664B17"/>
    <w:rsid w:val="5868001A"/>
    <w:rsid w:val="58682C37"/>
    <w:rsid w:val="58684797"/>
    <w:rsid w:val="586937D5"/>
    <w:rsid w:val="58695A9C"/>
    <w:rsid w:val="586A05AE"/>
    <w:rsid w:val="586B5009"/>
    <w:rsid w:val="586C319D"/>
    <w:rsid w:val="586C66E9"/>
    <w:rsid w:val="586C6A21"/>
    <w:rsid w:val="586D0C1F"/>
    <w:rsid w:val="586D44A2"/>
    <w:rsid w:val="586E1F24"/>
    <w:rsid w:val="586E66A0"/>
    <w:rsid w:val="586F4122"/>
    <w:rsid w:val="586F79A5"/>
    <w:rsid w:val="58701BA4"/>
    <w:rsid w:val="58710F7D"/>
    <w:rsid w:val="58722B28"/>
    <w:rsid w:val="587305AA"/>
    <w:rsid w:val="587326BB"/>
    <w:rsid w:val="587363AB"/>
    <w:rsid w:val="587518AF"/>
    <w:rsid w:val="587547D2"/>
    <w:rsid w:val="5876152E"/>
    <w:rsid w:val="587651AC"/>
    <w:rsid w:val="58767330"/>
    <w:rsid w:val="58775D4B"/>
    <w:rsid w:val="58782833"/>
    <w:rsid w:val="58782BD5"/>
    <w:rsid w:val="58786725"/>
    <w:rsid w:val="587902B5"/>
    <w:rsid w:val="58791C73"/>
    <w:rsid w:val="587A5D36"/>
    <w:rsid w:val="587A7F35"/>
    <w:rsid w:val="587B083D"/>
    <w:rsid w:val="587B1239"/>
    <w:rsid w:val="587C13DB"/>
    <w:rsid w:val="587C6CBB"/>
    <w:rsid w:val="587D473C"/>
    <w:rsid w:val="587E21BE"/>
    <w:rsid w:val="587E4ED6"/>
    <w:rsid w:val="587F27ED"/>
    <w:rsid w:val="587F43BC"/>
    <w:rsid w:val="587F51E0"/>
    <w:rsid w:val="587F729D"/>
    <w:rsid w:val="587F7C40"/>
    <w:rsid w:val="58801E3E"/>
    <w:rsid w:val="588056C1"/>
    <w:rsid w:val="588178BF"/>
    <w:rsid w:val="58832DC3"/>
    <w:rsid w:val="58836646"/>
    <w:rsid w:val="58840844"/>
    <w:rsid w:val="588440C7"/>
    <w:rsid w:val="5884755E"/>
    <w:rsid w:val="588502C1"/>
    <w:rsid w:val="58851B49"/>
    <w:rsid w:val="58863D47"/>
    <w:rsid w:val="588653B2"/>
    <w:rsid w:val="588658D3"/>
    <w:rsid w:val="588717C9"/>
    <w:rsid w:val="588743D1"/>
    <w:rsid w:val="5887504C"/>
    <w:rsid w:val="5887701A"/>
    <w:rsid w:val="58882ACE"/>
    <w:rsid w:val="588836A3"/>
    <w:rsid w:val="5888724A"/>
    <w:rsid w:val="5889054F"/>
    <w:rsid w:val="58893338"/>
    <w:rsid w:val="588A01CF"/>
    <w:rsid w:val="588A274D"/>
    <w:rsid w:val="588A3951"/>
    <w:rsid w:val="588B3A52"/>
    <w:rsid w:val="588D58A4"/>
    <w:rsid w:val="588D6F55"/>
    <w:rsid w:val="589110F9"/>
    <w:rsid w:val="589233DD"/>
    <w:rsid w:val="589368E0"/>
    <w:rsid w:val="58953BEB"/>
    <w:rsid w:val="5895766E"/>
    <w:rsid w:val="589645C5"/>
    <w:rsid w:val="589668C2"/>
    <w:rsid w:val="58967865"/>
    <w:rsid w:val="58975164"/>
    <w:rsid w:val="58985B3E"/>
    <w:rsid w:val="589907E9"/>
    <w:rsid w:val="589966DD"/>
    <w:rsid w:val="589A626B"/>
    <w:rsid w:val="589B7C55"/>
    <w:rsid w:val="589C07F4"/>
    <w:rsid w:val="589C176E"/>
    <w:rsid w:val="589D1F31"/>
    <w:rsid w:val="589D71F0"/>
    <w:rsid w:val="589E1D6D"/>
    <w:rsid w:val="589E4C71"/>
    <w:rsid w:val="589F26F3"/>
    <w:rsid w:val="589F34AA"/>
    <w:rsid w:val="58A23677"/>
    <w:rsid w:val="58A36161"/>
    <w:rsid w:val="58A46B7A"/>
    <w:rsid w:val="58A600B4"/>
    <w:rsid w:val="58A6207E"/>
    <w:rsid w:val="58A65901"/>
    <w:rsid w:val="58A67A66"/>
    <w:rsid w:val="58A70C52"/>
    <w:rsid w:val="58A73382"/>
    <w:rsid w:val="58A77AFF"/>
    <w:rsid w:val="58A85581"/>
    <w:rsid w:val="58A92390"/>
    <w:rsid w:val="58AA0A84"/>
    <w:rsid w:val="58AA6505"/>
    <w:rsid w:val="58AB3F87"/>
    <w:rsid w:val="58AB44A7"/>
    <w:rsid w:val="58AC1A08"/>
    <w:rsid w:val="58AC780A"/>
    <w:rsid w:val="58AD528C"/>
    <w:rsid w:val="58AE2D0D"/>
    <w:rsid w:val="58AE4F0C"/>
    <w:rsid w:val="58AF078F"/>
    <w:rsid w:val="58AF661E"/>
    <w:rsid w:val="58AF6F99"/>
    <w:rsid w:val="58B0040F"/>
    <w:rsid w:val="58B23912"/>
    <w:rsid w:val="58B247DE"/>
    <w:rsid w:val="58B27195"/>
    <w:rsid w:val="58B31393"/>
    <w:rsid w:val="58B32FF0"/>
    <w:rsid w:val="58B34C17"/>
    <w:rsid w:val="58B42698"/>
    <w:rsid w:val="58B46E15"/>
    <w:rsid w:val="58B5011A"/>
    <w:rsid w:val="58B54896"/>
    <w:rsid w:val="58B60898"/>
    <w:rsid w:val="58B63BA2"/>
    <w:rsid w:val="58B71143"/>
    <w:rsid w:val="58B74741"/>
    <w:rsid w:val="58B77D99"/>
    <w:rsid w:val="58B8109E"/>
    <w:rsid w:val="58B8581B"/>
    <w:rsid w:val="58B96B20"/>
    <w:rsid w:val="58BA0D1E"/>
    <w:rsid w:val="58BA45A1"/>
    <w:rsid w:val="58BB7DD1"/>
    <w:rsid w:val="58BC07AC"/>
    <w:rsid w:val="58BC0970"/>
    <w:rsid w:val="58BC3F5C"/>
    <w:rsid w:val="58BC7AA4"/>
    <w:rsid w:val="58BD1CA3"/>
    <w:rsid w:val="58BE2FA8"/>
    <w:rsid w:val="58BE710D"/>
    <w:rsid w:val="58BE7724"/>
    <w:rsid w:val="58BF0A29"/>
    <w:rsid w:val="58BF28C3"/>
    <w:rsid w:val="58BF2A88"/>
    <w:rsid w:val="58C03462"/>
    <w:rsid w:val="58C064AB"/>
    <w:rsid w:val="58C106A9"/>
    <w:rsid w:val="58C219AE"/>
    <w:rsid w:val="58C249DB"/>
    <w:rsid w:val="58C33BAC"/>
    <w:rsid w:val="58C3742F"/>
    <w:rsid w:val="58C470AF"/>
    <w:rsid w:val="58C56AF2"/>
    <w:rsid w:val="58C603B4"/>
    <w:rsid w:val="58C75E36"/>
    <w:rsid w:val="58C91339"/>
    <w:rsid w:val="58CA6DBA"/>
    <w:rsid w:val="58CB6A3A"/>
    <w:rsid w:val="58CF09EC"/>
    <w:rsid w:val="58CF26AC"/>
    <w:rsid w:val="58CF63B2"/>
    <w:rsid w:val="58D06745"/>
    <w:rsid w:val="58D06F50"/>
    <w:rsid w:val="58D10943"/>
    <w:rsid w:val="58D141C7"/>
    <w:rsid w:val="58D178D4"/>
    <w:rsid w:val="58D21C48"/>
    <w:rsid w:val="58D263C5"/>
    <w:rsid w:val="58D31068"/>
    <w:rsid w:val="58D376CA"/>
    <w:rsid w:val="58D5734A"/>
    <w:rsid w:val="58D64DCB"/>
    <w:rsid w:val="58D723D7"/>
    <w:rsid w:val="58D802CE"/>
    <w:rsid w:val="58D83B51"/>
    <w:rsid w:val="58D915D3"/>
    <w:rsid w:val="58D95D50"/>
    <w:rsid w:val="58D968EA"/>
    <w:rsid w:val="58DB1253"/>
    <w:rsid w:val="58DB4AD6"/>
    <w:rsid w:val="58DB73AF"/>
    <w:rsid w:val="58DC1E7B"/>
    <w:rsid w:val="58DC2558"/>
    <w:rsid w:val="58DC7D89"/>
    <w:rsid w:val="58DD389F"/>
    <w:rsid w:val="58DD7FD9"/>
    <w:rsid w:val="58DF1B90"/>
    <w:rsid w:val="58DF34DC"/>
    <w:rsid w:val="58DF56DB"/>
    <w:rsid w:val="58E00F5E"/>
    <w:rsid w:val="58E0114E"/>
    <w:rsid w:val="58E014BA"/>
    <w:rsid w:val="58E10BDE"/>
    <w:rsid w:val="58E169DF"/>
    <w:rsid w:val="58E24B57"/>
    <w:rsid w:val="58E2665F"/>
    <w:rsid w:val="58E34992"/>
    <w:rsid w:val="58E37964"/>
    <w:rsid w:val="58E40E6F"/>
    <w:rsid w:val="58E52E67"/>
    <w:rsid w:val="58E608E9"/>
    <w:rsid w:val="58E65065"/>
    <w:rsid w:val="58E701E7"/>
    <w:rsid w:val="58E80569"/>
    <w:rsid w:val="58E83DEC"/>
    <w:rsid w:val="58E862D4"/>
    <w:rsid w:val="58E91760"/>
    <w:rsid w:val="58E95FEA"/>
    <w:rsid w:val="58EB0B99"/>
    <w:rsid w:val="58EB14ED"/>
    <w:rsid w:val="58EB2E9D"/>
    <w:rsid w:val="58EB4D70"/>
    <w:rsid w:val="58EC6F6F"/>
    <w:rsid w:val="58ED0274"/>
    <w:rsid w:val="58ED49F0"/>
    <w:rsid w:val="58EE3776"/>
    <w:rsid w:val="58EF598F"/>
    <w:rsid w:val="58F022C7"/>
    <w:rsid w:val="58F037C1"/>
    <w:rsid w:val="58F05975"/>
    <w:rsid w:val="58F246FB"/>
    <w:rsid w:val="58F3217D"/>
    <w:rsid w:val="58F55680"/>
    <w:rsid w:val="58F70B83"/>
    <w:rsid w:val="58F73CD6"/>
    <w:rsid w:val="58F846B0"/>
    <w:rsid w:val="58F86605"/>
    <w:rsid w:val="58FA5C29"/>
    <w:rsid w:val="58FB500B"/>
    <w:rsid w:val="58FB698C"/>
    <w:rsid w:val="58FB7589"/>
    <w:rsid w:val="58FB7C62"/>
    <w:rsid w:val="58FC2A8C"/>
    <w:rsid w:val="58FC4439"/>
    <w:rsid w:val="58FD7F05"/>
    <w:rsid w:val="58FE08DF"/>
    <w:rsid w:val="58FE5F8F"/>
    <w:rsid w:val="58FF3A11"/>
    <w:rsid w:val="58FF660A"/>
    <w:rsid w:val="59001493"/>
    <w:rsid w:val="590133D1"/>
    <w:rsid w:val="59020E1C"/>
    <w:rsid w:val="59032417"/>
    <w:rsid w:val="590522A7"/>
    <w:rsid w:val="5905624B"/>
    <w:rsid w:val="59070E1D"/>
    <w:rsid w:val="5908019E"/>
    <w:rsid w:val="5908689F"/>
    <w:rsid w:val="59094320"/>
    <w:rsid w:val="590A1717"/>
    <w:rsid w:val="590B0C51"/>
    <w:rsid w:val="590B6DDC"/>
    <w:rsid w:val="590C382F"/>
    <w:rsid w:val="590C52A5"/>
    <w:rsid w:val="590D65AA"/>
    <w:rsid w:val="590E4F6C"/>
    <w:rsid w:val="590F5B0B"/>
    <w:rsid w:val="590F622A"/>
    <w:rsid w:val="59114FB0"/>
    <w:rsid w:val="59122A32"/>
    <w:rsid w:val="591326B2"/>
    <w:rsid w:val="59134C30"/>
    <w:rsid w:val="59140133"/>
    <w:rsid w:val="59145F35"/>
    <w:rsid w:val="59161438"/>
    <w:rsid w:val="59164BBB"/>
    <w:rsid w:val="591730EE"/>
    <w:rsid w:val="591744DE"/>
    <w:rsid w:val="59186B39"/>
    <w:rsid w:val="59190E40"/>
    <w:rsid w:val="591A203C"/>
    <w:rsid w:val="591A5BE0"/>
    <w:rsid w:val="591A7E3E"/>
    <w:rsid w:val="591B3341"/>
    <w:rsid w:val="591B7ABE"/>
    <w:rsid w:val="591C731D"/>
    <w:rsid w:val="591D2FC1"/>
    <w:rsid w:val="591D6844"/>
    <w:rsid w:val="591E0A43"/>
    <w:rsid w:val="591E42C6"/>
    <w:rsid w:val="591F060E"/>
    <w:rsid w:val="591F1D47"/>
    <w:rsid w:val="592014A1"/>
    <w:rsid w:val="59203F46"/>
    <w:rsid w:val="592077C9"/>
    <w:rsid w:val="59222CCC"/>
    <w:rsid w:val="5923074E"/>
    <w:rsid w:val="592340EB"/>
    <w:rsid w:val="59234ECA"/>
    <w:rsid w:val="5924294C"/>
    <w:rsid w:val="592503CD"/>
    <w:rsid w:val="592738D0"/>
    <w:rsid w:val="59275DC1"/>
    <w:rsid w:val="592762E1"/>
    <w:rsid w:val="59276802"/>
    <w:rsid w:val="59277154"/>
    <w:rsid w:val="5927777C"/>
    <w:rsid w:val="59281352"/>
    <w:rsid w:val="59292657"/>
    <w:rsid w:val="59294AF3"/>
    <w:rsid w:val="592A00D8"/>
    <w:rsid w:val="592B226D"/>
    <w:rsid w:val="592B22D7"/>
    <w:rsid w:val="592C35DC"/>
    <w:rsid w:val="592C57DA"/>
    <w:rsid w:val="592C7D58"/>
    <w:rsid w:val="592D105D"/>
    <w:rsid w:val="592D325B"/>
    <w:rsid w:val="592F4560"/>
    <w:rsid w:val="592F675E"/>
    <w:rsid w:val="593254E5"/>
    <w:rsid w:val="5932703B"/>
    <w:rsid w:val="59337A15"/>
    <w:rsid w:val="59346469"/>
    <w:rsid w:val="59350668"/>
    <w:rsid w:val="593516B6"/>
    <w:rsid w:val="59353EEB"/>
    <w:rsid w:val="593773EE"/>
    <w:rsid w:val="593815EC"/>
    <w:rsid w:val="593947E3"/>
    <w:rsid w:val="5939706E"/>
    <w:rsid w:val="593A0373"/>
    <w:rsid w:val="593B5D5C"/>
    <w:rsid w:val="593C68FB"/>
    <w:rsid w:val="593C7FF3"/>
    <w:rsid w:val="593D5A74"/>
    <w:rsid w:val="593D72D5"/>
    <w:rsid w:val="593E34F6"/>
    <w:rsid w:val="593E46F9"/>
    <w:rsid w:val="593F0F77"/>
    <w:rsid w:val="594015B1"/>
    <w:rsid w:val="5940227C"/>
    <w:rsid w:val="59412E3E"/>
    <w:rsid w:val="59417CFE"/>
    <w:rsid w:val="5942577F"/>
    <w:rsid w:val="59433201"/>
    <w:rsid w:val="59433CDD"/>
    <w:rsid w:val="59440C82"/>
    <w:rsid w:val="5944285A"/>
    <w:rsid w:val="594453FF"/>
    <w:rsid w:val="59464185"/>
    <w:rsid w:val="594726BA"/>
    <w:rsid w:val="59473E05"/>
    <w:rsid w:val="59487688"/>
    <w:rsid w:val="5949510A"/>
    <w:rsid w:val="594B060D"/>
    <w:rsid w:val="594B1686"/>
    <w:rsid w:val="594B280B"/>
    <w:rsid w:val="594C028D"/>
    <w:rsid w:val="594C3B10"/>
    <w:rsid w:val="594C608F"/>
    <w:rsid w:val="594D1592"/>
    <w:rsid w:val="594E7013"/>
    <w:rsid w:val="594F433C"/>
    <w:rsid w:val="59502516"/>
    <w:rsid w:val="59504EDB"/>
    <w:rsid w:val="59506C93"/>
    <w:rsid w:val="59514715"/>
    <w:rsid w:val="59525A19"/>
    <w:rsid w:val="595303DC"/>
    <w:rsid w:val="5953349B"/>
    <w:rsid w:val="59534CCC"/>
    <w:rsid w:val="595379CD"/>
    <w:rsid w:val="5954056B"/>
    <w:rsid w:val="59540F1D"/>
    <w:rsid w:val="5954428A"/>
    <w:rsid w:val="59545699"/>
    <w:rsid w:val="5955311B"/>
    <w:rsid w:val="59560B9C"/>
    <w:rsid w:val="59561AE4"/>
    <w:rsid w:val="59564420"/>
    <w:rsid w:val="595A2E26"/>
    <w:rsid w:val="595A479B"/>
    <w:rsid w:val="595B08A7"/>
    <w:rsid w:val="595C5ED8"/>
    <w:rsid w:val="595C6329"/>
    <w:rsid w:val="595D3DAB"/>
    <w:rsid w:val="595E182C"/>
    <w:rsid w:val="595F09CA"/>
    <w:rsid w:val="596013A4"/>
    <w:rsid w:val="59604D2F"/>
    <w:rsid w:val="59611F42"/>
    <w:rsid w:val="596127B1"/>
    <w:rsid w:val="596179CA"/>
    <w:rsid w:val="596272F3"/>
    <w:rsid w:val="59635CB4"/>
    <w:rsid w:val="59654A34"/>
    <w:rsid w:val="59654BF9"/>
    <w:rsid w:val="59655912"/>
    <w:rsid w:val="59656C38"/>
    <w:rsid w:val="596646BA"/>
    <w:rsid w:val="59687BBD"/>
    <w:rsid w:val="5969563F"/>
    <w:rsid w:val="596A30C0"/>
    <w:rsid w:val="596D4045"/>
    <w:rsid w:val="596E1AC6"/>
    <w:rsid w:val="596F42F4"/>
    <w:rsid w:val="59701AD0"/>
    <w:rsid w:val="59704FCA"/>
    <w:rsid w:val="597204CD"/>
    <w:rsid w:val="59723D50"/>
    <w:rsid w:val="597317D1"/>
    <w:rsid w:val="59735F4E"/>
    <w:rsid w:val="59736FAA"/>
    <w:rsid w:val="597437C3"/>
    <w:rsid w:val="597439D0"/>
    <w:rsid w:val="59747253"/>
    <w:rsid w:val="59754CD5"/>
    <w:rsid w:val="59762756"/>
    <w:rsid w:val="59770B6A"/>
    <w:rsid w:val="5978263A"/>
    <w:rsid w:val="59785C59"/>
    <w:rsid w:val="597936DB"/>
    <w:rsid w:val="597A3BB3"/>
    <w:rsid w:val="597B29CA"/>
    <w:rsid w:val="597B335B"/>
    <w:rsid w:val="597B6BDE"/>
    <w:rsid w:val="597C465F"/>
    <w:rsid w:val="597C685E"/>
    <w:rsid w:val="597D7FC8"/>
    <w:rsid w:val="597E1D61"/>
    <w:rsid w:val="597E255C"/>
    <w:rsid w:val="597E7B62"/>
    <w:rsid w:val="597F55E4"/>
    <w:rsid w:val="59803066"/>
    <w:rsid w:val="59812CE5"/>
    <w:rsid w:val="59826569"/>
    <w:rsid w:val="59833FEA"/>
    <w:rsid w:val="59843C6A"/>
    <w:rsid w:val="598474ED"/>
    <w:rsid w:val="598541D6"/>
    <w:rsid w:val="598629F0"/>
    <w:rsid w:val="5986716D"/>
    <w:rsid w:val="598732F0"/>
    <w:rsid w:val="59874BEF"/>
    <w:rsid w:val="5987558A"/>
    <w:rsid w:val="59885EF4"/>
    <w:rsid w:val="598900F2"/>
    <w:rsid w:val="59893975"/>
    <w:rsid w:val="598A5B73"/>
    <w:rsid w:val="598B35F5"/>
    <w:rsid w:val="598B6E78"/>
    <w:rsid w:val="598C197E"/>
    <w:rsid w:val="598D5E93"/>
    <w:rsid w:val="598E457A"/>
    <w:rsid w:val="598E5973"/>
    <w:rsid w:val="598E5CDE"/>
    <w:rsid w:val="598F1FFB"/>
    <w:rsid w:val="598F587E"/>
    <w:rsid w:val="599042AB"/>
    <w:rsid w:val="59907A7D"/>
    <w:rsid w:val="59910D81"/>
    <w:rsid w:val="599154FE"/>
    <w:rsid w:val="599259E9"/>
    <w:rsid w:val="59926803"/>
    <w:rsid w:val="599363C3"/>
    <w:rsid w:val="59943F04"/>
    <w:rsid w:val="59951986"/>
    <w:rsid w:val="59957788"/>
    <w:rsid w:val="59965209"/>
    <w:rsid w:val="59972C8B"/>
    <w:rsid w:val="5998290B"/>
    <w:rsid w:val="5999038C"/>
    <w:rsid w:val="59993190"/>
    <w:rsid w:val="599A3D2F"/>
    <w:rsid w:val="599A5E0E"/>
    <w:rsid w:val="599B1691"/>
    <w:rsid w:val="599C0670"/>
    <w:rsid w:val="599C1311"/>
    <w:rsid w:val="599C2C1B"/>
    <w:rsid w:val="599C5861"/>
    <w:rsid w:val="599D5C82"/>
    <w:rsid w:val="599E4814"/>
    <w:rsid w:val="599F5B19"/>
    <w:rsid w:val="59A0359A"/>
    <w:rsid w:val="59A07D17"/>
    <w:rsid w:val="59A07F5E"/>
    <w:rsid w:val="59A10AFD"/>
    <w:rsid w:val="59A1101C"/>
    <w:rsid w:val="59A15799"/>
    <w:rsid w:val="59A26A9D"/>
    <w:rsid w:val="59A31EB1"/>
    <w:rsid w:val="59A3451F"/>
    <w:rsid w:val="59A4671D"/>
    <w:rsid w:val="59A654A4"/>
    <w:rsid w:val="59A72F25"/>
    <w:rsid w:val="59A75542"/>
    <w:rsid w:val="59A776A2"/>
    <w:rsid w:val="59A85123"/>
    <w:rsid w:val="59A92BA5"/>
    <w:rsid w:val="59A93F65"/>
    <w:rsid w:val="59A96428"/>
    <w:rsid w:val="59AA781E"/>
    <w:rsid w:val="59AB192B"/>
    <w:rsid w:val="59AB19CA"/>
    <w:rsid w:val="59AC73AD"/>
    <w:rsid w:val="59AD15AB"/>
    <w:rsid w:val="59AD702D"/>
    <w:rsid w:val="59AE28B0"/>
    <w:rsid w:val="59AE4AAE"/>
    <w:rsid w:val="59AF2530"/>
    <w:rsid w:val="59B05DB3"/>
    <w:rsid w:val="59B07FB1"/>
    <w:rsid w:val="59B13835"/>
    <w:rsid w:val="59B14E01"/>
    <w:rsid w:val="59B14FC6"/>
    <w:rsid w:val="59B212B6"/>
    <w:rsid w:val="59B23E12"/>
    <w:rsid w:val="59B30F36"/>
    <w:rsid w:val="59B36D38"/>
    <w:rsid w:val="59B447B9"/>
    <w:rsid w:val="59B469B8"/>
    <w:rsid w:val="59B470DD"/>
    <w:rsid w:val="59B57CBC"/>
    <w:rsid w:val="59B60492"/>
    <w:rsid w:val="59B7793C"/>
    <w:rsid w:val="59B80C41"/>
    <w:rsid w:val="59B9276E"/>
    <w:rsid w:val="59B92E3F"/>
    <w:rsid w:val="59BA3148"/>
    <w:rsid w:val="59BA4144"/>
    <w:rsid w:val="59BA435D"/>
    <w:rsid w:val="59BA46C8"/>
    <w:rsid w:val="59BB3CE7"/>
    <w:rsid w:val="59BC3DC4"/>
    <w:rsid w:val="59BF1A10"/>
    <w:rsid w:val="59C0439F"/>
    <w:rsid w:val="59C07D51"/>
    <w:rsid w:val="59C13ACF"/>
    <w:rsid w:val="59C21551"/>
    <w:rsid w:val="59C36FD2"/>
    <w:rsid w:val="59C524D5"/>
    <w:rsid w:val="59C604DE"/>
    <w:rsid w:val="59C60694"/>
    <w:rsid w:val="59C63F80"/>
    <w:rsid w:val="59C67F57"/>
    <w:rsid w:val="59C77A9D"/>
    <w:rsid w:val="59C8345A"/>
    <w:rsid w:val="59C862A2"/>
    <w:rsid w:val="59C9625C"/>
    <w:rsid w:val="59CE2DE5"/>
    <w:rsid w:val="59CF2E66"/>
    <w:rsid w:val="59D062E8"/>
    <w:rsid w:val="59D13D69"/>
    <w:rsid w:val="59D217EB"/>
    <w:rsid w:val="59D3726C"/>
    <w:rsid w:val="59D44CEE"/>
    <w:rsid w:val="59D525E5"/>
    <w:rsid w:val="59D555CE"/>
    <w:rsid w:val="59D56ED0"/>
    <w:rsid w:val="59D57095"/>
    <w:rsid w:val="59D63A74"/>
    <w:rsid w:val="59D67C33"/>
    <w:rsid w:val="59D70DF6"/>
    <w:rsid w:val="59D75C73"/>
    <w:rsid w:val="59D811AC"/>
    <w:rsid w:val="59D86F77"/>
    <w:rsid w:val="59D91176"/>
    <w:rsid w:val="59DA32C4"/>
    <w:rsid w:val="59DB1995"/>
    <w:rsid w:val="59DB3E62"/>
    <w:rsid w:val="59DB53F4"/>
    <w:rsid w:val="59DB7EFC"/>
    <w:rsid w:val="59DD53DB"/>
    <w:rsid w:val="59DD7B7C"/>
    <w:rsid w:val="59DE0E81"/>
    <w:rsid w:val="59DE5F7A"/>
    <w:rsid w:val="59DF6902"/>
    <w:rsid w:val="59DF6954"/>
    <w:rsid w:val="59E00B01"/>
    <w:rsid w:val="59E11E05"/>
    <w:rsid w:val="59E16582"/>
    <w:rsid w:val="59E24AD2"/>
    <w:rsid w:val="59E27887"/>
    <w:rsid w:val="59E31446"/>
    <w:rsid w:val="59E31A85"/>
    <w:rsid w:val="59E35308"/>
    <w:rsid w:val="59E40FD4"/>
    <w:rsid w:val="59E41FE5"/>
    <w:rsid w:val="59E42D8A"/>
    <w:rsid w:val="59E446EB"/>
    <w:rsid w:val="59E44A57"/>
    <w:rsid w:val="59E5080C"/>
    <w:rsid w:val="59E52A0A"/>
    <w:rsid w:val="59E53268"/>
    <w:rsid w:val="59E54F88"/>
    <w:rsid w:val="59E6048B"/>
    <w:rsid w:val="59E630B3"/>
    <w:rsid w:val="59E6355E"/>
    <w:rsid w:val="59E73D0F"/>
    <w:rsid w:val="59E75F0D"/>
    <w:rsid w:val="59E85675"/>
    <w:rsid w:val="59E91410"/>
    <w:rsid w:val="59EA6BEE"/>
    <w:rsid w:val="59EA6E92"/>
    <w:rsid w:val="59EB4913"/>
    <w:rsid w:val="59EB778D"/>
    <w:rsid w:val="59EC0196"/>
    <w:rsid w:val="59EC2395"/>
    <w:rsid w:val="59ED0ECA"/>
    <w:rsid w:val="59ED369A"/>
    <w:rsid w:val="59ED5C18"/>
    <w:rsid w:val="59EE111B"/>
    <w:rsid w:val="59EE18A4"/>
    <w:rsid w:val="59EF2443"/>
    <w:rsid w:val="59EF3319"/>
    <w:rsid w:val="59EF5441"/>
    <w:rsid w:val="59EF6B9D"/>
    <w:rsid w:val="59F02FE1"/>
    <w:rsid w:val="59F24396"/>
    <w:rsid w:val="59F26EC9"/>
    <w:rsid w:val="59F31D20"/>
    <w:rsid w:val="59F45AD3"/>
    <w:rsid w:val="59F46B6F"/>
    <w:rsid w:val="59F477A1"/>
    <w:rsid w:val="59F54E4E"/>
    <w:rsid w:val="59F55223"/>
    <w:rsid w:val="59F55A72"/>
    <w:rsid w:val="59F564AD"/>
    <w:rsid w:val="59F62CA4"/>
    <w:rsid w:val="59F67A26"/>
    <w:rsid w:val="59F73FA9"/>
    <w:rsid w:val="59F91D02"/>
    <w:rsid w:val="59F974AC"/>
    <w:rsid w:val="59FA16AA"/>
    <w:rsid w:val="59FA28A1"/>
    <w:rsid w:val="59FB712C"/>
    <w:rsid w:val="59FC4BAE"/>
    <w:rsid w:val="59FD00B1"/>
    <w:rsid w:val="59FD262F"/>
    <w:rsid w:val="59FE5B32"/>
    <w:rsid w:val="59FF13B5"/>
    <w:rsid w:val="59FF35B4"/>
    <w:rsid w:val="5A001035"/>
    <w:rsid w:val="5A006E37"/>
    <w:rsid w:val="5A020049"/>
    <w:rsid w:val="5A02233A"/>
    <w:rsid w:val="5A024538"/>
    <w:rsid w:val="5A037476"/>
    <w:rsid w:val="5A037DBC"/>
    <w:rsid w:val="5A047A3B"/>
    <w:rsid w:val="5A050831"/>
    <w:rsid w:val="5A050D40"/>
    <w:rsid w:val="5A0554BD"/>
    <w:rsid w:val="5A062F3F"/>
    <w:rsid w:val="5A063515"/>
    <w:rsid w:val="5A0667C2"/>
    <w:rsid w:val="5A0709C0"/>
    <w:rsid w:val="5A074243"/>
    <w:rsid w:val="5A0957F1"/>
    <w:rsid w:val="5A097746"/>
    <w:rsid w:val="5A0A1945"/>
    <w:rsid w:val="5A0A61CB"/>
    <w:rsid w:val="5A0B2C4A"/>
    <w:rsid w:val="5A0C4E48"/>
    <w:rsid w:val="5A0D28C9"/>
    <w:rsid w:val="5A0D614D"/>
    <w:rsid w:val="5A0E034B"/>
    <w:rsid w:val="5A0E0CBD"/>
    <w:rsid w:val="5A0F1650"/>
    <w:rsid w:val="5A0F1A20"/>
    <w:rsid w:val="5A0F5DCC"/>
    <w:rsid w:val="5A103441"/>
    <w:rsid w:val="5A1112D0"/>
    <w:rsid w:val="5A114B53"/>
    <w:rsid w:val="5A126D51"/>
    <w:rsid w:val="5A1347D3"/>
    <w:rsid w:val="5A1534DC"/>
    <w:rsid w:val="5A167004"/>
    <w:rsid w:val="5A170C5A"/>
    <w:rsid w:val="5A176A5C"/>
    <w:rsid w:val="5A18057C"/>
    <w:rsid w:val="5A1844DE"/>
    <w:rsid w:val="5A1866DC"/>
    <w:rsid w:val="5A190B92"/>
    <w:rsid w:val="5A19111B"/>
    <w:rsid w:val="5A19415E"/>
    <w:rsid w:val="5A1A79E1"/>
    <w:rsid w:val="5A1B5462"/>
    <w:rsid w:val="5A1B7661"/>
    <w:rsid w:val="5A1C3233"/>
    <w:rsid w:val="5A1D0965"/>
    <w:rsid w:val="5A1D167E"/>
    <w:rsid w:val="5A1D2B64"/>
    <w:rsid w:val="5A1D63E7"/>
    <w:rsid w:val="5A1E47AC"/>
    <w:rsid w:val="5A1F18EA"/>
    <w:rsid w:val="5A1F56FD"/>
    <w:rsid w:val="5A1F5EE9"/>
    <w:rsid w:val="5A203AE8"/>
    <w:rsid w:val="5A206A87"/>
    <w:rsid w:val="5A21156A"/>
    <w:rsid w:val="5A217BE1"/>
    <w:rsid w:val="5A22286F"/>
    <w:rsid w:val="5A225098"/>
    <w:rsid w:val="5A226FEB"/>
    <w:rsid w:val="5A2302F0"/>
    <w:rsid w:val="5A2413B5"/>
    <w:rsid w:val="5A262AF2"/>
    <w:rsid w:val="5A28406B"/>
    <w:rsid w:val="5A28422F"/>
    <w:rsid w:val="5A284778"/>
    <w:rsid w:val="5A2B56FD"/>
    <w:rsid w:val="5A2C6D21"/>
    <w:rsid w:val="5A2C76FB"/>
    <w:rsid w:val="5A2F55FE"/>
    <w:rsid w:val="5A31541D"/>
    <w:rsid w:val="5A344EA3"/>
    <w:rsid w:val="5A355A42"/>
    <w:rsid w:val="5A35600C"/>
    <w:rsid w:val="5A363A8E"/>
    <w:rsid w:val="5A390534"/>
    <w:rsid w:val="5A3906F8"/>
    <w:rsid w:val="5A392494"/>
    <w:rsid w:val="5A3C1C76"/>
    <w:rsid w:val="5A3C31EA"/>
    <w:rsid w:val="5A3C3419"/>
    <w:rsid w:val="5A3D3D89"/>
    <w:rsid w:val="5A3D6C9C"/>
    <w:rsid w:val="5A3E219F"/>
    <w:rsid w:val="5A3E3E25"/>
    <w:rsid w:val="5A3E4763"/>
    <w:rsid w:val="5A3E691C"/>
    <w:rsid w:val="5A3F7C21"/>
    <w:rsid w:val="5A401E1F"/>
    <w:rsid w:val="5A405EA0"/>
    <w:rsid w:val="5A4178A0"/>
    <w:rsid w:val="5A420BA5"/>
    <w:rsid w:val="5A42157E"/>
    <w:rsid w:val="5A434BF7"/>
    <w:rsid w:val="5A436627"/>
    <w:rsid w:val="5A440825"/>
    <w:rsid w:val="5A440B56"/>
    <w:rsid w:val="5A4440A8"/>
    <w:rsid w:val="5A451531"/>
    <w:rsid w:val="5A4562A7"/>
    <w:rsid w:val="5A4675AB"/>
    <w:rsid w:val="5A4717AA"/>
    <w:rsid w:val="5A47502D"/>
    <w:rsid w:val="5A494CAD"/>
    <w:rsid w:val="5A4A272E"/>
    <w:rsid w:val="5A4A559B"/>
    <w:rsid w:val="5A4A5760"/>
    <w:rsid w:val="5A4A5FB2"/>
    <w:rsid w:val="5A4B01B0"/>
    <w:rsid w:val="5A4B0A38"/>
    <w:rsid w:val="5A4B34F1"/>
    <w:rsid w:val="5A4B3A33"/>
    <w:rsid w:val="5A4B3D7D"/>
    <w:rsid w:val="5A4C5C31"/>
    <w:rsid w:val="5A4D36B3"/>
    <w:rsid w:val="5A4D6F36"/>
    <w:rsid w:val="5A4E0252"/>
    <w:rsid w:val="5A4E49B8"/>
    <w:rsid w:val="5A4E6BB6"/>
    <w:rsid w:val="5A4F2439"/>
    <w:rsid w:val="5A5020B9"/>
    <w:rsid w:val="5A507EBB"/>
    <w:rsid w:val="5A51593C"/>
    <w:rsid w:val="5A516DA2"/>
    <w:rsid w:val="5A517B3B"/>
    <w:rsid w:val="5A522F08"/>
    <w:rsid w:val="5A5233BE"/>
    <w:rsid w:val="5A5255BC"/>
    <w:rsid w:val="5A530E40"/>
    <w:rsid w:val="5A540ABF"/>
    <w:rsid w:val="5A544645"/>
    <w:rsid w:val="5A554343"/>
    <w:rsid w:val="5A563FC2"/>
    <w:rsid w:val="5A5659FA"/>
    <w:rsid w:val="5A567846"/>
    <w:rsid w:val="5A5752C7"/>
    <w:rsid w:val="5A577EFE"/>
    <w:rsid w:val="5A582D49"/>
    <w:rsid w:val="5A582FE6"/>
    <w:rsid w:val="5A5874C6"/>
    <w:rsid w:val="5A5907CA"/>
    <w:rsid w:val="5A594F47"/>
    <w:rsid w:val="5A5A124E"/>
    <w:rsid w:val="5A5A624C"/>
    <w:rsid w:val="5A5B044A"/>
    <w:rsid w:val="5A5B3CCD"/>
    <w:rsid w:val="5A5C5ECC"/>
    <w:rsid w:val="5A5E13CF"/>
    <w:rsid w:val="5A5F26D4"/>
    <w:rsid w:val="5A5F6E50"/>
    <w:rsid w:val="5A600155"/>
    <w:rsid w:val="5A6048D2"/>
    <w:rsid w:val="5A615BD7"/>
    <w:rsid w:val="5A6310DA"/>
    <w:rsid w:val="5A6373D1"/>
    <w:rsid w:val="5A637F6F"/>
    <w:rsid w:val="5A6432D8"/>
    <w:rsid w:val="5A6545DD"/>
    <w:rsid w:val="5A6715C3"/>
    <w:rsid w:val="5A671CDE"/>
    <w:rsid w:val="5A677AE0"/>
    <w:rsid w:val="5A6837C4"/>
    <w:rsid w:val="5A685562"/>
    <w:rsid w:val="5A692FE3"/>
    <w:rsid w:val="5A697A69"/>
    <w:rsid w:val="5A6E1669"/>
    <w:rsid w:val="5A6E1867"/>
    <w:rsid w:val="5A6E4EEC"/>
    <w:rsid w:val="5A6F70EB"/>
    <w:rsid w:val="5A704B6C"/>
    <w:rsid w:val="5A7124E5"/>
    <w:rsid w:val="5A715E71"/>
    <w:rsid w:val="5A72006F"/>
    <w:rsid w:val="5A7238F3"/>
    <w:rsid w:val="5A735AF1"/>
    <w:rsid w:val="5A750FF4"/>
    <w:rsid w:val="5A754877"/>
    <w:rsid w:val="5A762C88"/>
    <w:rsid w:val="5A762E3E"/>
    <w:rsid w:val="5A766A76"/>
    <w:rsid w:val="5A772767"/>
    <w:rsid w:val="5A7744F7"/>
    <w:rsid w:val="5A777D7A"/>
    <w:rsid w:val="5A781F79"/>
    <w:rsid w:val="5A7929C6"/>
    <w:rsid w:val="5A79327D"/>
    <w:rsid w:val="5A7A0CFF"/>
    <w:rsid w:val="5A7B2EFD"/>
    <w:rsid w:val="5A7B6781"/>
    <w:rsid w:val="5A7C097F"/>
    <w:rsid w:val="5A7C1DA4"/>
    <w:rsid w:val="5A7C4202"/>
    <w:rsid w:val="5A7D1C84"/>
    <w:rsid w:val="5A7D277F"/>
    <w:rsid w:val="5A7E1904"/>
    <w:rsid w:val="5A7F5187"/>
    <w:rsid w:val="5A7F7385"/>
    <w:rsid w:val="5A812888"/>
    <w:rsid w:val="5A815E0F"/>
    <w:rsid w:val="5A82030A"/>
    <w:rsid w:val="5A82610B"/>
    <w:rsid w:val="5A835D8B"/>
    <w:rsid w:val="5A84160F"/>
    <w:rsid w:val="5A84380D"/>
    <w:rsid w:val="5A845986"/>
    <w:rsid w:val="5A845B3B"/>
    <w:rsid w:val="5A84657D"/>
    <w:rsid w:val="5A866D10"/>
    <w:rsid w:val="5A87203E"/>
    <w:rsid w:val="5A882213"/>
    <w:rsid w:val="5A885A96"/>
    <w:rsid w:val="5A893057"/>
    <w:rsid w:val="5A8A0F99"/>
    <w:rsid w:val="5A8C626D"/>
    <w:rsid w:val="5A8D1F1E"/>
    <w:rsid w:val="5A8E77E6"/>
    <w:rsid w:val="5A8F0385"/>
    <w:rsid w:val="5A8F5421"/>
    <w:rsid w:val="5A900F23"/>
    <w:rsid w:val="5A902EA3"/>
    <w:rsid w:val="5A910924"/>
    <w:rsid w:val="5A9118FE"/>
    <w:rsid w:val="5A932E77"/>
    <w:rsid w:val="5A933E27"/>
    <w:rsid w:val="5A9418A9"/>
    <w:rsid w:val="5A943A15"/>
    <w:rsid w:val="5A9545B4"/>
    <w:rsid w:val="5A964DAC"/>
    <w:rsid w:val="5A9802AF"/>
    <w:rsid w:val="5A995D31"/>
    <w:rsid w:val="5A9A4363"/>
    <w:rsid w:val="5A9B1234"/>
    <w:rsid w:val="5A9C6CB5"/>
    <w:rsid w:val="5A9D28FB"/>
    <w:rsid w:val="5A9E21B8"/>
    <w:rsid w:val="5A9F7C3A"/>
    <w:rsid w:val="5AA219DE"/>
    <w:rsid w:val="5AA21EFE"/>
    <w:rsid w:val="5AA26640"/>
    <w:rsid w:val="5AA31EC3"/>
    <w:rsid w:val="5AA340C2"/>
    <w:rsid w:val="5AA36B2A"/>
    <w:rsid w:val="5AA41B43"/>
    <w:rsid w:val="5AA553C6"/>
    <w:rsid w:val="5AA56967"/>
    <w:rsid w:val="5AA575C5"/>
    <w:rsid w:val="5AA60907"/>
    <w:rsid w:val="5AA708CA"/>
    <w:rsid w:val="5AA7161B"/>
    <w:rsid w:val="5AA83DCD"/>
    <w:rsid w:val="5AA9184E"/>
    <w:rsid w:val="5AA9356E"/>
    <w:rsid w:val="5AA95FCB"/>
    <w:rsid w:val="5AAA72D0"/>
    <w:rsid w:val="5AAB14CE"/>
    <w:rsid w:val="5AAB4D51"/>
    <w:rsid w:val="5AAD49D1"/>
    <w:rsid w:val="5AAE2453"/>
    <w:rsid w:val="5AAE6DC3"/>
    <w:rsid w:val="5AAF3C1C"/>
    <w:rsid w:val="5AB0141B"/>
    <w:rsid w:val="5AB05956"/>
    <w:rsid w:val="5AB10EDB"/>
    <w:rsid w:val="5AB133D7"/>
    <w:rsid w:val="5AB1392F"/>
    <w:rsid w:val="5AB20E59"/>
    <w:rsid w:val="5AB21A7A"/>
    <w:rsid w:val="5AB230A3"/>
    <w:rsid w:val="5AB246DC"/>
    <w:rsid w:val="5AB3215E"/>
    <w:rsid w:val="5AB42E2E"/>
    <w:rsid w:val="5AB43B91"/>
    <w:rsid w:val="5AB4435C"/>
    <w:rsid w:val="5AB47BDF"/>
    <w:rsid w:val="5AB47DD2"/>
    <w:rsid w:val="5AB70B64"/>
    <w:rsid w:val="5AB72D62"/>
    <w:rsid w:val="5AB94067"/>
    <w:rsid w:val="5ABA3CE7"/>
    <w:rsid w:val="5ABB05D6"/>
    <w:rsid w:val="5ABB1768"/>
    <w:rsid w:val="5ABB756A"/>
    <w:rsid w:val="5ABC4FEC"/>
    <w:rsid w:val="5ABC71EA"/>
    <w:rsid w:val="5ABD1D13"/>
    <w:rsid w:val="5ABD2A6D"/>
    <w:rsid w:val="5ABE04EF"/>
    <w:rsid w:val="5ABE2233"/>
    <w:rsid w:val="5ABE26ED"/>
    <w:rsid w:val="5ABF39F2"/>
    <w:rsid w:val="5ABF575D"/>
    <w:rsid w:val="5ABF5F70"/>
    <w:rsid w:val="5ABF6D03"/>
    <w:rsid w:val="5AC01473"/>
    <w:rsid w:val="5AC03E2B"/>
    <w:rsid w:val="5AC13672"/>
    <w:rsid w:val="5AC149CA"/>
    <w:rsid w:val="5AC16A76"/>
    <w:rsid w:val="5AC210F3"/>
    <w:rsid w:val="5AC24977"/>
    <w:rsid w:val="5AC2539B"/>
    <w:rsid w:val="5AC253A4"/>
    <w:rsid w:val="5AC323F8"/>
    <w:rsid w:val="5AC36B75"/>
    <w:rsid w:val="5AC445F6"/>
    <w:rsid w:val="5AC474BB"/>
    <w:rsid w:val="5AC52078"/>
    <w:rsid w:val="5AC558FB"/>
    <w:rsid w:val="5AC60BF9"/>
    <w:rsid w:val="5AC6337D"/>
    <w:rsid w:val="5AC7557B"/>
    <w:rsid w:val="5AC82FFD"/>
    <w:rsid w:val="5AC90A7E"/>
    <w:rsid w:val="5AC94301"/>
    <w:rsid w:val="5ACB40C5"/>
    <w:rsid w:val="5ACC27AE"/>
    <w:rsid w:val="5ACC5286"/>
    <w:rsid w:val="5ACD2D08"/>
    <w:rsid w:val="5ACD4674"/>
    <w:rsid w:val="5ACE0789"/>
    <w:rsid w:val="5ACE4F06"/>
    <w:rsid w:val="5ACF620B"/>
    <w:rsid w:val="5AD03C8C"/>
    <w:rsid w:val="5AD102F4"/>
    <w:rsid w:val="5AD1170E"/>
    <w:rsid w:val="5AD2138E"/>
    <w:rsid w:val="5AD21A31"/>
    <w:rsid w:val="5AD2718F"/>
    <w:rsid w:val="5AD42692"/>
    <w:rsid w:val="5AD44891"/>
    <w:rsid w:val="5AD50114"/>
    <w:rsid w:val="5AD52312"/>
    <w:rsid w:val="5AD53B49"/>
    <w:rsid w:val="5AD6123A"/>
    <w:rsid w:val="5AD67D94"/>
    <w:rsid w:val="5AD73B2D"/>
    <w:rsid w:val="5AD75815"/>
    <w:rsid w:val="5AD86B1A"/>
    <w:rsid w:val="5AD90D18"/>
    <w:rsid w:val="5ADA201D"/>
    <w:rsid w:val="5ADA2272"/>
    <w:rsid w:val="5ADA679A"/>
    <w:rsid w:val="5ADA71D9"/>
    <w:rsid w:val="5ADB421C"/>
    <w:rsid w:val="5ADC3B08"/>
    <w:rsid w:val="5ADD2FA2"/>
    <w:rsid w:val="5ADE0A23"/>
    <w:rsid w:val="5ADE2869"/>
    <w:rsid w:val="5ADE51A0"/>
    <w:rsid w:val="5ADF2C22"/>
    <w:rsid w:val="5AE006A3"/>
    <w:rsid w:val="5AE03F27"/>
    <w:rsid w:val="5AE14981"/>
    <w:rsid w:val="5AE23BA6"/>
    <w:rsid w:val="5AE26D53"/>
    <w:rsid w:val="5AE2742A"/>
    <w:rsid w:val="5AE31628"/>
    <w:rsid w:val="5AE4292D"/>
    <w:rsid w:val="5AE470AA"/>
    <w:rsid w:val="5AE503AE"/>
    <w:rsid w:val="5AE54B2B"/>
    <w:rsid w:val="5AE81333"/>
    <w:rsid w:val="5AE90FB3"/>
    <w:rsid w:val="5AE96DB5"/>
    <w:rsid w:val="5AEA2CC8"/>
    <w:rsid w:val="5AEB22B8"/>
    <w:rsid w:val="5AEC4240"/>
    <w:rsid w:val="5AEC478B"/>
    <w:rsid w:val="5AEC4941"/>
    <w:rsid w:val="5AEC7D39"/>
    <w:rsid w:val="5AED57B9"/>
    <w:rsid w:val="5AED57BB"/>
    <w:rsid w:val="5AED79B9"/>
    <w:rsid w:val="5AEE543B"/>
    <w:rsid w:val="5AEF0CBE"/>
    <w:rsid w:val="5AEF2EBC"/>
    <w:rsid w:val="5AEF6D32"/>
    <w:rsid w:val="5AF041C1"/>
    <w:rsid w:val="5AF102AB"/>
    <w:rsid w:val="5AF11C42"/>
    <w:rsid w:val="5AF276C4"/>
    <w:rsid w:val="5AF35146"/>
    <w:rsid w:val="5AF42BC7"/>
    <w:rsid w:val="5AF44393"/>
    <w:rsid w:val="5AF50649"/>
    <w:rsid w:val="5AF660CA"/>
    <w:rsid w:val="5AF716B9"/>
    <w:rsid w:val="5AF73B4C"/>
    <w:rsid w:val="5AF744DA"/>
    <w:rsid w:val="5AF815CD"/>
    <w:rsid w:val="5AF95A53"/>
    <w:rsid w:val="5AF9704F"/>
    <w:rsid w:val="5AFA4AD0"/>
    <w:rsid w:val="5AFA711E"/>
    <w:rsid w:val="5AFB2552"/>
    <w:rsid w:val="5AFB7D2F"/>
    <w:rsid w:val="5AFD5A55"/>
    <w:rsid w:val="5AFE1C82"/>
    <w:rsid w:val="5AFE34D7"/>
    <w:rsid w:val="5AFF0F58"/>
    <w:rsid w:val="5B0033BF"/>
    <w:rsid w:val="5B01445B"/>
    <w:rsid w:val="5B021EDD"/>
    <w:rsid w:val="5B0311A3"/>
    <w:rsid w:val="5B03795E"/>
    <w:rsid w:val="5B052E61"/>
    <w:rsid w:val="5B076365"/>
    <w:rsid w:val="5B0809A3"/>
    <w:rsid w:val="5B081868"/>
    <w:rsid w:val="5B0920E0"/>
    <w:rsid w:val="5B0950EB"/>
    <w:rsid w:val="5B0A144B"/>
    <w:rsid w:val="5B0A2ABB"/>
    <w:rsid w:val="5B0A2B6C"/>
    <w:rsid w:val="5B0B3659"/>
    <w:rsid w:val="5B0C10BF"/>
    <w:rsid w:val="5B0C6070"/>
    <w:rsid w:val="5B0E1573"/>
    <w:rsid w:val="5B0E5771"/>
    <w:rsid w:val="5B0F11F3"/>
    <w:rsid w:val="5B1024F7"/>
    <w:rsid w:val="5B106C74"/>
    <w:rsid w:val="5B117888"/>
    <w:rsid w:val="5B120427"/>
    <w:rsid w:val="5B121FDF"/>
    <w:rsid w:val="5B122177"/>
    <w:rsid w:val="5B1259FA"/>
    <w:rsid w:val="5B13347C"/>
    <w:rsid w:val="5B140EFE"/>
    <w:rsid w:val="5B14567A"/>
    <w:rsid w:val="5B155711"/>
    <w:rsid w:val="5B15697F"/>
    <w:rsid w:val="5B160B7D"/>
    <w:rsid w:val="5B164401"/>
    <w:rsid w:val="5B171E82"/>
    <w:rsid w:val="5B174492"/>
    <w:rsid w:val="5B1765FF"/>
    <w:rsid w:val="5B184080"/>
    <w:rsid w:val="5B1851F5"/>
    <w:rsid w:val="5B187904"/>
    <w:rsid w:val="5B191B02"/>
    <w:rsid w:val="5B195385"/>
    <w:rsid w:val="5B195A0A"/>
    <w:rsid w:val="5B1A676E"/>
    <w:rsid w:val="5B1A7584"/>
    <w:rsid w:val="5B1B0888"/>
    <w:rsid w:val="5B1C2A87"/>
    <w:rsid w:val="5B1C630A"/>
    <w:rsid w:val="5B1C7B22"/>
    <w:rsid w:val="5B1C7F9F"/>
    <w:rsid w:val="5B1D0508"/>
    <w:rsid w:val="5B1E180D"/>
    <w:rsid w:val="5B1F1C3A"/>
    <w:rsid w:val="5B1F3A0B"/>
    <w:rsid w:val="5B20148D"/>
    <w:rsid w:val="5B204D10"/>
    <w:rsid w:val="5B206F0E"/>
    <w:rsid w:val="5B212792"/>
    <w:rsid w:val="5B220213"/>
    <w:rsid w:val="5B235C95"/>
    <w:rsid w:val="5B237E93"/>
    <w:rsid w:val="5B2432AE"/>
    <w:rsid w:val="5B243716"/>
    <w:rsid w:val="5B245915"/>
    <w:rsid w:val="5B247B83"/>
    <w:rsid w:val="5B251198"/>
    <w:rsid w:val="5B256C20"/>
    <w:rsid w:val="5B265B08"/>
    <w:rsid w:val="5B266C19"/>
    <w:rsid w:val="5B27469B"/>
    <w:rsid w:val="5B287B9E"/>
    <w:rsid w:val="5B2916BE"/>
    <w:rsid w:val="5B2A30A1"/>
    <w:rsid w:val="5B2B0B23"/>
    <w:rsid w:val="5B2B529F"/>
    <w:rsid w:val="5B2C3611"/>
    <w:rsid w:val="5B2C65A4"/>
    <w:rsid w:val="5B2D07A3"/>
    <w:rsid w:val="5B2D4026"/>
    <w:rsid w:val="5B2E6224"/>
    <w:rsid w:val="5B301727"/>
    <w:rsid w:val="5B316E66"/>
    <w:rsid w:val="5B3171A9"/>
    <w:rsid w:val="5B330DB9"/>
    <w:rsid w:val="5B330F7D"/>
    <w:rsid w:val="5B331092"/>
    <w:rsid w:val="5B33135D"/>
    <w:rsid w:val="5B34012D"/>
    <w:rsid w:val="5B3422A2"/>
    <w:rsid w:val="5B3439B1"/>
    <w:rsid w:val="5B351432"/>
    <w:rsid w:val="5B355BAF"/>
    <w:rsid w:val="5B3620C1"/>
    <w:rsid w:val="5B363095"/>
    <w:rsid w:val="5B363630"/>
    <w:rsid w:val="5B3823B7"/>
    <w:rsid w:val="5B384449"/>
    <w:rsid w:val="5B3845B5"/>
    <w:rsid w:val="5B38460D"/>
    <w:rsid w:val="5B394FE8"/>
    <w:rsid w:val="5B397E38"/>
    <w:rsid w:val="5B3B333C"/>
    <w:rsid w:val="5B3C0DBD"/>
    <w:rsid w:val="5B3C2FBB"/>
    <w:rsid w:val="5B3C70FF"/>
    <w:rsid w:val="5B3C72C4"/>
    <w:rsid w:val="5B3D0A3D"/>
    <w:rsid w:val="5B3D683F"/>
    <w:rsid w:val="5B3E13DB"/>
    <w:rsid w:val="5B3E42C0"/>
    <w:rsid w:val="5B3F1217"/>
    <w:rsid w:val="5B3F3F40"/>
    <w:rsid w:val="5B4019C2"/>
    <w:rsid w:val="5B402954"/>
    <w:rsid w:val="5B4077C3"/>
    <w:rsid w:val="5B41332E"/>
    <w:rsid w:val="5B4142B1"/>
    <w:rsid w:val="5B417443"/>
    <w:rsid w:val="5B420748"/>
    <w:rsid w:val="5B423D09"/>
    <w:rsid w:val="5B432946"/>
    <w:rsid w:val="5B432AC3"/>
    <w:rsid w:val="5B4361C9"/>
    <w:rsid w:val="5B443C4B"/>
    <w:rsid w:val="5B445446"/>
    <w:rsid w:val="5B453A98"/>
    <w:rsid w:val="5B455E49"/>
    <w:rsid w:val="5B4638CB"/>
    <w:rsid w:val="5B47134C"/>
    <w:rsid w:val="5B474BD0"/>
    <w:rsid w:val="5B47755D"/>
    <w:rsid w:val="5B4800FC"/>
    <w:rsid w:val="5B487F38"/>
    <w:rsid w:val="5B4900D3"/>
    <w:rsid w:val="5B4A1675"/>
    <w:rsid w:val="5B4A22D1"/>
    <w:rsid w:val="5B4A5B54"/>
    <w:rsid w:val="5B4B35D6"/>
    <w:rsid w:val="5B4B7D53"/>
    <w:rsid w:val="5B4C57D4"/>
    <w:rsid w:val="5B4D3256"/>
    <w:rsid w:val="5B4E0CD7"/>
    <w:rsid w:val="5B4E455A"/>
    <w:rsid w:val="5B4F1FDC"/>
    <w:rsid w:val="5B506443"/>
    <w:rsid w:val="5B507A5E"/>
    <w:rsid w:val="5B5154DF"/>
    <w:rsid w:val="5B51560B"/>
    <w:rsid w:val="5B522F61"/>
    <w:rsid w:val="5B5277F7"/>
    <w:rsid w:val="5B5309E2"/>
    <w:rsid w:val="5B532BE1"/>
    <w:rsid w:val="5B540662"/>
    <w:rsid w:val="5B546464"/>
    <w:rsid w:val="5B555138"/>
    <w:rsid w:val="5B5560E4"/>
    <w:rsid w:val="5B5773E8"/>
    <w:rsid w:val="5B584E6A"/>
    <w:rsid w:val="5B59036D"/>
    <w:rsid w:val="5B5945C5"/>
    <w:rsid w:val="5B5A5D02"/>
    <w:rsid w:val="5B5D6D73"/>
    <w:rsid w:val="5B612747"/>
    <w:rsid w:val="5B61290C"/>
    <w:rsid w:val="5B615779"/>
    <w:rsid w:val="5B6231FB"/>
    <w:rsid w:val="5B6234AA"/>
    <w:rsid w:val="5B644A23"/>
    <w:rsid w:val="5B6466FE"/>
    <w:rsid w:val="5B654180"/>
    <w:rsid w:val="5B692B86"/>
    <w:rsid w:val="5B6A23D1"/>
    <w:rsid w:val="5B6D158C"/>
    <w:rsid w:val="5B6E42E3"/>
    <w:rsid w:val="5B6E700E"/>
    <w:rsid w:val="5B6F0312"/>
    <w:rsid w:val="5B705D94"/>
    <w:rsid w:val="5B723495"/>
    <w:rsid w:val="5B726F99"/>
    <w:rsid w:val="5B736D19"/>
    <w:rsid w:val="5B7377AF"/>
    <w:rsid w:val="5B740512"/>
    <w:rsid w:val="5B74479A"/>
    <w:rsid w:val="5B751A8B"/>
    <w:rsid w:val="5B75221C"/>
    <w:rsid w:val="5B761E9C"/>
    <w:rsid w:val="5B762465"/>
    <w:rsid w:val="5B767C9D"/>
    <w:rsid w:val="5B77791D"/>
    <w:rsid w:val="5B7831A0"/>
    <w:rsid w:val="5B783BA2"/>
    <w:rsid w:val="5B78539F"/>
    <w:rsid w:val="5B792E20"/>
    <w:rsid w:val="5B7966A3"/>
    <w:rsid w:val="5B7976B8"/>
    <w:rsid w:val="5B7C3DA5"/>
    <w:rsid w:val="5B7C6858"/>
    <w:rsid w:val="5B7C7628"/>
    <w:rsid w:val="5B7D50AA"/>
    <w:rsid w:val="5B7D7233"/>
    <w:rsid w:val="5B7E2B2B"/>
    <w:rsid w:val="5B7E72A8"/>
    <w:rsid w:val="5B7E7C0D"/>
    <w:rsid w:val="5B801186"/>
    <w:rsid w:val="5B8027AB"/>
    <w:rsid w:val="5B812819"/>
    <w:rsid w:val="5B813AB0"/>
    <w:rsid w:val="5B821531"/>
    <w:rsid w:val="5B8228C3"/>
    <w:rsid w:val="5B833730"/>
    <w:rsid w:val="5B836FB3"/>
    <w:rsid w:val="5B8449DB"/>
    <w:rsid w:val="5B844A35"/>
    <w:rsid w:val="5B8524B6"/>
    <w:rsid w:val="5B855579"/>
    <w:rsid w:val="5B856361"/>
    <w:rsid w:val="5B8646B4"/>
    <w:rsid w:val="5B866118"/>
    <w:rsid w:val="5B88343B"/>
    <w:rsid w:val="5B887BB7"/>
    <w:rsid w:val="5B8904E1"/>
    <w:rsid w:val="5B890EBC"/>
    <w:rsid w:val="5B8930BB"/>
    <w:rsid w:val="5B8B43BF"/>
    <w:rsid w:val="5B8C1E41"/>
    <w:rsid w:val="5B8C60FC"/>
    <w:rsid w:val="5B8C62B2"/>
    <w:rsid w:val="5B8F4FC4"/>
    <w:rsid w:val="5B902A45"/>
    <w:rsid w:val="5B904E39"/>
    <w:rsid w:val="5B9104C7"/>
    <w:rsid w:val="5B913D4A"/>
    <w:rsid w:val="5B925F49"/>
    <w:rsid w:val="5B9261ED"/>
    <w:rsid w:val="5B93359E"/>
    <w:rsid w:val="5B9339CA"/>
    <w:rsid w:val="5B93724D"/>
    <w:rsid w:val="5B9404C9"/>
    <w:rsid w:val="5B94144C"/>
    <w:rsid w:val="5B944CCF"/>
    <w:rsid w:val="5B956ECD"/>
    <w:rsid w:val="5B9601D2"/>
    <w:rsid w:val="5B961A42"/>
    <w:rsid w:val="5B96494F"/>
    <w:rsid w:val="5B975C54"/>
    <w:rsid w:val="5B98279E"/>
    <w:rsid w:val="5B982FBB"/>
    <w:rsid w:val="5B98317F"/>
    <w:rsid w:val="5B9836D5"/>
    <w:rsid w:val="5B987E52"/>
    <w:rsid w:val="5B9958D3"/>
    <w:rsid w:val="5B9A3355"/>
    <w:rsid w:val="5B9A6BD8"/>
    <w:rsid w:val="5B9B0DD6"/>
    <w:rsid w:val="5B9B465A"/>
    <w:rsid w:val="5B9C6858"/>
    <w:rsid w:val="5B9D11E8"/>
    <w:rsid w:val="5B9D664B"/>
    <w:rsid w:val="5B9D6810"/>
    <w:rsid w:val="5B9D7B5D"/>
    <w:rsid w:val="5B9E55DE"/>
    <w:rsid w:val="5B9E71EA"/>
    <w:rsid w:val="5B9F0927"/>
    <w:rsid w:val="5B9F3060"/>
    <w:rsid w:val="5BA12CE0"/>
    <w:rsid w:val="5BA23FE5"/>
    <w:rsid w:val="5BA33C64"/>
    <w:rsid w:val="5BA43DF3"/>
    <w:rsid w:val="5BA54F69"/>
    <w:rsid w:val="5BA629EB"/>
    <w:rsid w:val="5BA64BE9"/>
    <w:rsid w:val="5BA64DC5"/>
    <w:rsid w:val="5BA6549C"/>
    <w:rsid w:val="5BA7046C"/>
    <w:rsid w:val="5BA800EC"/>
    <w:rsid w:val="5BA85EEE"/>
    <w:rsid w:val="5BA913F1"/>
    <w:rsid w:val="5BA9396F"/>
    <w:rsid w:val="5BAA0022"/>
    <w:rsid w:val="5BAA6E73"/>
    <w:rsid w:val="5BAB0BC1"/>
    <w:rsid w:val="5BAB48F4"/>
    <w:rsid w:val="5BAC159B"/>
    <w:rsid w:val="5BAC73B5"/>
    <w:rsid w:val="5BAD4574"/>
    <w:rsid w:val="5BAD7DF7"/>
    <w:rsid w:val="5BAE1FF5"/>
    <w:rsid w:val="5BAF32FA"/>
    <w:rsid w:val="5BAF7A77"/>
    <w:rsid w:val="5BB12F7A"/>
    <w:rsid w:val="5BB157CA"/>
    <w:rsid w:val="5BB2427F"/>
    <w:rsid w:val="5BB3647D"/>
    <w:rsid w:val="5BB36D43"/>
    <w:rsid w:val="5BB36F08"/>
    <w:rsid w:val="5BB47782"/>
    <w:rsid w:val="5BB55204"/>
    <w:rsid w:val="5BB60E5B"/>
    <w:rsid w:val="5BB62C85"/>
    <w:rsid w:val="5BB65F6A"/>
    <w:rsid w:val="5BB70707"/>
    <w:rsid w:val="5BB90387"/>
    <w:rsid w:val="5BB95E08"/>
    <w:rsid w:val="5BBA388A"/>
    <w:rsid w:val="5BBA3B11"/>
    <w:rsid w:val="5BBB44EB"/>
    <w:rsid w:val="5BBB710D"/>
    <w:rsid w:val="5BBC1352"/>
    <w:rsid w:val="5BBC4B8E"/>
    <w:rsid w:val="5BBD2610"/>
    <w:rsid w:val="5BC0071A"/>
    <w:rsid w:val="5BC11016"/>
    <w:rsid w:val="5BC16A98"/>
    <w:rsid w:val="5BC24519"/>
    <w:rsid w:val="5BC329F6"/>
    <w:rsid w:val="5BC433D0"/>
    <w:rsid w:val="5BC5549E"/>
    <w:rsid w:val="5BC62F1F"/>
    <w:rsid w:val="5BC85EC2"/>
    <w:rsid w:val="5BC86087"/>
    <w:rsid w:val="5BC86423"/>
    <w:rsid w:val="5BC93EA4"/>
    <w:rsid w:val="5BCB73A7"/>
    <w:rsid w:val="5BCC1553"/>
    <w:rsid w:val="5BCC4E29"/>
    <w:rsid w:val="5BCF366A"/>
    <w:rsid w:val="5BCF5DAD"/>
    <w:rsid w:val="5BD04209"/>
    <w:rsid w:val="5BD14DA8"/>
    <w:rsid w:val="5BD26D32"/>
    <w:rsid w:val="5BD424E2"/>
    <w:rsid w:val="5BD57CB7"/>
    <w:rsid w:val="5BD65738"/>
    <w:rsid w:val="5BD731BA"/>
    <w:rsid w:val="5BD7787B"/>
    <w:rsid w:val="5BD80C3B"/>
    <w:rsid w:val="5BD80D74"/>
    <w:rsid w:val="5BD82550"/>
    <w:rsid w:val="5BD844BF"/>
    <w:rsid w:val="5BD930EE"/>
    <w:rsid w:val="5BD9413E"/>
    <w:rsid w:val="5BD966BD"/>
    <w:rsid w:val="5BDA1BC0"/>
    <w:rsid w:val="5BDA3AC8"/>
    <w:rsid w:val="5BDA3C8D"/>
    <w:rsid w:val="5BDA5C69"/>
    <w:rsid w:val="5BDB5443"/>
    <w:rsid w:val="5BDB7642"/>
    <w:rsid w:val="5BDC2EC5"/>
    <w:rsid w:val="5BDC5206"/>
    <w:rsid w:val="5BDD1CCA"/>
    <w:rsid w:val="5BDD2B45"/>
    <w:rsid w:val="5BDD5BE0"/>
    <w:rsid w:val="5BDD5DA4"/>
    <w:rsid w:val="5BDE05C6"/>
    <w:rsid w:val="5BDE63C8"/>
    <w:rsid w:val="5BDF5D95"/>
    <w:rsid w:val="5BE15701"/>
    <w:rsid w:val="5BE15C22"/>
    <w:rsid w:val="5BE16142"/>
    <w:rsid w:val="5BE1734D"/>
    <w:rsid w:val="5BE21435"/>
    <w:rsid w:val="5BE26FCC"/>
    <w:rsid w:val="5BE3004D"/>
    <w:rsid w:val="5BE302D1"/>
    <w:rsid w:val="5BE3427E"/>
    <w:rsid w:val="5BE424D0"/>
    <w:rsid w:val="5BE4336C"/>
    <w:rsid w:val="5BE57F51"/>
    <w:rsid w:val="5BE61256"/>
    <w:rsid w:val="5BE64901"/>
    <w:rsid w:val="5BE659D3"/>
    <w:rsid w:val="5BE67C8A"/>
    <w:rsid w:val="5BE722FE"/>
    <w:rsid w:val="5BE73454"/>
    <w:rsid w:val="5BE7549F"/>
    <w:rsid w:val="5BE75664"/>
    <w:rsid w:val="5BE77AA9"/>
    <w:rsid w:val="5BE80ED6"/>
    <w:rsid w:val="5BE84759"/>
    <w:rsid w:val="5BE921DB"/>
    <w:rsid w:val="5BEC0CF4"/>
    <w:rsid w:val="5BEC315F"/>
    <w:rsid w:val="5BEC78DC"/>
    <w:rsid w:val="5BED16CF"/>
    <w:rsid w:val="5BED535D"/>
    <w:rsid w:val="5BEE226D"/>
    <w:rsid w:val="5BEE2DDF"/>
    <w:rsid w:val="5BEE6662"/>
    <w:rsid w:val="5BEF03FF"/>
    <w:rsid w:val="5BEF0861"/>
    <w:rsid w:val="5BEF2C47"/>
    <w:rsid w:val="5BF037E6"/>
    <w:rsid w:val="5BF079BD"/>
    <w:rsid w:val="5BF13D64"/>
    <w:rsid w:val="5BF141C0"/>
    <w:rsid w:val="5BF175E7"/>
    <w:rsid w:val="5BF25068"/>
    <w:rsid w:val="5BF27267"/>
    <w:rsid w:val="5BF32AEA"/>
    <w:rsid w:val="5BF4056C"/>
    <w:rsid w:val="5BF4276A"/>
    <w:rsid w:val="5BF501EB"/>
    <w:rsid w:val="5BF55FED"/>
    <w:rsid w:val="5BF603EF"/>
    <w:rsid w:val="5BF605B4"/>
    <w:rsid w:val="5BF65C6D"/>
    <w:rsid w:val="5BF714F0"/>
    <w:rsid w:val="5BF92475"/>
    <w:rsid w:val="5BFA4673"/>
    <w:rsid w:val="5BFA7EF6"/>
    <w:rsid w:val="5BFB20F5"/>
    <w:rsid w:val="5BFB3A80"/>
    <w:rsid w:val="5BFC7B76"/>
    <w:rsid w:val="5BFD0E7B"/>
    <w:rsid w:val="5BFD32B2"/>
    <w:rsid w:val="5BFD55F8"/>
    <w:rsid w:val="5BFE2BDC"/>
    <w:rsid w:val="5BFE3079"/>
    <w:rsid w:val="5BFE68FD"/>
    <w:rsid w:val="5BFE7528"/>
    <w:rsid w:val="5BFF0AFB"/>
    <w:rsid w:val="5C013FFE"/>
    <w:rsid w:val="5C021A80"/>
    <w:rsid w:val="5C025303"/>
    <w:rsid w:val="5C032D84"/>
    <w:rsid w:val="5C037501"/>
    <w:rsid w:val="5C042965"/>
    <w:rsid w:val="5C052A04"/>
    <w:rsid w:val="5C056287"/>
    <w:rsid w:val="5C060486"/>
    <w:rsid w:val="5C07178B"/>
    <w:rsid w:val="5C075F07"/>
    <w:rsid w:val="5C082940"/>
    <w:rsid w:val="5C083989"/>
    <w:rsid w:val="5C085457"/>
    <w:rsid w:val="5C08720C"/>
    <w:rsid w:val="5C09140A"/>
    <w:rsid w:val="5C094C8E"/>
    <w:rsid w:val="5C0A270F"/>
    <w:rsid w:val="5C0A490D"/>
    <w:rsid w:val="5C0A6E8C"/>
    <w:rsid w:val="5C0C5C12"/>
    <w:rsid w:val="5C0C7E11"/>
    <w:rsid w:val="5C0D1686"/>
    <w:rsid w:val="5C0D4B2D"/>
    <w:rsid w:val="5C0E2FD3"/>
    <w:rsid w:val="5C0E3314"/>
    <w:rsid w:val="5C0E3D80"/>
    <w:rsid w:val="5C0F0D95"/>
    <w:rsid w:val="5C0F2BFF"/>
    <w:rsid w:val="5C0F2DC3"/>
    <w:rsid w:val="5C106817"/>
    <w:rsid w:val="5C11209A"/>
    <w:rsid w:val="5C11433C"/>
    <w:rsid w:val="5C121D1A"/>
    <w:rsid w:val="5C12559D"/>
    <w:rsid w:val="5C13301F"/>
    <w:rsid w:val="5C1358B5"/>
    <w:rsid w:val="5C13779B"/>
    <w:rsid w:val="5C14628F"/>
    <w:rsid w:val="5C152C9F"/>
    <w:rsid w:val="5C156522"/>
    <w:rsid w:val="5C1679CD"/>
    <w:rsid w:val="5C171A25"/>
    <w:rsid w:val="5C1761A2"/>
    <w:rsid w:val="5C18110A"/>
    <w:rsid w:val="5C1874A6"/>
    <w:rsid w:val="5C1916A5"/>
    <w:rsid w:val="5C194F28"/>
    <w:rsid w:val="5C1B6DE9"/>
    <w:rsid w:val="5C1C3A37"/>
    <w:rsid w:val="5C1C45D6"/>
    <w:rsid w:val="5C1C479A"/>
    <w:rsid w:val="5C1C5EAD"/>
    <w:rsid w:val="5C1C6A7E"/>
    <w:rsid w:val="5C1D00AB"/>
    <w:rsid w:val="5C1D392E"/>
    <w:rsid w:val="5C1D5445"/>
    <w:rsid w:val="5C1F35AE"/>
    <w:rsid w:val="5C1F6E31"/>
    <w:rsid w:val="5C201030"/>
    <w:rsid w:val="5C2048B3"/>
    <w:rsid w:val="5C212334"/>
    <w:rsid w:val="5C216AB1"/>
    <w:rsid w:val="5C224533"/>
    <w:rsid w:val="5C227DB6"/>
    <w:rsid w:val="5C2313A4"/>
    <w:rsid w:val="5C235838"/>
    <w:rsid w:val="5C241F42"/>
    <w:rsid w:val="5C2432B9"/>
    <w:rsid w:val="5C250D3B"/>
    <w:rsid w:val="5C2632F7"/>
    <w:rsid w:val="5C2667BC"/>
    <w:rsid w:val="5C27405A"/>
    <w:rsid w:val="5C282EE9"/>
    <w:rsid w:val="5C291CD9"/>
    <w:rsid w:val="5C291E52"/>
    <w:rsid w:val="5C292008"/>
    <w:rsid w:val="5C297741"/>
    <w:rsid w:val="5C2A1411"/>
    <w:rsid w:val="5C2A1931"/>
    <w:rsid w:val="5C2A51C2"/>
    <w:rsid w:val="5C2B02F9"/>
    <w:rsid w:val="5C2D3BC9"/>
    <w:rsid w:val="5C2E164A"/>
    <w:rsid w:val="5C302BB6"/>
    <w:rsid w:val="5C304B4D"/>
    <w:rsid w:val="5C3125CF"/>
    <w:rsid w:val="5C320050"/>
    <w:rsid w:val="5C343553"/>
    <w:rsid w:val="5C34586C"/>
    <w:rsid w:val="5C350FD5"/>
    <w:rsid w:val="5C366A56"/>
    <w:rsid w:val="5C37035E"/>
    <w:rsid w:val="5C370523"/>
    <w:rsid w:val="5C3744D8"/>
    <w:rsid w:val="5C381F5A"/>
    <w:rsid w:val="5C391A9C"/>
    <w:rsid w:val="5C392AD6"/>
    <w:rsid w:val="5C3931AC"/>
    <w:rsid w:val="5C3979DB"/>
    <w:rsid w:val="5C3A276B"/>
    <w:rsid w:val="5C3A545D"/>
    <w:rsid w:val="5C3B6762"/>
    <w:rsid w:val="5C3C025E"/>
    <w:rsid w:val="5C3C0960"/>
    <w:rsid w:val="5C3C41E3"/>
    <w:rsid w:val="5C3D007D"/>
    <w:rsid w:val="5C3D1C65"/>
    <w:rsid w:val="5C3D4752"/>
    <w:rsid w:val="5C3D63E1"/>
    <w:rsid w:val="5C3E76E6"/>
    <w:rsid w:val="5C3F08AF"/>
    <w:rsid w:val="5C3F18E4"/>
    <w:rsid w:val="5C402BE9"/>
    <w:rsid w:val="5C407366"/>
    <w:rsid w:val="5C41066B"/>
    <w:rsid w:val="5C422869"/>
    <w:rsid w:val="5C4260EC"/>
    <w:rsid w:val="5C427DE2"/>
    <w:rsid w:val="5C4307BC"/>
    <w:rsid w:val="5C430981"/>
    <w:rsid w:val="5C433B6E"/>
    <w:rsid w:val="5C4415EF"/>
    <w:rsid w:val="5C4437EE"/>
    <w:rsid w:val="5C45126F"/>
    <w:rsid w:val="5C451D35"/>
    <w:rsid w:val="5C464AF3"/>
    <w:rsid w:val="5C466CF1"/>
    <w:rsid w:val="5C472574"/>
    <w:rsid w:val="5C476215"/>
    <w:rsid w:val="5C4821F4"/>
    <w:rsid w:val="5C484BB0"/>
    <w:rsid w:val="5C484F48"/>
    <w:rsid w:val="5C487FF6"/>
    <w:rsid w:val="5C495A77"/>
    <w:rsid w:val="5C4A0F7A"/>
    <w:rsid w:val="5C4A6129"/>
    <w:rsid w:val="5C4B6CC8"/>
    <w:rsid w:val="5C4C0BFA"/>
    <w:rsid w:val="5C4C447D"/>
    <w:rsid w:val="5C4D667C"/>
    <w:rsid w:val="5C4E40FD"/>
    <w:rsid w:val="5C4E41DE"/>
    <w:rsid w:val="5C4E7981"/>
    <w:rsid w:val="5C4F1B7F"/>
    <w:rsid w:val="5C502358"/>
    <w:rsid w:val="5C502E84"/>
    <w:rsid w:val="5C507600"/>
    <w:rsid w:val="5C512D32"/>
    <w:rsid w:val="5C526387"/>
    <w:rsid w:val="5C530585"/>
    <w:rsid w:val="5C533E08"/>
    <w:rsid w:val="5C534E4A"/>
    <w:rsid w:val="5C546007"/>
    <w:rsid w:val="5C550BA8"/>
    <w:rsid w:val="5C553A88"/>
    <w:rsid w:val="5C5563C3"/>
    <w:rsid w:val="5C556587"/>
    <w:rsid w:val="5C56150A"/>
    <w:rsid w:val="5C564D8D"/>
    <w:rsid w:val="5C567DFB"/>
    <w:rsid w:val="5C57280E"/>
    <w:rsid w:val="5C584A0D"/>
    <w:rsid w:val="5C591079"/>
    <w:rsid w:val="5C5A34F3"/>
    <w:rsid w:val="5C5A3793"/>
    <w:rsid w:val="5C5B1215"/>
    <w:rsid w:val="5C5B3413"/>
    <w:rsid w:val="5C5C0E94"/>
    <w:rsid w:val="5C5D4718"/>
    <w:rsid w:val="5C5E2199"/>
    <w:rsid w:val="5C5F1E19"/>
    <w:rsid w:val="5C5F7C1B"/>
    <w:rsid w:val="5C606821"/>
    <w:rsid w:val="5C60789B"/>
    <w:rsid w:val="5C61531C"/>
    <w:rsid w:val="5C622D9E"/>
    <w:rsid w:val="5C6340A3"/>
    <w:rsid w:val="5C641B24"/>
    <w:rsid w:val="5C642423"/>
    <w:rsid w:val="5C651D4C"/>
    <w:rsid w:val="5C653C88"/>
    <w:rsid w:val="5C653D22"/>
    <w:rsid w:val="5C6575A6"/>
    <w:rsid w:val="5C6617A4"/>
    <w:rsid w:val="5C66288B"/>
    <w:rsid w:val="5C6735EF"/>
    <w:rsid w:val="5C677226"/>
    <w:rsid w:val="5C6949A3"/>
    <w:rsid w:val="5C695FAC"/>
    <w:rsid w:val="5C6B14AF"/>
    <w:rsid w:val="5C6B5C2C"/>
    <w:rsid w:val="5C6D112F"/>
    <w:rsid w:val="5C6D7659"/>
    <w:rsid w:val="5C6E2434"/>
    <w:rsid w:val="5C6E6BB0"/>
    <w:rsid w:val="5C6F4632"/>
    <w:rsid w:val="5C7020B3"/>
    <w:rsid w:val="5C70230F"/>
    <w:rsid w:val="5C712EAE"/>
    <w:rsid w:val="5C7133B8"/>
    <w:rsid w:val="5C720E3A"/>
    <w:rsid w:val="5C72548C"/>
    <w:rsid w:val="5C7255B7"/>
    <w:rsid w:val="5C730ABA"/>
    <w:rsid w:val="5C733038"/>
    <w:rsid w:val="5C7368BB"/>
    <w:rsid w:val="5C74325C"/>
    <w:rsid w:val="5C74377D"/>
    <w:rsid w:val="5C74653B"/>
    <w:rsid w:val="5C751DBE"/>
    <w:rsid w:val="5C761A3E"/>
    <w:rsid w:val="5C76653E"/>
    <w:rsid w:val="5C767840"/>
    <w:rsid w:val="5C790492"/>
    <w:rsid w:val="5C7907C5"/>
    <w:rsid w:val="5C7929C3"/>
    <w:rsid w:val="5C79652E"/>
    <w:rsid w:val="5C7A0445"/>
    <w:rsid w:val="5C7A3CC8"/>
    <w:rsid w:val="5C7A6246"/>
    <w:rsid w:val="5C7B1749"/>
    <w:rsid w:val="5C7C3148"/>
    <w:rsid w:val="5C7C71CB"/>
    <w:rsid w:val="5C7D13C9"/>
    <w:rsid w:val="5C7D3CE6"/>
    <w:rsid w:val="5C7D4C4C"/>
    <w:rsid w:val="5C7E26CE"/>
    <w:rsid w:val="5C7E46C1"/>
    <w:rsid w:val="5C7F0150"/>
    <w:rsid w:val="5C7F48CC"/>
    <w:rsid w:val="5C80234E"/>
    <w:rsid w:val="5C81491A"/>
    <w:rsid w:val="5C8210D4"/>
    <w:rsid w:val="5C835883"/>
    <w:rsid w:val="5C8408F0"/>
    <w:rsid w:val="5C840D54"/>
    <w:rsid w:val="5C8445D7"/>
    <w:rsid w:val="5C85148E"/>
    <w:rsid w:val="5C852059"/>
    <w:rsid w:val="5C8567D6"/>
    <w:rsid w:val="5C86202D"/>
    <w:rsid w:val="5C864257"/>
    <w:rsid w:val="5C867ADA"/>
    <w:rsid w:val="5C8745A3"/>
    <w:rsid w:val="5C8833E1"/>
    <w:rsid w:val="5C8835A6"/>
    <w:rsid w:val="5C88775A"/>
    <w:rsid w:val="5C890A5F"/>
    <w:rsid w:val="5C894B1F"/>
    <w:rsid w:val="5C8A495A"/>
    <w:rsid w:val="5C8A54F9"/>
    <w:rsid w:val="5C8A64E1"/>
    <w:rsid w:val="5C8B3F62"/>
    <w:rsid w:val="5C8C19E4"/>
    <w:rsid w:val="5C8E4EE7"/>
    <w:rsid w:val="5C8F0D4E"/>
    <w:rsid w:val="5C9003EA"/>
    <w:rsid w:val="5C915E6B"/>
    <w:rsid w:val="5C917EAB"/>
    <w:rsid w:val="5C933840"/>
    <w:rsid w:val="5C9443DE"/>
    <w:rsid w:val="5C944872"/>
    <w:rsid w:val="5C954DB9"/>
    <w:rsid w:val="5C954F7D"/>
    <w:rsid w:val="5C967D75"/>
    <w:rsid w:val="5C9757F6"/>
    <w:rsid w:val="5C976ED0"/>
    <w:rsid w:val="5C977095"/>
    <w:rsid w:val="5C99060D"/>
    <w:rsid w:val="5C9A11AC"/>
    <w:rsid w:val="5C9A677B"/>
    <w:rsid w:val="5C9B41FC"/>
    <w:rsid w:val="5C9C1C7E"/>
    <w:rsid w:val="5C9D7700"/>
    <w:rsid w:val="5C9E3C9E"/>
    <w:rsid w:val="5C9E5181"/>
    <w:rsid w:val="5C9F4678"/>
    <w:rsid w:val="5CA05217"/>
    <w:rsid w:val="5CA16106"/>
    <w:rsid w:val="5CA23B87"/>
    <w:rsid w:val="5CA26790"/>
    <w:rsid w:val="5CA26954"/>
    <w:rsid w:val="5CA27C60"/>
    <w:rsid w:val="5CA34E8C"/>
    <w:rsid w:val="5CA4290E"/>
    <w:rsid w:val="5CA4708A"/>
    <w:rsid w:val="5CA5038F"/>
    <w:rsid w:val="5CA5069D"/>
    <w:rsid w:val="5CA54B0C"/>
    <w:rsid w:val="5CA65E11"/>
    <w:rsid w:val="5CA66F38"/>
    <w:rsid w:val="5CA7000F"/>
    <w:rsid w:val="5CA73892"/>
    <w:rsid w:val="5CA81314"/>
    <w:rsid w:val="5CA86DE2"/>
    <w:rsid w:val="5CA93512"/>
    <w:rsid w:val="5CA93F38"/>
    <w:rsid w:val="5CA96C01"/>
    <w:rsid w:val="5CA96D95"/>
    <w:rsid w:val="5CAB4497"/>
    <w:rsid w:val="5CAC1F18"/>
    <w:rsid w:val="5CAC7D1A"/>
    <w:rsid w:val="5CAD1D45"/>
    <w:rsid w:val="5CAD5C12"/>
    <w:rsid w:val="5CAD799A"/>
    <w:rsid w:val="5CAE5164"/>
    <w:rsid w:val="5CAE541B"/>
    <w:rsid w:val="5CAE7B57"/>
    <w:rsid w:val="5CAF0C9F"/>
    <w:rsid w:val="5CAF2E9D"/>
    <w:rsid w:val="5CB00B41"/>
    <w:rsid w:val="5CB06720"/>
    <w:rsid w:val="5CB116E0"/>
    <w:rsid w:val="5CB118A4"/>
    <w:rsid w:val="5CB141A2"/>
    <w:rsid w:val="5CB163A0"/>
    <w:rsid w:val="5CB21C23"/>
    <w:rsid w:val="5CB318A3"/>
    <w:rsid w:val="5CB35126"/>
    <w:rsid w:val="5CB376A5"/>
    <w:rsid w:val="5CB42BA8"/>
    <w:rsid w:val="5CB54DA6"/>
    <w:rsid w:val="5CB62828"/>
    <w:rsid w:val="5CB65AD3"/>
    <w:rsid w:val="5CB702A9"/>
    <w:rsid w:val="5CB73B2D"/>
    <w:rsid w:val="5CB762E9"/>
    <w:rsid w:val="5CB764AD"/>
    <w:rsid w:val="5CB937AD"/>
    <w:rsid w:val="5CB97030"/>
    <w:rsid w:val="5CBA4AB1"/>
    <w:rsid w:val="5CBB2533"/>
    <w:rsid w:val="5CBC1B3E"/>
    <w:rsid w:val="5CBC7FB4"/>
    <w:rsid w:val="5CBD5A36"/>
    <w:rsid w:val="5CBE7C34"/>
    <w:rsid w:val="5CBF56B6"/>
    <w:rsid w:val="5CC03137"/>
    <w:rsid w:val="5CC069BB"/>
    <w:rsid w:val="5CC21EBE"/>
    <w:rsid w:val="5CC340BC"/>
    <w:rsid w:val="5CC3793F"/>
    <w:rsid w:val="5CC453C1"/>
    <w:rsid w:val="5CC475BF"/>
    <w:rsid w:val="5CC55041"/>
    <w:rsid w:val="5CC613FD"/>
    <w:rsid w:val="5CC71DD7"/>
    <w:rsid w:val="5CC71F9C"/>
    <w:rsid w:val="5CC76345"/>
    <w:rsid w:val="5CC85FC5"/>
    <w:rsid w:val="5CC91849"/>
    <w:rsid w:val="5CC93A47"/>
    <w:rsid w:val="5CCA3EEF"/>
    <w:rsid w:val="5CCB218A"/>
    <w:rsid w:val="5CCB27CD"/>
    <w:rsid w:val="5CCC49CC"/>
    <w:rsid w:val="5CCD244D"/>
    <w:rsid w:val="5CCE3752"/>
    <w:rsid w:val="5CCE7ECF"/>
    <w:rsid w:val="5CCF5950"/>
    <w:rsid w:val="5CD033D2"/>
    <w:rsid w:val="5CD06C55"/>
    <w:rsid w:val="5CD146D7"/>
    <w:rsid w:val="5CD268D5"/>
    <w:rsid w:val="5CD41DD8"/>
    <w:rsid w:val="5CD4565B"/>
    <w:rsid w:val="5CD530DD"/>
    <w:rsid w:val="5CD57859"/>
    <w:rsid w:val="5CD64D27"/>
    <w:rsid w:val="5CD652DB"/>
    <w:rsid w:val="5CD75A8B"/>
    <w:rsid w:val="5CD807DE"/>
    <w:rsid w:val="5CD84061"/>
    <w:rsid w:val="5CD858CA"/>
    <w:rsid w:val="5CD91AE3"/>
    <w:rsid w:val="5CD94E88"/>
    <w:rsid w:val="5CD96260"/>
    <w:rsid w:val="5CDA34E4"/>
    <w:rsid w:val="5CDA7564"/>
    <w:rsid w:val="5CDB111B"/>
    <w:rsid w:val="5CDB1763"/>
    <w:rsid w:val="5CDC4C66"/>
    <w:rsid w:val="5CDD04E9"/>
    <w:rsid w:val="5CDD26E7"/>
    <w:rsid w:val="5CDD3C76"/>
    <w:rsid w:val="5CDF39EC"/>
    <w:rsid w:val="5CDF3C0D"/>
    <w:rsid w:val="5CE045E7"/>
    <w:rsid w:val="5CE110EE"/>
    <w:rsid w:val="5CE1534A"/>
    <w:rsid w:val="5CE24971"/>
    <w:rsid w:val="5CE26B6F"/>
    <w:rsid w:val="5CE345F1"/>
    <w:rsid w:val="5CE37291"/>
    <w:rsid w:val="5CE51F99"/>
    <w:rsid w:val="5CE53377"/>
    <w:rsid w:val="5CE57E3C"/>
    <w:rsid w:val="5CE65575"/>
    <w:rsid w:val="5CE81F53"/>
    <w:rsid w:val="5CE82AF2"/>
    <w:rsid w:val="5CE91D7D"/>
    <w:rsid w:val="5CE964FA"/>
    <w:rsid w:val="5CEA3F7C"/>
    <w:rsid w:val="5CEA406B"/>
    <w:rsid w:val="5CEB5280"/>
    <w:rsid w:val="5CEC2D02"/>
    <w:rsid w:val="5CED4F00"/>
    <w:rsid w:val="5CEE6205"/>
    <w:rsid w:val="5CEF3C87"/>
    <w:rsid w:val="5CF01708"/>
    <w:rsid w:val="5CF10C74"/>
    <w:rsid w:val="5CF21813"/>
    <w:rsid w:val="5CF4010E"/>
    <w:rsid w:val="5CF53766"/>
    <w:rsid w:val="5CF55B90"/>
    <w:rsid w:val="5CF57128"/>
    <w:rsid w:val="5CF63611"/>
    <w:rsid w:val="5CF71033"/>
    <w:rsid w:val="5CF71093"/>
    <w:rsid w:val="5CF77F7E"/>
    <w:rsid w:val="5CF8641C"/>
    <w:rsid w:val="5CF86B15"/>
    <w:rsid w:val="5CF94596"/>
    <w:rsid w:val="5CFA2018"/>
    <w:rsid w:val="5CFA7995"/>
    <w:rsid w:val="5CFA7B59"/>
    <w:rsid w:val="5CFB06F8"/>
    <w:rsid w:val="5CFB7A99"/>
    <w:rsid w:val="5CFC10D2"/>
    <w:rsid w:val="5CFC2F9C"/>
    <w:rsid w:val="5CFD3482"/>
    <w:rsid w:val="5CFE08AF"/>
    <w:rsid w:val="5CFE649F"/>
    <w:rsid w:val="5D0019A2"/>
    <w:rsid w:val="5D0403A9"/>
    <w:rsid w:val="5D043BDE"/>
    <w:rsid w:val="5D05319C"/>
    <w:rsid w:val="5D053352"/>
    <w:rsid w:val="5D055E2A"/>
    <w:rsid w:val="5D057FB8"/>
    <w:rsid w:val="5D0607CD"/>
    <w:rsid w:val="5D074BB1"/>
    <w:rsid w:val="5D081F0B"/>
    <w:rsid w:val="5D082632"/>
    <w:rsid w:val="5D092AA9"/>
    <w:rsid w:val="5D094830"/>
    <w:rsid w:val="5D0A22B2"/>
    <w:rsid w:val="5D0A3648"/>
    <w:rsid w:val="5D0C4BC1"/>
    <w:rsid w:val="5D0C57B5"/>
    <w:rsid w:val="5D0D3237"/>
    <w:rsid w:val="5D0E0CB8"/>
    <w:rsid w:val="5D0E453B"/>
    <w:rsid w:val="5D0F1FBD"/>
    <w:rsid w:val="5D0F4E8E"/>
    <w:rsid w:val="5D0F673A"/>
    <w:rsid w:val="5D1041BB"/>
    <w:rsid w:val="5D107877"/>
    <w:rsid w:val="5D107A3F"/>
    <w:rsid w:val="5D11008D"/>
    <w:rsid w:val="5D111C3D"/>
    <w:rsid w:val="5D1154C0"/>
    <w:rsid w:val="5D1217CA"/>
    <w:rsid w:val="5D122F42"/>
    <w:rsid w:val="5D12464E"/>
    <w:rsid w:val="5D1321A4"/>
    <w:rsid w:val="5D135140"/>
    <w:rsid w:val="5D136726"/>
    <w:rsid w:val="5D142BC1"/>
    <w:rsid w:val="5D1452A3"/>
    <w:rsid w:val="5D153EC6"/>
    <w:rsid w:val="5D1560C5"/>
    <w:rsid w:val="5D161948"/>
    <w:rsid w:val="5D1642BC"/>
    <w:rsid w:val="5D1715C8"/>
    <w:rsid w:val="5D172210"/>
    <w:rsid w:val="5D184E4B"/>
    <w:rsid w:val="5D1859F9"/>
    <w:rsid w:val="5D187049"/>
    <w:rsid w:val="5D1928CC"/>
    <w:rsid w:val="5D1A254C"/>
    <w:rsid w:val="5D1A6F72"/>
    <w:rsid w:val="5D1B5DD0"/>
    <w:rsid w:val="5D1B794C"/>
    <w:rsid w:val="5D1B7FCE"/>
    <w:rsid w:val="5D1D34D1"/>
    <w:rsid w:val="5D1D6D54"/>
    <w:rsid w:val="5D1E0F52"/>
    <w:rsid w:val="5D1F2603"/>
    <w:rsid w:val="5D1F27C7"/>
    <w:rsid w:val="5D1F69D4"/>
    <w:rsid w:val="5D207CD9"/>
    <w:rsid w:val="5D21082D"/>
    <w:rsid w:val="5D210B98"/>
    <w:rsid w:val="5D211ED7"/>
    <w:rsid w:val="5D213B7C"/>
    <w:rsid w:val="5D2148DF"/>
    <w:rsid w:val="5D227959"/>
    <w:rsid w:val="5D230C5E"/>
    <w:rsid w:val="5D242E5C"/>
    <w:rsid w:val="5D2508DD"/>
    <w:rsid w:val="5D254161"/>
    <w:rsid w:val="5D26635F"/>
    <w:rsid w:val="5D273DE0"/>
    <w:rsid w:val="5D2814E8"/>
    <w:rsid w:val="5D292087"/>
    <w:rsid w:val="5D292B67"/>
    <w:rsid w:val="5D2A05E8"/>
    <w:rsid w:val="5D2B2C34"/>
    <w:rsid w:val="5D2B343B"/>
    <w:rsid w:val="5D2C0268"/>
    <w:rsid w:val="5D2C5CEA"/>
    <w:rsid w:val="5D2D156D"/>
    <w:rsid w:val="5D2D358B"/>
    <w:rsid w:val="5D2D376B"/>
    <w:rsid w:val="5D2D4B78"/>
    <w:rsid w:val="5D2E11ED"/>
    <w:rsid w:val="5D2F4A70"/>
    <w:rsid w:val="5D2F6C6E"/>
    <w:rsid w:val="5D3024F2"/>
    <w:rsid w:val="5D3046F0"/>
    <w:rsid w:val="5D310209"/>
    <w:rsid w:val="5D311EF2"/>
    <w:rsid w:val="5D3214B0"/>
    <w:rsid w:val="5D333476"/>
    <w:rsid w:val="5D335675"/>
    <w:rsid w:val="5D342320"/>
    <w:rsid w:val="5D352EBF"/>
    <w:rsid w:val="5D3543FB"/>
    <w:rsid w:val="5D361E7D"/>
    <w:rsid w:val="5D3665F9"/>
    <w:rsid w:val="5D366A50"/>
    <w:rsid w:val="5D37407B"/>
    <w:rsid w:val="5D385380"/>
    <w:rsid w:val="5D39757E"/>
    <w:rsid w:val="5D3B2A81"/>
    <w:rsid w:val="5D3B6304"/>
    <w:rsid w:val="5D3C04A3"/>
    <w:rsid w:val="5D3C3D86"/>
    <w:rsid w:val="5D3D1807"/>
    <w:rsid w:val="5D3D5F84"/>
    <w:rsid w:val="5D3E1BE0"/>
    <w:rsid w:val="5D3E3A06"/>
    <w:rsid w:val="5D3E7289"/>
    <w:rsid w:val="5D3F1487"/>
    <w:rsid w:val="5D3F4BF0"/>
    <w:rsid w:val="5D3F4D0A"/>
    <w:rsid w:val="5D406F09"/>
    <w:rsid w:val="5D41020E"/>
    <w:rsid w:val="5D413B33"/>
    <w:rsid w:val="5D41498A"/>
    <w:rsid w:val="5D42240C"/>
    <w:rsid w:val="5D433711"/>
    <w:rsid w:val="5D437E8D"/>
    <w:rsid w:val="5D441192"/>
    <w:rsid w:val="5D443390"/>
    <w:rsid w:val="5D44590F"/>
    <w:rsid w:val="5D445C4B"/>
    <w:rsid w:val="5D450E12"/>
    <w:rsid w:val="5D456C14"/>
    <w:rsid w:val="5D464695"/>
    <w:rsid w:val="5D466894"/>
    <w:rsid w:val="5D474315"/>
    <w:rsid w:val="5D481D97"/>
    <w:rsid w:val="5D485594"/>
    <w:rsid w:val="5D487B98"/>
    <w:rsid w:val="5D497818"/>
    <w:rsid w:val="5D4A1E7A"/>
    <w:rsid w:val="5D4A2BDD"/>
    <w:rsid w:val="5D4A309B"/>
    <w:rsid w:val="5D4B0B1D"/>
    <w:rsid w:val="5D4B2D1B"/>
    <w:rsid w:val="5D4C079D"/>
    <w:rsid w:val="5D4C3F91"/>
    <w:rsid w:val="5D4C4020"/>
    <w:rsid w:val="5D4D1AA2"/>
    <w:rsid w:val="5D4D621E"/>
    <w:rsid w:val="5D4E698B"/>
    <w:rsid w:val="5D4E7523"/>
    <w:rsid w:val="5D4F1722"/>
    <w:rsid w:val="5D4F4FA5"/>
    <w:rsid w:val="5D502A26"/>
    <w:rsid w:val="5D5104A8"/>
    <w:rsid w:val="5D514C25"/>
    <w:rsid w:val="5D5226A6"/>
    <w:rsid w:val="5D525F29"/>
    <w:rsid w:val="5D530128"/>
    <w:rsid w:val="5D545BA9"/>
    <w:rsid w:val="5D55249C"/>
    <w:rsid w:val="5D556EAE"/>
    <w:rsid w:val="5D563694"/>
    <w:rsid w:val="5D564930"/>
    <w:rsid w:val="5D5723B1"/>
    <w:rsid w:val="5D5743EF"/>
    <w:rsid w:val="5D5947CB"/>
    <w:rsid w:val="5D5A3336"/>
    <w:rsid w:val="5D5B20CB"/>
    <w:rsid w:val="5D5B70A6"/>
    <w:rsid w:val="5D5D42BA"/>
    <w:rsid w:val="5D5E1D3C"/>
    <w:rsid w:val="5D5F1B97"/>
    <w:rsid w:val="5D5F77BE"/>
    <w:rsid w:val="5D602736"/>
    <w:rsid w:val="5D60523F"/>
    <w:rsid w:val="5D612CC1"/>
    <w:rsid w:val="5D620742"/>
    <w:rsid w:val="5D6361C4"/>
    <w:rsid w:val="5D6416C7"/>
    <w:rsid w:val="5D643C45"/>
    <w:rsid w:val="5D6567A1"/>
    <w:rsid w:val="5D67264C"/>
    <w:rsid w:val="5D677EDE"/>
    <w:rsid w:val="5D691457"/>
    <w:rsid w:val="5D69549F"/>
    <w:rsid w:val="5D695B4F"/>
    <w:rsid w:val="5D6A35D0"/>
    <w:rsid w:val="5D6A401C"/>
    <w:rsid w:val="5D6B2B94"/>
    <w:rsid w:val="5D6B40DD"/>
    <w:rsid w:val="5D6C6AD3"/>
    <w:rsid w:val="5D6D3F49"/>
    <w:rsid w:val="5D6E585A"/>
    <w:rsid w:val="5D6F32DB"/>
    <w:rsid w:val="5D6F5686"/>
    <w:rsid w:val="5D6F7A58"/>
    <w:rsid w:val="5D700D5D"/>
    <w:rsid w:val="5D7054D9"/>
    <w:rsid w:val="5D716BFF"/>
    <w:rsid w:val="5D716DC3"/>
    <w:rsid w:val="5D7209DD"/>
    <w:rsid w:val="5D724260"/>
    <w:rsid w:val="5D731CE1"/>
    <w:rsid w:val="5D7418B5"/>
    <w:rsid w:val="5D743EE0"/>
    <w:rsid w:val="5D757C05"/>
    <w:rsid w:val="5D7706E8"/>
    <w:rsid w:val="5D773808"/>
    <w:rsid w:val="5D777911"/>
    <w:rsid w:val="5D793BEB"/>
    <w:rsid w:val="5D7967F9"/>
    <w:rsid w:val="5D7A166C"/>
    <w:rsid w:val="5D7A5920"/>
    <w:rsid w:val="5D7A5AE4"/>
    <w:rsid w:val="5D7B64BE"/>
    <w:rsid w:val="5D7B70EE"/>
    <w:rsid w:val="5D7C12EC"/>
    <w:rsid w:val="5D7C2D4E"/>
    <w:rsid w:val="5D7C33B3"/>
    <w:rsid w:val="5D7C705D"/>
    <w:rsid w:val="5D7D25F1"/>
    <w:rsid w:val="5D7D6D6E"/>
    <w:rsid w:val="5D7D7A37"/>
    <w:rsid w:val="5D7E0072"/>
    <w:rsid w:val="5D7E2271"/>
    <w:rsid w:val="5D7F1174"/>
    <w:rsid w:val="5D7F1D13"/>
    <w:rsid w:val="5D7F5AF4"/>
    <w:rsid w:val="5D7F7CF2"/>
    <w:rsid w:val="5D801B4F"/>
    <w:rsid w:val="5D803576"/>
    <w:rsid w:val="5D805774"/>
    <w:rsid w:val="5D8059E4"/>
    <w:rsid w:val="5D810FF7"/>
    <w:rsid w:val="5D8131F5"/>
    <w:rsid w:val="5D815CBF"/>
    <w:rsid w:val="5D823E2B"/>
    <w:rsid w:val="5D826A79"/>
    <w:rsid w:val="5D8344FA"/>
    <w:rsid w:val="5D8451DF"/>
    <w:rsid w:val="5D851BFC"/>
    <w:rsid w:val="5D855441"/>
    <w:rsid w:val="5D85547F"/>
    <w:rsid w:val="5D862F00"/>
    <w:rsid w:val="5D870900"/>
    <w:rsid w:val="5D870982"/>
    <w:rsid w:val="5D8750FF"/>
    <w:rsid w:val="5D8774BB"/>
    <w:rsid w:val="5D882B80"/>
    <w:rsid w:val="5D886403"/>
    <w:rsid w:val="5D890602"/>
    <w:rsid w:val="5D893E85"/>
    <w:rsid w:val="5D8A1907"/>
    <w:rsid w:val="5D8A6083"/>
    <w:rsid w:val="5D8C1586"/>
    <w:rsid w:val="5D8D288B"/>
    <w:rsid w:val="5D8D3526"/>
    <w:rsid w:val="5D8E030D"/>
    <w:rsid w:val="5D8F250B"/>
    <w:rsid w:val="5D8F5D8E"/>
    <w:rsid w:val="5D903810"/>
    <w:rsid w:val="5D911291"/>
    <w:rsid w:val="5D915A0E"/>
    <w:rsid w:val="5D923490"/>
    <w:rsid w:val="5D926D13"/>
    <w:rsid w:val="5D934795"/>
    <w:rsid w:val="5D951E96"/>
    <w:rsid w:val="5D957C98"/>
    <w:rsid w:val="5D962247"/>
    <w:rsid w:val="5D962F27"/>
    <w:rsid w:val="5D967917"/>
    <w:rsid w:val="5D971FC5"/>
    <w:rsid w:val="5D972FAA"/>
    <w:rsid w:val="5D980C1C"/>
    <w:rsid w:val="5D982E1B"/>
    <w:rsid w:val="5D994523"/>
    <w:rsid w:val="5D99669E"/>
    <w:rsid w:val="5D9A4EFD"/>
    <w:rsid w:val="5D9C1821"/>
    <w:rsid w:val="5D9C7622"/>
    <w:rsid w:val="5D9D79EF"/>
    <w:rsid w:val="5D9E058D"/>
    <w:rsid w:val="5D9E05A7"/>
    <w:rsid w:val="5D9E4D24"/>
    <w:rsid w:val="5D9F4B8A"/>
    <w:rsid w:val="5D9F6029"/>
    <w:rsid w:val="5DA00227"/>
    <w:rsid w:val="5DA03AAA"/>
    <w:rsid w:val="5DA221A8"/>
    <w:rsid w:val="5DA2372A"/>
    <w:rsid w:val="5DA26FAD"/>
    <w:rsid w:val="5DA3771A"/>
    <w:rsid w:val="5DA424B0"/>
    <w:rsid w:val="5DA45399"/>
    <w:rsid w:val="5DA546AF"/>
    <w:rsid w:val="5DA5535B"/>
    <w:rsid w:val="5DA57F32"/>
    <w:rsid w:val="5DA65D35"/>
    <w:rsid w:val="5DA768D4"/>
    <w:rsid w:val="5DA77BB2"/>
    <w:rsid w:val="5DA85633"/>
    <w:rsid w:val="5DA930B5"/>
    <w:rsid w:val="5DAA13C6"/>
    <w:rsid w:val="5DAB2129"/>
    <w:rsid w:val="5DAB65B8"/>
    <w:rsid w:val="5DAC403A"/>
    <w:rsid w:val="5DAD1ABB"/>
    <w:rsid w:val="5DAD34DD"/>
    <w:rsid w:val="5DAD533E"/>
    <w:rsid w:val="5DAD753D"/>
    <w:rsid w:val="5DAE407C"/>
    <w:rsid w:val="5DAF4A56"/>
    <w:rsid w:val="5DB004C1"/>
    <w:rsid w:val="5DB062C3"/>
    <w:rsid w:val="5DB13D45"/>
    <w:rsid w:val="5DB15F43"/>
    <w:rsid w:val="5DB26D32"/>
    <w:rsid w:val="5DB31446"/>
    <w:rsid w:val="5DB35922"/>
    <w:rsid w:val="5DB37248"/>
    <w:rsid w:val="5DB402AB"/>
    <w:rsid w:val="5DB42C29"/>
    <w:rsid w:val="5DB46EC8"/>
    <w:rsid w:val="5DB623CB"/>
    <w:rsid w:val="5DB736CF"/>
    <w:rsid w:val="5DB74439"/>
    <w:rsid w:val="5DB77E4C"/>
    <w:rsid w:val="5DB82D9D"/>
    <w:rsid w:val="5DB8393B"/>
    <w:rsid w:val="5DB9334F"/>
    <w:rsid w:val="5DB96BD3"/>
    <w:rsid w:val="5DBA0DD1"/>
    <w:rsid w:val="5DBA4654"/>
    <w:rsid w:val="5DBA5079"/>
    <w:rsid w:val="5DBC642D"/>
    <w:rsid w:val="5DBC65F2"/>
    <w:rsid w:val="5DBD55D9"/>
    <w:rsid w:val="5DBE305A"/>
    <w:rsid w:val="5DBE7B6A"/>
    <w:rsid w:val="5DBF0ADC"/>
    <w:rsid w:val="5DC21C7D"/>
    <w:rsid w:val="5DC307FA"/>
    <w:rsid w:val="5DC30D1A"/>
    <w:rsid w:val="5DC331FB"/>
    <w:rsid w:val="5DC529E5"/>
    <w:rsid w:val="5DC54774"/>
    <w:rsid w:val="5DC65EB1"/>
    <w:rsid w:val="5DC8396A"/>
    <w:rsid w:val="5DCB137D"/>
    <w:rsid w:val="5DCB1542"/>
    <w:rsid w:val="5DCD5873"/>
    <w:rsid w:val="5DCE3659"/>
    <w:rsid w:val="5DCF07F9"/>
    <w:rsid w:val="5DCF0D76"/>
    <w:rsid w:val="5DD03D84"/>
    <w:rsid w:val="5DD0497B"/>
    <w:rsid w:val="5DD12FD7"/>
    <w:rsid w:val="5DD13A18"/>
    <w:rsid w:val="5DD155AC"/>
    <w:rsid w:val="5DD21CFB"/>
    <w:rsid w:val="5DD22C6C"/>
    <w:rsid w:val="5DD451FE"/>
    <w:rsid w:val="5DD50A81"/>
    <w:rsid w:val="5DD52C7F"/>
    <w:rsid w:val="5DD56503"/>
    <w:rsid w:val="5DD63F84"/>
    <w:rsid w:val="5DD71A06"/>
    <w:rsid w:val="5DD7237A"/>
    <w:rsid w:val="5DDA298A"/>
    <w:rsid w:val="5DDB040C"/>
    <w:rsid w:val="5DDB4E6C"/>
    <w:rsid w:val="5DDC260A"/>
    <w:rsid w:val="5DDC5A0A"/>
    <w:rsid w:val="5DDD008C"/>
    <w:rsid w:val="5DDD390F"/>
    <w:rsid w:val="5DDD7D4F"/>
    <w:rsid w:val="5DDE6F83"/>
    <w:rsid w:val="5DDE730D"/>
    <w:rsid w:val="5DDE74C3"/>
    <w:rsid w:val="5DDF358F"/>
    <w:rsid w:val="5DDF5B1F"/>
    <w:rsid w:val="5DDF6E12"/>
    <w:rsid w:val="5DE0125F"/>
    <w:rsid w:val="5DE227D8"/>
    <w:rsid w:val="5DE27D97"/>
    <w:rsid w:val="5DE331B2"/>
    <w:rsid w:val="5DE35818"/>
    <w:rsid w:val="5DE43D51"/>
    <w:rsid w:val="5DE47A17"/>
    <w:rsid w:val="5DE50D1C"/>
    <w:rsid w:val="5DE6099B"/>
    <w:rsid w:val="5DE62F1A"/>
    <w:rsid w:val="5DE6679D"/>
    <w:rsid w:val="5DE7641D"/>
    <w:rsid w:val="5DE83E9E"/>
    <w:rsid w:val="5DE91920"/>
    <w:rsid w:val="5DE97722"/>
    <w:rsid w:val="5DEA51A3"/>
    <w:rsid w:val="5DEB4E23"/>
    <w:rsid w:val="5DEC06A6"/>
    <w:rsid w:val="5DEC28A5"/>
    <w:rsid w:val="5DED0326"/>
    <w:rsid w:val="5DED6128"/>
    <w:rsid w:val="5DEE3BA9"/>
    <w:rsid w:val="5DEF3FEB"/>
    <w:rsid w:val="5DEF70AD"/>
    <w:rsid w:val="5DF04752"/>
    <w:rsid w:val="5DF04B2E"/>
    <w:rsid w:val="5DF04D4E"/>
    <w:rsid w:val="5DF125B0"/>
    <w:rsid w:val="5DF15728"/>
    <w:rsid w:val="5DF16D2C"/>
    <w:rsid w:val="5DF20031"/>
    <w:rsid w:val="5DF213F1"/>
    <w:rsid w:val="5DF32230"/>
    <w:rsid w:val="5DF35AB3"/>
    <w:rsid w:val="5DF36E65"/>
    <w:rsid w:val="5DF43534"/>
    <w:rsid w:val="5DF503DE"/>
    <w:rsid w:val="5DF55733"/>
    <w:rsid w:val="5DF64FF0"/>
    <w:rsid w:val="5DF66A37"/>
    <w:rsid w:val="5DF82331"/>
    <w:rsid w:val="5DF824F6"/>
    <w:rsid w:val="5DF866B7"/>
    <w:rsid w:val="5DF94139"/>
    <w:rsid w:val="5DFA543E"/>
    <w:rsid w:val="5DFB2EBF"/>
    <w:rsid w:val="5DFB447D"/>
    <w:rsid w:val="5DFB763C"/>
    <w:rsid w:val="5DFC50BD"/>
    <w:rsid w:val="5DFD63C2"/>
    <w:rsid w:val="5DFE3E44"/>
    <w:rsid w:val="5DFE6042"/>
    <w:rsid w:val="5E001545"/>
    <w:rsid w:val="5E016FC7"/>
    <w:rsid w:val="5E021BF1"/>
    <w:rsid w:val="5E02284A"/>
    <w:rsid w:val="5E0302CC"/>
    <w:rsid w:val="5E0324CA"/>
    <w:rsid w:val="5E04316A"/>
    <w:rsid w:val="5E045D4D"/>
    <w:rsid w:val="5E0537CF"/>
    <w:rsid w:val="5E0559CD"/>
    <w:rsid w:val="5E061250"/>
    <w:rsid w:val="5E066CD2"/>
    <w:rsid w:val="5E070ED0"/>
    <w:rsid w:val="5E074753"/>
    <w:rsid w:val="5E075281"/>
    <w:rsid w:val="5E085E20"/>
    <w:rsid w:val="5E086952"/>
    <w:rsid w:val="5E0969BF"/>
    <w:rsid w:val="5E097C56"/>
    <w:rsid w:val="5E0A56D8"/>
    <w:rsid w:val="5E0A57D7"/>
    <w:rsid w:val="5E0A5EAD"/>
    <w:rsid w:val="5E0B0AD6"/>
    <w:rsid w:val="5E0B78D6"/>
    <w:rsid w:val="5E0C0BDB"/>
    <w:rsid w:val="5E0C5358"/>
    <w:rsid w:val="5E0D204F"/>
    <w:rsid w:val="5E0D2DD9"/>
    <w:rsid w:val="5E0D665D"/>
    <w:rsid w:val="5E105B43"/>
    <w:rsid w:val="5E1075E1"/>
    <w:rsid w:val="5E115063"/>
    <w:rsid w:val="5E122AE4"/>
    <w:rsid w:val="5E127261"/>
    <w:rsid w:val="5E130566"/>
    <w:rsid w:val="5E134CE3"/>
    <w:rsid w:val="5E1501E6"/>
    <w:rsid w:val="5E153A69"/>
    <w:rsid w:val="5E160396"/>
    <w:rsid w:val="5E160F34"/>
    <w:rsid w:val="5E1636E9"/>
    <w:rsid w:val="5E17116A"/>
    <w:rsid w:val="5E176F6C"/>
    <w:rsid w:val="5E1849EE"/>
    <w:rsid w:val="5E186BEC"/>
    <w:rsid w:val="5E19304C"/>
    <w:rsid w:val="5E19466D"/>
    <w:rsid w:val="5E1A7EF1"/>
    <w:rsid w:val="5E1B5972"/>
    <w:rsid w:val="5E1B7B71"/>
    <w:rsid w:val="5E1C33F4"/>
    <w:rsid w:val="5E1C4F9F"/>
    <w:rsid w:val="5E1C55F2"/>
    <w:rsid w:val="5E1E6518"/>
    <w:rsid w:val="5E1E68F7"/>
    <w:rsid w:val="5E1F1DFA"/>
    <w:rsid w:val="5E1F70B7"/>
    <w:rsid w:val="5E20787C"/>
    <w:rsid w:val="5E207C55"/>
    <w:rsid w:val="5E21062F"/>
    <w:rsid w:val="5E2107F4"/>
    <w:rsid w:val="5E2152FD"/>
    <w:rsid w:val="5E222D7F"/>
    <w:rsid w:val="5E230800"/>
    <w:rsid w:val="5E242747"/>
    <w:rsid w:val="5E2467F1"/>
    <w:rsid w:val="5E253121"/>
    <w:rsid w:val="5E2532E6"/>
    <w:rsid w:val="5E284C88"/>
    <w:rsid w:val="5E296976"/>
    <w:rsid w:val="5E2D1110"/>
    <w:rsid w:val="5E30357F"/>
    <w:rsid w:val="5E3155FD"/>
    <w:rsid w:val="5E325597"/>
    <w:rsid w:val="5E32585B"/>
    <w:rsid w:val="5E335697"/>
    <w:rsid w:val="5E340A9B"/>
    <w:rsid w:val="5E346C10"/>
    <w:rsid w:val="5E35651C"/>
    <w:rsid w:val="5E3577AE"/>
    <w:rsid w:val="5E361A1F"/>
    <w:rsid w:val="5E36400C"/>
    <w:rsid w:val="5E370D27"/>
    <w:rsid w:val="5E373415"/>
    <w:rsid w:val="5E373936"/>
    <w:rsid w:val="5E3774A1"/>
    <w:rsid w:val="5E384F22"/>
    <w:rsid w:val="5E3922A0"/>
    <w:rsid w:val="5E3A0425"/>
    <w:rsid w:val="5E3B3CA9"/>
    <w:rsid w:val="5E3C172A"/>
    <w:rsid w:val="5E3C3929"/>
    <w:rsid w:val="5E3D13AA"/>
    <w:rsid w:val="5E3D511B"/>
    <w:rsid w:val="5E3E6E2C"/>
    <w:rsid w:val="5E3F0130"/>
    <w:rsid w:val="5E3F64CF"/>
    <w:rsid w:val="5E40232F"/>
    <w:rsid w:val="5E405BB2"/>
    <w:rsid w:val="5E413634"/>
    <w:rsid w:val="5E417DB0"/>
    <w:rsid w:val="5E4210B5"/>
    <w:rsid w:val="5E4332B3"/>
    <w:rsid w:val="5E437E22"/>
    <w:rsid w:val="5E440D35"/>
    <w:rsid w:val="5E45203A"/>
    <w:rsid w:val="5E463C77"/>
    <w:rsid w:val="5E471CBA"/>
    <w:rsid w:val="5E482FBE"/>
    <w:rsid w:val="5E48773B"/>
    <w:rsid w:val="5E490A40"/>
    <w:rsid w:val="5E4951BD"/>
    <w:rsid w:val="5E4B06C0"/>
    <w:rsid w:val="5E4B3F43"/>
    <w:rsid w:val="5E4C19C5"/>
    <w:rsid w:val="5E4C7EA6"/>
    <w:rsid w:val="5E4D3BC3"/>
    <w:rsid w:val="5E4D7446"/>
    <w:rsid w:val="5E4E4EC8"/>
    <w:rsid w:val="5E4F2949"/>
    <w:rsid w:val="5E4F4B48"/>
    <w:rsid w:val="5E5140D5"/>
    <w:rsid w:val="5E515E4C"/>
    <w:rsid w:val="5E5238CE"/>
    <w:rsid w:val="5E530C9D"/>
    <w:rsid w:val="5E53134F"/>
    <w:rsid w:val="5E5314E7"/>
    <w:rsid w:val="5E53354E"/>
    <w:rsid w:val="5E53564E"/>
    <w:rsid w:val="5E540FCF"/>
    <w:rsid w:val="5E554853"/>
    <w:rsid w:val="5E5622D4"/>
    <w:rsid w:val="5E5644D2"/>
    <w:rsid w:val="5E56792A"/>
    <w:rsid w:val="5E567D56"/>
    <w:rsid w:val="5E571F54"/>
    <w:rsid w:val="5E5763C7"/>
    <w:rsid w:val="5E580EA3"/>
    <w:rsid w:val="5E5879D5"/>
    <w:rsid w:val="5E590CDA"/>
    <w:rsid w:val="5E595457"/>
    <w:rsid w:val="5E5A675C"/>
    <w:rsid w:val="5E5B095A"/>
    <w:rsid w:val="5E5B2DF6"/>
    <w:rsid w:val="5E5B2FBB"/>
    <w:rsid w:val="5E5B41DD"/>
    <w:rsid w:val="5E5D3E5D"/>
    <w:rsid w:val="5E5D4F0E"/>
    <w:rsid w:val="5E5E5162"/>
    <w:rsid w:val="5E5F2BE4"/>
    <w:rsid w:val="5E5F7360"/>
    <w:rsid w:val="5E600665"/>
    <w:rsid w:val="5E604DE2"/>
    <w:rsid w:val="5E6202E5"/>
    <w:rsid w:val="5E622841"/>
    <w:rsid w:val="5E623B68"/>
    <w:rsid w:val="5E63113D"/>
    <w:rsid w:val="5E631301"/>
    <w:rsid w:val="5E641CDC"/>
    <w:rsid w:val="5E663254"/>
    <w:rsid w:val="5E663419"/>
    <w:rsid w:val="5E6721EE"/>
    <w:rsid w:val="5E677FF0"/>
    <w:rsid w:val="5E6847CD"/>
    <w:rsid w:val="5E685A72"/>
    <w:rsid w:val="5E687C70"/>
    <w:rsid w:val="5E6A0F75"/>
    <w:rsid w:val="5E6A3173"/>
    <w:rsid w:val="5E6B69F6"/>
    <w:rsid w:val="5E6C4478"/>
    <w:rsid w:val="5E6C7E5E"/>
    <w:rsid w:val="5E6D1EF9"/>
    <w:rsid w:val="5E6D40F8"/>
    <w:rsid w:val="5E6E1B79"/>
    <w:rsid w:val="5E6E797B"/>
    <w:rsid w:val="5E6F69C2"/>
    <w:rsid w:val="5E6F724E"/>
    <w:rsid w:val="5E6F75FB"/>
    <w:rsid w:val="5E702B14"/>
    <w:rsid w:val="5E714792"/>
    <w:rsid w:val="5E716381"/>
    <w:rsid w:val="5E724251"/>
    <w:rsid w:val="5E731884"/>
    <w:rsid w:val="5E747306"/>
    <w:rsid w:val="5E766D43"/>
    <w:rsid w:val="5E785D0C"/>
    <w:rsid w:val="5E79378D"/>
    <w:rsid w:val="5E797F0A"/>
    <w:rsid w:val="5E7A0352"/>
    <w:rsid w:val="5E7A120F"/>
    <w:rsid w:val="5E7A1EB6"/>
    <w:rsid w:val="5E7A23D3"/>
    <w:rsid w:val="5E7A598C"/>
    <w:rsid w:val="5E7B2F72"/>
    <w:rsid w:val="5E7B340D"/>
    <w:rsid w:val="5E7C1CD5"/>
    <w:rsid w:val="5E7C394C"/>
    <w:rsid w:val="5E7D16C0"/>
    <w:rsid w:val="5E7D2194"/>
    <w:rsid w:val="5E7D44EB"/>
    <w:rsid w:val="5E7E0C7E"/>
    <w:rsid w:val="5E7E4392"/>
    <w:rsid w:val="5E7E4EC5"/>
    <w:rsid w:val="5E7E7C15"/>
    <w:rsid w:val="5E7F1E13"/>
    <w:rsid w:val="5E7F5697"/>
    <w:rsid w:val="5E7F7895"/>
    <w:rsid w:val="5E7F7B66"/>
    <w:rsid w:val="5E803118"/>
    <w:rsid w:val="5E806F6F"/>
    <w:rsid w:val="5E810B9A"/>
    <w:rsid w:val="5E812D98"/>
    <w:rsid w:val="5E82081A"/>
    <w:rsid w:val="5E82661B"/>
    <w:rsid w:val="5E83409D"/>
    <w:rsid w:val="5E83629B"/>
    <w:rsid w:val="5E8412B9"/>
    <w:rsid w:val="5E841B1E"/>
    <w:rsid w:val="5E841E57"/>
    <w:rsid w:val="5E85179E"/>
    <w:rsid w:val="5E851C93"/>
    <w:rsid w:val="5E8575A0"/>
    <w:rsid w:val="5E872AA3"/>
    <w:rsid w:val="5E884949"/>
    <w:rsid w:val="5E885FA6"/>
    <w:rsid w:val="5E8B6F2B"/>
    <w:rsid w:val="5E8C397C"/>
    <w:rsid w:val="5E8C49AC"/>
    <w:rsid w:val="5E8D242E"/>
    <w:rsid w:val="5E8E0B78"/>
    <w:rsid w:val="5E8F5931"/>
    <w:rsid w:val="5E9020F1"/>
    <w:rsid w:val="5E9033B3"/>
    <w:rsid w:val="5E910E34"/>
    <w:rsid w:val="5E9268B6"/>
    <w:rsid w:val="5E934044"/>
    <w:rsid w:val="5E95615C"/>
    <w:rsid w:val="5E95783A"/>
    <w:rsid w:val="5E9652BC"/>
    <w:rsid w:val="5E987B01"/>
    <w:rsid w:val="5E990E12"/>
    <w:rsid w:val="5E993BCD"/>
    <w:rsid w:val="5E996241"/>
    <w:rsid w:val="5E9A3CC2"/>
    <w:rsid w:val="5E9B1744"/>
    <w:rsid w:val="5E9B238B"/>
    <w:rsid w:val="5E9C496B"/>
    <w:rsid w:val="5E9D4C47"/>
    <w:rsid w:val="5E9F014A"/>
    <w:rsid w:val="5E9F5041"/>
    <w:rsid w:val="5E9F5687"/>
    <w:rsid w:val="5E9F5BCB"/>
    <w:rsid w:val="5EA0144F"/>
    <w:rsid w:val="5EA05BE0"/>
    <w:rsid w:val="5EA26B50"/>
    <w:rsid w:val="5EA27CF7"/>
    <w:rsid w:val="5EA30896"/>
    <w:rsid w:val="5EA345D2"/>
    <w:rsid w:val="5EA41270"/>
    <w:rsid w:val="5EA47E55"/>
    <w:rsid w:val="5EA558D6"/>
    <w:rsid w:val="5EA57AD5"/>
    <w:rsid w:val="5EA63358"/>
    <w:rsid w:val="5EA65556"/>
    <w:rsid w:val="5EA70DDA"/>
    <w:rsid w:val="5EA72FD8"/>
    <w:rsid w:val="5EA7685B"/>
    <w:rsid w:val="5EA842DD"/>
    <w:rsid w:val="5EA964DB"/>
    <w:rsid w:val="5EAA3F5C"/>
    <w:rsid w:val="5EAA549F"/>
    <w:rsid w:val="5EAA77E0"/>
    <w:rsid w:val="5EAB5261"/>
    <w:rsid w:val="5EAB5E7A"/>
    <w:rsid w:val="5EAB6030"/>
    <w:rsid w:val="5EAB6551"/>
    <w:rsid w:val="5EAC2CE3"/>
    <w:rsid w:val="5EAC7460"/>
    <w:rsid w:val="5EAD4EE1"/>
    <w:rsid w:val="5EAE61E6"/>
    <w:rsid w:val="5EAF03E4"/>
    <w:rsid w:val="5EAF3C67"/>
    <w:rsid w:val="5EB05E66"/>
    <w:rsid w:val="5EB12C47"/>
    <w:rsid w:val="5EB138E7"/>
    <w:rsid w:val="5EB21369"/>
    <w:rsid w:val="5EB23621"/>
    <w:rsid w:val="5EB3266E"/>
    <w:rsid w:val="5EB36DEA"/>
    <w:rsid w:val="5EB4486C"/>
    <w:rsid w:val="5EB44B9A"/>
    <w:rsid w:val="5EB55B71"/>
    <w:rsid w:val="5EB635F2"/>
    <w:rsid w:val="5EB662D8"/>
    <w:rsid w:val="5EB71074"/>
    <w:rsid w:val="5EB73272"/>
    <w:rsid w:val="5EB757F1"/>
    <w:rsid w:val="5EB80CF4"/>
    <w:rsid w:val="5EB86AF5"/>
    <w:rsid w:val="5EB87A15"/>
    <w:rsid w:val="5EB9022B"/>
    <w:rsid w:val="5EB96775"/>
    <w:rsid w:val="5EBA0DC9"/>
    <w:rsid w:val="5EBA0F8E"/>
    <w:rsid w:val="5EBA41F7"/>
    <w:rsid w:val="5EBB1C78"/>
    <w:rsid w:val="5EBB7A7A"/>
    <w:rsid w:val="5EBC2342"/>
    <w:rsid w:val="5EBC54FC"/>
    <w:rsid w:val="5EBC76FA"/>
    <w:rsid w:val="5EBD2F7D"/>
    <w:rsid w:val="5EBE09FF"/>
    <w:rsid w:val="5EBF7CE1"/>
    <w:rsid w:val="5EC04DFF"/>
    <w:rsid w:val="5EC06100"/>
    <w:rsid w:val="5EC06CB8"/>
    <w:rsid w:val="5EC21603"/>
    <w:rsid w:val="5EC24E86"/>
    <w:rsid w:val="5EC27110"/>
    <w:rsid w:val="5EC37AEA"/>
    <w:rsid w:val="5EC4038A"/>
    <w:rsid w:val="5EC40689"/>
    <w:rsid w:val="5EC44B06"/>
    <w:rsid w:val="5EC4727E"/>
    <w:rsid w:val="5EC52588"/>
    <w:rsid w:val="5EC55E0B"/>
    <w:rsid w:val="5EC6388D"/>
    <w:rsid w:val="5EC6498E"/>
    <w:rsid w:val="5EC7130E"/>
    <w:rsid w:val="5EC86D90"/>
    <w:rsid w:val="5EC94811"/>
    <w:rsid w:val="5ECA2293"/>
    <w:rsid w:val="5ECA48B8"/>
    <w:rsid w:val="5ECA5457"/>
    <w:rsid w:val="5ECA6A10"/>
    <w:rsid w:val="5ECB4491"/>
    <w:rsid w:val="5ECB7D14"/>
    <w:rsid w:val="5ECC5796"/>
    <w:rsid w:val="5ECD3218"/>
    <w:rsid w:val="5ECE5416"/>
    <w:rsid w:val="5ECF0AE7"/>
    <w:rsid w:val="5ECF671B"/>
    <w:rsid w:val="5ED0419C"/>
    <w:rsid w:val="5ED12060"/>
    <w:rsid w:val="5ED13E1C"/>
    <w:rsid w:val="5ED2189E"/>
    <w:rsid w:val="5ED22BFF"/>
    <w:rsid w:val="5ED42BA2"/>
    <w:rsid w:val="5ED4433C"/>
    <w:rsid w:val="5ED44DA1"/>
    <w:rsid w:val="5ED52822"/>
    <w:rsid w:val="5ED56A95"/>
    <w:rsid w:val="5ED56C4A"/>
    <w:rsid w:val="5ED602A4"/>
    <w:rsid w:val="5ED658B5"/>
    <w:rsid w:val="5ED663BE"/>
    <w:rsid w:val="5ED715A9"/>
    <w:rsid w:val="5ED75D25"/>
    <w:rsid w:val="5ED7628F"/>
    <w:rsid w:val="5ED76E2E"/>
    <w:rsid w:val="5ED837A7"/>
    <w:rsid w:val="5ED86C69"/>
    <w:rsid w:val="5ED879CC"/>
    <w:rsid w:val="5ED91228"/>
    <w:rsid w:val="5EDA252D"/>
    <w:rsid w:val="5EDA6CAA"/>
    <w:rsid w:val="5EDB7FAF"/>
    <w:rsid w:val="5EDC21AD"/>
    <w:rsid w:val="5EDC24BE"/>
    <w:rsid w:val="5EDC5A30"/>
    <w:rsid w:val="5EDD2E98"/>
    <w:rsid w:val="5EDD305D"/>
    <w:rsid w:val="5EDD34B2"/>
    <w:rsid w:val="5EDE56B0"/>
    <w:rsid w:val="5EE00BB3"/>
    <w:rsid w:val="5EE05174"/>
    <w:rsid w:val="5EE11EB8"/>
    <w:rsid w:val="5EE15B4F"/>
    <w:rsid w:val="5EE16635"/>
    <w:rsid w:val="5EE224D7"/>
    <w:rsid w:val="5EE240B6"/>
    <w:rsid w:val="5EE353BB"/>
    <w:rsid w:val="5EE40B9B"/>
    <w:rsid w:val="5EE475B9"/>
    <w:rsid w:val="5EE5015A"/>
    <w:rsid w:val="5EE50640"/>
    <w:rsid w:val="5EE513A4"/>
    <w:rsid w:val="5EE57718"/>
    <w:rsid w:val="5EE66340"/>
    <w:rsid w:val="5EE83A41"/>
    <w:rsid w:val="5EE85FC0"/>
    <w:rsid w:val="5EE914C3"/>
    <w:rsid w:val="5EE93E95"/>
    <w:rsid w:val="5EE96902"/>
    <w:rsid w:val="5EE972C4"/>
    <w:rsid w:val="5EEC5FAD"/>
    <w:rsid w:val="5EED5CCB"/>
    <w:rsid w:val="5EEF11CE"/>
    <w:rsid w:val="5EEF7F00"/>
    <w:rsid w:val="5EF06C4F"/>
    <w:rsid w:val="5EF13A09"/>
    <w:rsid w:val="5EF27BD4"/>
    <w:rsid w:val="5EF4412F"/>
    <w:rsid w:val="5EF656A8"/>
    <w:rsid w:val="5EF665DA"/>
    <w:rsid w:val="5EF7405C"/>
    <w:rsid w:val="5EF9755F"/>
    <w:rsid w:val="5EFA4FE0"/>
    <w:rsid w:val="5EFB0EFD"/>
    <w:rsid w:val="5EFB7D1C"/>
    <w:rsid w:val="5EFC04E3"/>
    <w:rsid w:val="5EFD2476"/>
    <w:rsid w:val="5EFE39E7"/>
    <w:rsid w:val="5EFF1468"/>
    <w:rsid w:val="5EFF39EF"/>
    <w:rsid w:val="5F00458D"/>
    <w:rsid w:val="5F0063E2"/>
    <w:rsid w:val="5F006EEA"/>
    <w:rsid w:val="5F01496B"/>
    <w:rsid w:val="5F015B06"/>
    <w:rsid w:val="5F015B56"/>
    <w:rsid w:val="5F024888"/>
    <w:rsid w:val="5F033FFC"/>
    <w:rsid w:val="5F03707F"/>
    <w:rsid w:val="5F047C1E"/>
    <w:rsid w:val="5F0507BC"/>
    <w:rsid w:val="5F056BF5"/>
    <w:rsid w:val="5F064676"/>
    <w:rsid w:val="5F081D78"/>
    <w:rsid w:val="5F0955FB"/>
    <w:rsid w:val="5F0977F9"/>
    <w:rsid w:val="5F0B0AFE"/>
    <w:rsid w:val="5F0C077E"/>
    <w:rsid w:val="5F0C6580"/>
    <w:rsid w:val="5F0D5F64"/>
    <w:rsid w:val="5F0E1A83"/>
    <w:rsid w:val="5F0E3C81"/>
    <w:rsid w:val="5F0F0A09"/>
    <w:rsid w:val="5F0F1702"/>
    <w:rsid w:val="5F0F7E12"/>
    <w:rsid w:val="5F106EAF"/>
    <w:rsid w:val="5F10721B"/>
    <w:rsid w:val="5F1117B9"/>
    <w:rsid w:val="5F114C06"/>
    <w:rsid w:val="5F116B44"/>
    <w:rsid w:val="5F122687"/>
    <w:rsid w:val="5F130109"/>
    <w:rsid w:val="5F13398C"/>
    <w:rsid w:val="5F14140D"/>
    <w:rsid w:val="5F145B8A"/>
    <w:rsid w:val="5F15360C"/>
    <w:rsid w:val="5F16108D"/>
    <w:rsid w:val="5F164911"/>
    <w:rsid w:val="5F172392"/>
    <w:rsid w:val="5F184590"/>
    <w:rsid w:val="5F187E14"/>
    <w:rsid w:val="5F196F61"/>
    <w:rsid w:val="5F1A2B43"/>
    <w:rsid w:val="5F1A3317"/>
    <w:rsid w:val="5F1A7A93"/>
    <w:rsid w:val="5F1B04DA"/>
    <w:rsid w:val="5F1C1A53"/>
    <w:rsid w:val="5F1D0A18"/>
    <w:rsid w:val="5F1D188E"/>
    <w:rsid w:val="5F1D1E82"/>
    <w:rsid w:val="5F1D429B"/>
    <w:rsid w:val="5F1E1D1D"/>
    <w:rsid w:val="5F1E649A"/>
    <w:rsid w:val="5F1F3F1B"/>
    <w:rsid w:val="5F1F779F"/>
    <w:rsid w:val="5F204709"/>
    <w:rsid w:val="5F20741E"/>
    <w:rsid w:val="5F212CA2"/>
    <w:rsid w:val="5F214EA0"/>
    <w:rsid w:val="5F220723"/>
    <w:rsid w:val="5F23665C"/>
    <w:rsid w:val="5F245E25"/>
    <w:rsid w:val="5F2516A8"/>
    <w:rsid w:val="5F2538A6"/>
    <w:rsid w:val="5F261328"/>
    <w:rsid w:val="5F267129"/>
    <w:rsid w:val="5F274BAB"/>
    <w:rsid w:val="5F2800AE"/>
    <w:rsid w:val="5F28262C"/>
    <w:rsid w:val="5F2922AC"/>
    <w:rsid w:val="5F295B30"/>
    <w:rsid w:val="5F2A342A"/>
    <w:rsid w:val="5F2B1033"/>
    <w:rsid w:val="5F2B3E04"/>
    <w:rsid w:val="5F2B57AF"/>
    <w:rsid w:val="5F2C54A2"/>
    <w:rsid w:val="5F2C5541"/>
    <w:rsid w:val="5F2C6AB4"/>
    <w:rsid w:val="5F2D4536"/>
    <w:rsid w:val="5F2D46F6"/>
    <w:rsid w:val="5F2E1FB7"/>
    <w:rsid w:val="5F2E6734"/>
    <w:rsid w:val="5F301C37"/>
    <w:rsid w:val="5F3054BA"/>
    <w:rsid w:val="5F310A0D"/>
    <w:rsid w:val="5F310BD2"/>
    <w:rsid w:val="5F312F3C"/>
    <w:rsid w:val="5F3209BE"/>
    <w:rsid w:val="5F32513A"/>
    <w:rsid w:val="5F332BBC"/>
    <w:rsid w:val="5F33643F"/>
    <w:rsid w:val="5F34063D"/>
    <w:rsid w:val="5F343EC1"/>
    <w:rsid w:val="5F351942"/>
    <w:rsid w:val="5F363B40"/>
    <w:rsid w:val="5F3715C2"/>
    <w:rsid w:val="5F3828C7"/>
    <w:rsid w:val="5F38637A"/>
    <w:rsid w:val="5F387044"/>
    <w:rsid w:val="5F390348"/>
    <w:rsid w:val="5F396F19"/>
    <w:rsid w:val="5F3A0F0C"/>
    <w:rsid w:val="5F3A7FC8"/>
    <w:rsid w:val="5F3B0491"/>
    <w:rsid w:val="5F3B384B"/>
    <w:rsid w:val="5F3C12CD"/>
    <w:rsid w:val="5F3C2507"/>
    <w:rsid w:val="5F3C34CB"/>
    <w:rsid w:val="5F3C5A50"/>
    <w:rsid w:val="5F3C5F70"/>
    <w:rsid w:val="5F3D0F4D"/>
    <w:rsid w:val="5F3D1A0A"/>
    <w:rsid w:val="5F3D6D4F"/>
    <w:rsid w:val="5F3F3148"/>
    <w:rsid w:val="5F405755"/>
    <w:rsid w:val="5F407CD3"/>
    <w:rsid w:val="5F411080"/>
    <w:rsid w:val="5F4144FC"/>
    <w:rsid w:val="5F432E56"/>
    <w:rsid w:val="5F4408D8"/>
    <w:rsid w:val="5F44415B"/>
    <w:rsid w:val="5F451BDC"/>
    <w:rsid w:val="5F46072B"/>
    <w:rsid w:val="5F463DDB"/>
    <w:rsid w:val="5F46765E"/>
    <w:rsid w:val="5F467B8C"/>
    <w:rsid w:val="5F4750E0"/>
    <w:rsid w:val="5F4872DE"/>
    <w:rsid w:val="5F4905E3"/>
    <w:rsid w:val="5F4915FE"/>
    <w:rsid w:val="5F492A07"/>
    <w:rsid w:val="5F494D5F"/>
    <w:rsid w:val="5F4B3AE6"/>
    <w:rsid w:val="5F4C5CE4"/>
    <w:rsid w:val="5F4E11E7"/>
    <w:rsid w:val="5F4F24EC"/>
    <w:rsid w:val="5F4F6A72"/>
    <w:rsid w:val="5F5046EA"/>
    <w:rsid w:val="5F507610"/>
    <w:rsid w:val="5F507F6E"/>
    <w:rsid w:val="5F5101AF"/>
    <w:rsid w:val="5F523471"/>
    <w:rsid w:val="5F531564"/>
    <w:rsid w:val="5F56421A"/>
    <w:rsid w:val="5F574BF4"/>
    <w:rsid w:val="5F585957"/>
    <w:rsid w:val="5F59087D"/>
    <w:rsid w:val="5F592DFB"/>
    <w:rsid w:val="5F5A62FF"/>
    <w:rsid w:val="5F5B3D80"/>
    <w:rsid w:val="5F5C6A78"/>
    <w:rsid w:val="5F5D6897"/>
    <w:rsid w:val="5F5D7283"/>
    <w:rsid w:val="5F5E4D05"/>
    <w:rsid w:val="5F62370B"/>
    <w:rsid w:val="5F625052"/>
    <w:rsid w:val="5F646C0E"/>
    <w:rsid w:val="5F64760C"/>
    <w:rsid w:val="5F677B93"/>
    <w:rsid w:val="5F681281"/>
    <w:rsid w:val="5F684B10"/>
    <w:rsid w:val="5F693096"/>
    <w:rsid w:val="5F6A0B17"/>
    <w:rsid w:val="5F6B1E1C"/>
    <w:rsid w:val="5F6B6599"/>
    <w:rsid w:val="5F6C789E"/>
    <w:rsid w:val="5F6D4AD6"/>
    <w:rsid w:val="5F6D531F"/>
    <w:rsid w:val="5F6E2DA1"/>
    <w:rsid w:val="5F6E54B0"/>
    <w:rsid w:val="5F6E751E"/>
    <w:rsid w:val="5F6F6A29"/>
    <w:rsid w:val="5F7062A4"/>
    <w:rsid w:val="5F7104A2"/>
    <w:rsid w:val="5F7239A5"/>
    <w:rsid w:val="5F744CAA"/>
    <w:rsid w:val="5F75272C"/>
    <w:rsid w:val="5F75492A"/>
    <w:rsid w:val="5F7601AD"/>
    <w:rsid w:val="5F775C2F"/>
    <w:rsid w:val="5F776A62"/>
    <w:rsid w:val="5F791132"/>
    <w:rsid w:val="5F79574A"/>
    <w:rsid w:val="5F796BB3"/>
    <w:rsid w:val="5F7A4635"/>
    <w:rsid w:val="5F7B20B7"/>
    <w:rsid w:val="5F7B6E87"/>
    <w:rsid w:val="5F7C05C5"/>
    <w:rsid w:val="5F7C7A26"/>
    <w:rsid w:val="5F7C7B38"/>
    <w:rsid w:val="5F7D0400"/>
    <w:rsid w:val="5F7E0DDA"/>
    <w:rsid w:val="5F7E1979"/>
    <w:rsid w:val="5F7E303B"/>
    <w:rsid w:val="5F7E77B8"/>
    <w:rsid w:val="5F80653E"/>
    <w:rsid w:val="5F81073D"/>
    <w:rsid w:val="5F82462F"/>
    <w:rsid w:val="5F8261BE"/>
    <w:rsid w:val="5F832F4E"/>
    <w:rsid w:val="5F8416C1"/>
    <w:rsid w:val="5F844F44"/>
    <w:rsid w:val="5F845D6D"/>
    <w:rsid w:val="5F857143"/>
    <w:rsid w:val="5F860D1E"/>
    <w:rsid w:val="5F862B7B"/>
    <w:rsid w:val="5F872646"/>
    <w:rsid w:val="5F8776EE"/>
    <w:rsid w:val="5F88085E"/>
    <w:rsid w:val="5F88394B"/>
    <w:rsid w:val="5F8913CC"/>
    <w:rsid w:val="5F8A104C"/>
    <w:rsid w:val="5F8A6E4E"/>
    <w:rsid w:val="5F8B48CF"/>
    <w:rsid w:val="5F8D1FD1"/>
    <w:rsid w:val="5F8D7DD2"/>
    <w:rsid w:val="5F8E0463"/>
    <w:rsid w:val="5F8E1258"/>
    <w:rsid w:val="5F8E5854"/>
    <w:rsid w:val="5F8E7A52"/>
    <w:rsid w:val="5F8F32D6"/>
    <w:rsid w:val="5F900281"/>
    <w:rsid w:val="5F900D57"/>
    <w:rsid w:val="5F902F55"/>
    <w:rsid w:val="5F9109D7"/>
    <w:rsid w:val="5F91425A"/>
    <w:rsid w:val="5F9167D9"/>
    <w:rsid w:val="5F921CDC"/>
    <w:rsid w:val="5F92572B"/>
    <w:rsid w:val="5F93775D"/>
    <w:rsid w:val="5F94195C"/>
    <w:rsid w:val="5F952071"/>
    <w:rsid w:val="5F952C60"/>
    <w:rsid w:val="5F9573DD"/>
    <w:rsid w:val="5F9606E2"/>
    <w:rsid w:val="5F976163"/>
    <w:rsid w:val="5F983BE5"/>
    <w:rsid w:val="5F9958C6"/>
    <w:rsid w:val="5F9A3865"/>
    <w:rsid w:val="5F9A62A0"/>
    <w:rsid w:val="5F9A6465"/>
    <w:rsid w:val="5F9A70E8"/>
    <w:rsid w:val="5F9B4B6A"/>
    <w:rsid w:val="5F9B7003"/>
    <w:rsid w:val="5F9C0EDE"/>
    <w:rsid w:val="5F9D057C"/>
    <w:rsid w:val="5F9D47EA"/>
    <w:rsid w:val="5F9E5AEE"/>
    <w:rsid w:val="5F9F1AF5"/>
    <w:rsid w:val="5F9F3570"/>
    <w:rsid w:val="5FA00FF1"/>
    <w:rsid w:val="5FA0576E"/>
    <w:rsid w:val="5FA10C71"/>
    <w:rsid w:val="5FA16A73"/>
    <w:rsid w:val="5FA16C3A"/>
    <w:rsid w:val="5FA23A48"/>
    <w:rsid w:val="5FA244F5"/>
    <w:rsid w:val="5FA25B22"/>
    <w:rsid w:val="5FA25E8E"/>
    <w:rsid w:val="5FA266F3"/>
    <w:rsid w:val="5FA31F76"/>
    <w:rsid w:val="5FA34174"/>
    <w:rsid w:val="5FA345E7"/>
    <w:rsid w:val="5FA3544C"/>
    <w:rsid w:val="5FA357B7"/>
    <w:rsid w:val="5FA41BF6"/>
    <w:rsid w:val="5FA479F8"/>
    <w:rsid w:val="5FA55479"/>
    <w:rsid w:val="5FA55D24"/>
    <w:rsid w:val="5FA57677"/>
    <w:rsid w:val="5FA62EFB"/>
    <w:rsid w:val="5FA650F9"/>
    <w:rsid w:val="5FA7097C"/>
    <w:rsid w:val="5FA72B7B"/>
    <w:rsid w:val="5FA805FC"/>
    <w:rsid w:val="5FA863FE"/>
    <w:rsid w:val="5FA913B5"/>
    <w:rsid w:val="5FA93E7F"/>
    <w:rsid w:val="5FA9607E"/>
    <w:rsid w:val="5FAB1581"/>
    <w:rsid w:val="5FAB4E04"/>
    <w:rsid w:val="5FAC3308"/>
    <w:rsid w:val="5FAE2505"/>
    <w:rsid w:val="5FAE5D89"/>
    <w:rsid w:val="5FAF0D65"/>
    <w:rsid w:val="5FAF380A"/>
    <w:rsid w:val="5FAF7F87"/>
    <w:rsid w:val="5FB0128C"/>
    <w:rsid w:val="5FB1014A"/>
    <w:rsid w:val="5FB16B5C"/>
    <w:rsid w:val="5FB2478F"/>
    <w:rsid w:val="5FB276FB"/>
    <w:rsid w:val="5FB30363"/>
    <w:rsid w:val="5FB3698D"/>
    <w:rsid w:val="5FB37DC6"/>
    <w:rsid w:val="5FB4440F"/>
    <w:rsid w:val="5FB47C92"/>
    <w:rsid w:val="5FB51E90"/>
    <w:rsid w:val="5FB7392A"/>
    <w:rsid w:val="5FB75393"/>
    <w:rsid w:val="5FB837BB"/>
    <w:rsid w:val="5FB86698"/>
    <w:rsid w:val="5FBA1B9B"/>
    <w:rsid w:val="5FBB641C"/>
    <w:rsid w:val="5FBC509E"/>
    <w:rsid w:val="5FBF6023"/>
    <w:rsid w:val="5FC01EE5"/>
    <w:rsid w:val="5FC0253F"/>
    <w:rsid w:val="5FC16FA8"/>
    <w:rsid w:val="5FC23025"/>
    <w:rsid w:val="5FC24A29"/>
    <w:rsid w:val="5FC6342F"/>
    <w:rsid w:val="5FC77254"/>
    <w:rsid w:val="5FC93F22"/>
    <w:rsid w:val="5FCA1E36"/>
    <w:rsid w:val="5FCB78B7"/>
    <w:rsid w:val="5FCC2AA9"/>
    <w:rsid w:val="5FCD2DBA"/>
    <w:rsid w:val="5FCD52BA"/>
    <w:rsid w:val="5FCE46C2"/>
    <w:rsid w:val="5FCE4E78"/>
    <w:rsid w:val="5FD0613A"/>
    <w:rsid w:val="5FD15044"/>
    <w:rsid w:val="5FD22AC5"/>
    <w:rsid w:val="5FD34CC4"/>
    <w:rsid w:val="5FD45FC8"/>
    <w:rsid w:val="5FD501C7"/>
    <w:rsid w:val="5FD51606"/>
    <w:rsid w:val="5FD53A4A"/>
    <w:rsid w:val="5FD614CB"/>
    <w:rsid w:val="5FD621A4"/>
    <w:rsid w:val="5FD65C48"/>
    <w:rsid w:val="5FD8114B"/>
    <w:rsid w:val="5FD849CF"/>
    <w:rsid w:val="5FD92450"/>
    <w:rsid w:val="5FD96BCD"/>
    <w:rsid w:val="5FDA7ED2"/>
    <w:rsid w:val="5FDB5953"/>
    <w:rsid w:val="5FDB59F9"/>
    <w:rsid w:val="5FDB7B52"/>
    <w:rsid w:val="5FDC55D3"/>
    <w:rsid w:val="5FDC6F72"/>
    <w:rsid w:val="5FDD0E56"/>
    <w:rsid w:val="5FDD3055"/>
    <w:rsid w:val="5FDE04EB"/>
    <w:rsid w:val="5FDE0AD6"/>
    <w:rsid w:val="5FDF108A"/>
    <w:rsid w:val="5FDF4359"/>
    <w:rsid w:val="5FE01DDB"/>
    <w:rsid w:val="5FE03FD9"/>
    <w:rsid w:val="5FE11A5B"/>
    <w:rsid w:val="5FE1785D"/>
    <w:rsid w:val="5FE252DE"/>
    <w:rsid w:val="5FE274DC"/>
    <w:rsid w:val="5FE34F5E"/>
    <w:rsid w:val="5FE44556"/>
    <w:rsid w:val="5FE46263"/>
    <w:rsid w:val="5FE53CE4"/>
    <w:rsid w:val="5FE61766"/>
    <w:rsid w:val="5FE61D4E"/>
    <w:rsid w:val="5FE65EE3"/>
    <w:rsid w:val="5FE73964"/>
    <w:rsid w:val="5FE76832"/>
    <w:rsid w:val="5FE84C69"/>
    <w:rsid w:val="5FE8720C"/>
    <w:rsid w:val="5FE96E67"/>
    <w:rsid w:val="5FEA016C"/>
    <w:rsid w:val="5FEA0785"/>
    <w:rsid w:val="5FEA2274"/>
    <w:rsid w:val="5FEA48E9"/>
    <w:rsid w:val="5FEB1323"/>
    <w:rsid w:val="5FEB1EC2"/>
    <w:rsid w:val="5FEB236A"/>
    <w:rsid w:val="5FEB5BEE"/>
    <w:rsid w:val="5FEC1CFE"/>
    <w:rsid w:val="5FEC289C"/>
    <w:rsid w:val="5FEC366F"/>
    <w:rsid w:val="5FED10F1"/>
    <w:rsid w:val="5FED586D"/>
    <w:rsid w:val="5FEE6B72"/>
    <w:rsid w:val="5FEF0D71"/>
    <w:rsid w:val="5FF02075"/>
    <w:rsid w:val="5FF05552"/>
    <w:rsid w:val="5FF21CF5"/>
    <w:rsid w:val="5FF27777"/>
    <w:rsid w:val="5FF32FFA"/>
    <w:rsid w:val="5FF351F8"/>
    <w:rsid w:val="5FF40A7C"/>
    <w:rsid w:val="5FF42C7A"/>
    <w:rsid w:val="5FF506FB"/>
    <w:rsid w:val="5FF615BD"/>
    <w:rsid w:val="5FF649B6"/>
    <w:rsid w:val="5FF73BFE"/>
    <w:rsid w:val="5FF87482"/>
    <w:rsid w:val="5FF94F03"/>
    <w:rsid w:val="5FFA0406"/>
    <w:rsid w:val="5FFA3AEF"/>
    <w:rsid w:val="5FFA45F4"/>
    <w:rsid w:val="5FFA4B83"/>
    <w:rsid w:val="5FFB2605"/>
    <w:rsid w:val="5FFD138B"/>
    <w:rsid w:val="5FFD5B08"/>
    <w:rsid w:val="5FFE3589"/>
    <w:rsid w:val="5FFE6E0D"/>
    <w:rsid w:val="5FFE7AC8"/>
    <w:rsid w:val="5FFF100B"/>
    <w:rsid w:val="60001041"/>
    <w:rsid w:val="60002310"/>
    <w:rsid w:val="60006A8C"/>
    <w:rsid w:val="6001450E"/>
    <w:rsid w:val="60017D91"/>
    <w:rsid w:val="60021F8F"/>
    <w:rsid w:val="60025813"/>
    <w:rsid w:val="60033294"/>
    <w:rsid w:val="60037A11"/>
    <w:rsid w:val="60040D16"/>
    <w:rsid w:val="60042281"/>
    <w:rsid w:val="60045493"/>
    <w:rsid w:val="60065E0F"/>
    <w:rsid w:val="60071C9B"/>
    <w:rsid w:val="60076417"/>
    <w:rsid w:val="600767E9"/>
    <w:rsid w:val="60085A40"/>
    <w:rsid w:val="6008771C"/>
    <w:rsid w:val="6009519E"/>
    <w:rsid w:val="600A0901"/>
    <w:rsid w:val="600A7349"/>
    <w:rsid w:val="600B06A1"/>
    <w:rsid w:val="600B6A8C"/>
    <w:rsid w:val="600D2A18"/>
    <w:rsid w:val="600D3BA4"/>
    <w:rsid w:val="600D6A86"/>
    <w:rsid w:val="600E35B7"/>
    <w:rsid w:val="600E3824"/>
    <w:rsid w:val="600F12A5"/>
    <w:rsid w:val="6010496B"/>
    <w:rsid w:val="60104B28"/>
    <w:rsid w:val="60106D27"/>
    <w:rsid w:val="601125AA"/>
    <w:rsid w:val="601147A8"/>
    <w:rsid w:val="6011550A"/>
    <w:rsid w:val="601156CE"/>
    <w:rsid w:val="6012002C"/>
    <w:rsid w:val="60125AAD"/>
    <w:rsid w:val="6013352F"/>
    <w:rsid w:val="60137CAB"/>
    <w:rsid w:val="601401C0"/>
    <w:rsid w:val="60140FB0"/>
    <w:rsid w:val="6014572D"/>
    <w:rsid w:val="60151BC1"/>
    <w:rsid w:val="601531AE"/>
    <w:rsid w:val="60161739"/>
    <w:rsid w:val="601644B3"/>
    <w:rsid w:val="60177CFC"/>
    <w:rsid w:val="60182CB2"/>
    <w:rsid w:val="60184133"/>
    <w:rsid w:val="60191BB5"/>
    <w:rsid w:val="601A2EBA"/>
    <w:rsid w:val="601A43EF"/>
    <w:rsid w:val="601A7636"/>
    <w:rsid w:val="601B093B"/>
    <w:rsid w:val="601B50B8"/>
    <w:rsid w:val="601D3E3E"/>
    <w:rsid w:val="601E603C"/>
    <w:rsid w:val="6020045A"/>
    <w:rsid w:val="602202C6"/>
    <w:rsid w:val="60235D47"/>
    <w:rsid w:val="60236B25"/>
    <w:rsid w:val="602437C9"/>
    <w:rsid w:val="60243CC7"/>
    <w:rsid w:val="60262323"/>
    <w:rsid w:val="60266CCC"/>
    <w:rsid w:val="6027474E"/>
    <w:rsid w:val="602821CF"/>
    <w:rsid w:val="6029717B"/>
    <w:rsid w:val="60297C51"/>
    <w:rsid w:val="602A3154"/>
    <w:rsid w:val="602A56D2"/>
    <w:rsid w:val="602C6657"/>
    <w:rsid w:val="602D40D8"/>
    <w:rsid w:val="602F33AA"/>
    <w:rsid w:val="602F356E"/>
    <w:rsid w:val="6030505D"/>
    <w:rsid w:val="60312ADF"/>
    <w:rsid w:val="603262EF"/>
    <w:rsid w:val="603269C5"/>
    <w:rsid w:val="60326EE6"/>
    <w:rsid w:val="60335FE2"/>
    <w:rsid w:val="60336139"/>
    <w:rsid w:val="603445E0"/>
    <w:rsid w:val="60350178"/>
    <w:rsid w:val="60366F66"/>
    <w:rsid w:val="6037026B"/>
    <w:rsid w:val="603718B5"/>
    <w:rsid w:val="6039376E"/>
    <w:rsid w:val="60397EEB"/>
    <w:rsid w:val="603A11F0"/>
    <w:rsid w:val="603A596D"/>
    <w:rsid w:val="603B33EE"/>
    <w:rsid w:val="603D64BE"/>
    <w:rsid w:val="603D68F1"/>
    <w:rsid w:val="603E4373"/>
    <w:rsid w:val="603E705D"/>
    <w:rsid w:val="603E7BF6"/>
    <w:rsid w:val="603F5678"/>
    <w:rsid w:val="604030F9"/>
    <w:rsid w:val="60407876"/>
    <w:rsid w:val="60410B7B"/>
    <w:rsid w:val="60416A66"/>
    <w:rsid w:val="60422D79"/>
    <w:rsid w:val="6043407E"/>
    <w:rsid w:val="6043627C"/>
    <w:rsid w:val="6045177F"/>
    <w:rsid w:val="60453C66"/>
    <w:rsid w:val="60457581"/>
    <w:rsid w:val="60465003"/>
    <w:rsid w:val="60467201"/>
    <w:rsid w:val="60490185"/>
    <w:rsid w:val="60495F87"/>
    <w:rsid w:val="604A3A09"/>
    <w:rsid w:val="604B3689"/>
    <w:rsid w:val="604B6F0C"/>
    <w:rsid w:val="604C110A"/>
    <w:rsid w:val="604C498D"/>
    <w:rsid w:val="604D6B8C"/>
    <w:rsid w:val="604E460D"/>
    <w:rsid w:val="604F060C"/>
    <w:rsid w:val="604F208F"/>
    <w:rsid w:val="60502F09"/>
    <w:rsid w:val="60503394"/>
    <w:rsid w:val="60503F00"/>
    <w:rsid w:val="60507B10"/>
    <w:rsid w:val="6051174F"/>
    <w:rsid w:val="60514A9F"/>
    <w:rsid w:val="60526897"/>
    <w:rsid w:val="60534318"/>
    <w:rsid w:val="60541D9A"/>
    <w:rsid w:val="60553F98"/>
    <w:rsid w:val="6055781B"/>
    <w:rsid w:val="6056012F"/>
    <w:rsid w:val="605602F3"/>
    <w:rsid w:val="6056529D"/>
    <w:rsid w:val="60570B09"/>
    <w:rsid w:val="60572D1E"/>
    <w:rsid w:val="6057749B"/>
    <w:rsid w:val="60584F1D"/>
    <w:rsid w:val="60592DE5"/>
    <w:rsid w:val="60596221"/>
    <w:rsid w:val="605A0420"/>
    <w:rsid w:val="605A3CA3"/>
    <w:rsid w:val="605B5399"/>
    <w:rsid w:val="605B6893"/>
    <w:rsid w:val="605C13A4"/>
    <w:rsid w:val="605C4EFD"/>
    <w:rsid w:val="605C71A6"/>
    <w:rsid w:val="605D4C28"/>
    <w:rsid w:val="605D58D7"/>
    <w:rsid w:val="605D5A9B"/>
    <w:rsid w:val="605D6E26"/>
    <w:rsid w:val="605E48A8"/>
    <w:rsid w:val="605E5044"/>
    <w:rsid w:val="605E51FA"/>
    <w:rsid w:val="605E6476"/>
    <w:rsid w:val="605F012B"/>
    <w:rsid w:val="605F2329"/>
    <w:rsid w:val="60605BAC"/>
    <w:rsid w:val="60620F67"/>
    <w:rsid w:val="6062112C"/>
    <w:rsid w:val="606232AE"/>
    <w:rsid w:val="60636B31"/>
    <w:rsid w:val="60642034"/>
    <w:rsid w:val="60654232"/>
    <w:rsid w:val="60657AB6"/>
    <w:rsid w:val="60661CB4"/>
    <w:rsid w:val="606647BC"/>
    <w:rsid w:val="60672FB9"/>
    <w:rsid w:val="606745F8"/>
    <w:rsid w:val="60692C39"/>
    <w:rsid w:val="606A06BA"/>
    <w:rsid w:val="606A3F3D"/>
    <w:rsid w:val="606A7472"/>
    <w:rsid w:val="606B613C"/>
    <w:rsid w:val="606C0827"/>
    <w:rsid w:val="606C09EB"/>
    <w:rsid w:val="606C79D7"/>
    <w:rsid w:val="606D70BF"/>
    <w:rsid w:val="606D766C"/>
    <w:rsid w:val="606E6033"/>
    <w:rsid w:val="606E670A"/>
    <w:rsid w:val="606E70C0"/>
    <w:rsid w:val="606F293E"/>
    <w:rsid w:val="60710045"/>
    <w:rsid w:val="607138C8"/>
    <w:rsid w:val="6072134A"/>
    <w:rsid w:val="60725AC7"/>
    <w:rsid w:val="60736DCB"/>
    <w:rsid w:val="6074484D"/>
    <w:rsid w:val="60746A4B"/>
    <w:rsid w:val="60746B6D"/>
    <w:rsid w:val="607522CE"/>
    <w:rsid w:val="607544CD"/>
    <w:rsid w:val="60757548"/>
    <w:rsid w:val="60761F4E"/>
    <w:rsid w:val="60770C85"/>
    <w:rsid w:val="607779D0"/>
    <w:rsid w:val="60785451"/>
    <w:rsid w:val="607921FE"/>
    <w:rsid w:val="60792ED3"/>
    <w:rsid w:val="607A0954"/>
    <w:rsid w:val="607A6756"/>
    <w:rsid w:val="607B1928"/>
    <w:rsid w:val="607B1C59"/>
    <w:rsid w:val="607B41D8"/>
    <w:rsid w:val="607B63D6"/>
    <w:rsid w:val="607C3E58"/>
    <w:rsid w:val="607D02F0"/>
    <w:rsid w:val="607D18D9"/>
    <w:rsid w:val="607E2BDE"/>
    <w:rsid w:val="607E735B"/>
    <w:rsid w:val="607F065F"/>
    <w:rsid w:val="607F4DDC"/>
    <w:rsid w:val="608060E1"/>
    <w:rsid w:val="60806E07"/>
    <w:rsid w:val="608215E4"/>
    <w:rsid w:val="608337E2"/>
    <w:rsid w:val="60841264"/>
    <w:rsid w:val="60875A6C"/>
    <w:rsid w:val="608834ED"/>
    <w:rsid w:val="60890F6F"/>
    <w:rsid w:val="60894626"/>
    <w:rsid w:val="608947DC"/>
    <w:rsid w:val="60894CFD"/>
    <w:rsid w:val="60895CED"/>
    <w:rsid w:val="60897327"/>
    <w:rsid w:val="608A3BE5"/>
    <w:rsid w:val="608A4753"/>
    <w:rsid w:val="608B2FED"/>
    <w:rsid w:val="608B4472"/>
    <w:rsid w:val="608B742A"/>
    <w:rsid w:val="608C1EF4"/>
    <w:rsid w:val="608E1541"/>
    <w:rsid w:val="608E53F7"/>
    <w:rsid w:val="608F1F1C"/>
    <w:rsid w:val="608F2ABA"/>
    <w:rsid w:val="608F2E78"/>
    <w:rsid w:val="60913E6F"/>
    <w:rsid w:val="6091637B"/>
    <w:rsid w:val="60923DFD"/>
    <w:rsid w:val="60956B25"/>
    <w:rsid w:val="60960285"/>
    <w:rsid w:val="609676C4"/>
    <w:rsid w:val="60986577"/>
    <w:rsid w:val="60991209"/>
    <w:rsid w:val="6099620C"/>
    <w:rsid w:val="609A6C8B"/>
    <w:rsid w:val="609C218E"/>
    <w:rsid w:val="609E5691"/>
    <w:rsid w:val="609F65A9"/>
    <w:rsid w:val="60A00B94"/>
    <w:rsid w:val="60A04417"/>
    <w:rsid w:val="60A11E99"/>
    <w:rsid w:val="60A16616"/>
    <w:rsid w:val="60A204FC"/>
    <w:rsid w:val="60A24097"/>
    <w:rsid w:val="60A25154"/>
    <w:rsid w:val="60A31B19"/>
    <w:rsid w:val="60A42E1E"/>
    <w:rsid w:val="60A4759A"/>
    <w:rsid w:val="60A5089F"/>
    <w:rsid w:val="60A62A9D"/>
    <w:rsid w:val="60A70D54"/>
    <w:rsid w:val="60A73DA2"/>
    <w:rsid w:val="60A81824"/>
    <w:rsid w:val="60A873B0"/>
    <w:rsid w:val="60A87DF2"/>
    <w:rsid w:val="60A93A22"/>
    <w:rsid w:val="60A95105"/>
    <w:rsid w:val="60A972A5"/>
    <w:rsid w:val="60AA5E68"/>
    <w:rsid w:val="60AB27A8"/>
    <w:rsid w:val="60AB49A7"/>
    <w:rsid w:val="60AB73E1"/>
    <w:rsid w:val="60AC2428"/>
    <w:rsid w:val="60AC7DBB"/>
    <w:rsid w:val="60AD5CAC"/>
    <w:rsid w:val="60AD7EAA"/>
    <w:rsid w:val="60AE14F9"/>
    <w:rsid w:val="60AE592B"/>
    <w:rsid w:val="60AF11AF"/>
    <w:rsid w:val="60AF33AD"/>
    <w:rsid w:val="60B06C30"/>
    <w:rsid w:val="60B146B2"/>
    <w:rsid w:val="60B168B0"/>
    <w:rsid w:val="60B24332"/>
    <w:rsid w:val="60B34B89"/>
    <w:rsid w:val="60B430B8"/>
    <w:rsid w:val="60B45728"/>
    <w:rsid w:val="60B46AA4"/>
    <w:rsid w:val="60B665BB"/>
    <w:rsid w:val="60B707B9"/>
    <w:rsid w:val="60B7403D"/>
    <w:rsid w:val="60B7783F"/>
    <w:rsid w:val="60B81ABE"/>
    <w:rsid w:val="60B87BDB"/>
    <w:rsid w:val="60B97540"/>
    <w:rsid w:val="60BA173E"/>
    <w:rsid w:val="60BA4FC1"/>
    <w:rsid w:val="60BC04C4"/>
    <w:rsid w:val="60BC4C41"/>
    <w:rsid w:val="60BD26C3"/>
    <w:rsid w:val="60BE0144"/>
    <w:rsid w:val="60BE39C7"/>
    <w:rsid w:val="60BF1449"/>
    <w:rsid w:val="60C03647"/>
    <w:rsid w:val="60C06ECB"/>
    <w:rsid w:val="60C1494C"/>
    <w:rsid w:val="60C223CE"/>
    <w:rsid w:val="60C26B4A"/>
    <w:rsid w:val="60C30678"/>
    <w:rsid w:val="60C45483"/>
    <w:rsid w:val="60C45B59"/>
    <w:rsid w:val="60C55551"/>
    <w:rsid w:val="60C60DD4"/>
    <w:rsid w:val="60C625CB"/>
    <w:rsid w:val="60C62FD2"/>
    <w:rsid w:val="60C70A54"/>
    <w:rsid w:val="60C76855"/>
    <w:rsid w:val="60C864D5"/>
    <w:rsid w:val="60C93F57"/>
    <w:rsid w:val="60CA19D8"/>
    <w:rsid w:val="60CA77DA"/>
    <w:rsid w:val="60CC075F"/>
    <w:rsid w:val="60CC2CDD"/>
    <w:rsid w:val="60CC405A"/>
    <w:rsid w:val="60CC7399"/>
    <w:rsid w:val="60CD295D"/>
    <w:rsid w:val="60CD61E0"/>
    <w:rsid w:val="60CE3C62"/>
    <w:rsid w:val="60CE4C92"/>
    <w:rsid w:val="60CF16E3"/>
    <w:rsid w:val="60D07165"/>
    <w:rsid w:val="60D11363"/>
    <w:rsid w:val="60D14BE6"/>
    <w:rsid w:val="60D235C8"/>
    <w:rsid w:val="60D26DE5"/>
    <w:rsid w:val="60D34866"/>
    <w:rsid w:val="60D373D4"/>
    <w:rsid w:val="60D37589"/>
    <w:rsid w:val="60D37AAA"/>
    <w:rsid w:val="60D45B6B"/>
    <w:rsid w:val="60D57D69"/>
    <w:rsid w:val="60D66C58"/>
    <w:rsid w:val="60D7326D"/>
    <w:rsid w:val="60D76AF0"/>
    <w:rsid w:val="60D801D1"/>
    <w:rsid w:val="60D80CEE"/>
    <w:rsid w:val="60D84571"/>
    <w:rsid w:val="60D90D70"/>
    <w:rsid w:val="60D91FF3"/>
    <w:rsid w:val="60D96770"/>
    <w:rsid w:val="60DA190E"/>
    <w:rsid w:val="60DA41F1"/>
    <w:rsid w:val="60DA7A74"/>
    <w:rsid w:val="60DB1C73"/>
    <w:rsid w:val="60DB22E9"/>
    <w:rsid w:val="60DC2F78"/>
    <w:rsid w:val="60DD09F9"/>
    <w:rsid w:val="60DD24CE"/>
    <w:rsid w:val="60DD2BF7"/>
    <w:rsid w:val="60DD3862"/>
    <w:rsid w:val="60DD3A26"/>
    <w:rsid w:val="60DF3EFC"/>
    <w:rsid w:val="60DF4DDA"/>
    <w:rsid w:val="60DF60FA"/>
    <w:rsid w:val="60E0197E"/>
    <w:rsid w:val="60E03B7C"/>
    <w:rsid w:val="60E05979"/>
    <w:rsid w:val="60E05B3D"/>
    <w:rsid w:val="60E16518"/>
    <w:rsid w:val="60E173FF"/>
    <w:rsid w:val="60E24E81"/>
    <w:rsid w:val="60E2707F"/>
    <w:rsid w:val="60E32902"/>
    <w:rsid w:val="60E40384"/>
    <w:rsid w:val="60E42582"/>
    <w:rsid w:val="60E50004"/>
    <w:rsid w:val="60E65A85"/>
    <w:rsid w:val="60E76D8A"/>
    <w:rsid w:val="60E80F88"/>
    <w:rsid w:val="60E8480C"/>
    <w:rsid w:val="60E9485E"/>
    <w:rsid w:val="60EA448B"/>
    <w:rsid w:val="60EA7D0F"/>
    <w:rsid w:val="60EB5C13"/>
    <w:rsid w:val="60EB5DD7"/>
    <w:rsid w:val="60EC3212"/>
    <w:rsid w:val="60EE6715"/>
    <w:rsid w:val="60EE7EEF"/>
    <w:rsid w:val="60EF4197"/>
    <w:rsid w:val="60F03B02"/>
    <w:rsid w:val="60F04023"/>
    <w:rsid w:val="60F11E42"/>
    <w:rsid w:val="60F129E1"/>
    <w:rsid w:val="60F12F0B"/>
    <w:rsid w:val="60F1769A"/>
    <w:rsid w:val="60F2357F"/>
    <w:rsid w:val="60F2511B"/>
    <w:rsid w:val="60F32B9D"/>
    <w:rsid w:val="60F4061E"/>
    <w:rsid w:val="60F60EB1"/>
    <w:rsid w:val="60F63B21"/>
    <w:rsid w:val="60F87024"/>
    <w:rsid w:val="60F875EA"/>
    <w:rsid w:val="60F9034D"/>
    <w:rsid w:val="60F94AA6"/>
    <w:rsid w:val="60FA2528"/>
    <w:rsid w:val="60FB1701"/>
    <w:rsid w:val="60FC34AC"/>
    <w:rsid w:val="60FD0F2E"/>
    <w:rsid w:val="60FE457C"/>
    <w:rsid w:val="60FE69AF"/>
    <w:rsid w:val="60FF4431"/>
    <w:rsid w:val="60FF4F56"/>
    <w:rsid w:val="60FF56E8"/>
    <w:rsid w:val="60FF5C09"/>
    <w:rsid w:val="60FF5DBE"/>
    <w:rsid w:val="61005930"/>
    <w:rsid w:val="61017934"/>
    <w:rsid w:val="61032E37"/>
    <w:rsid w:val="61037A48"/>
    <w:rsid w:val="610405E7"/>
    <w:rsid w:val="6104413C"/>
    <w:rsid w:val="61051185"/>
    <w:rsid w:val="610872BF"/>
    <w:rsid w:val="610905C4"/>
    <w:rsid w:val="610A27C2"/>
    <w:rsid w:val="610A4816"/>
    <w:rsid w:val="610B3AC7"/>
    <w:rsid w:val="610C1548"/>
    <w:rsid w:val="610C1F3F"/>
    <w:rsid w:val="610C5CC5"/>
    <w:rsid w:val="610C6769"/>
    <w:rsid w:val="610D0ABC"/>
    <w:rsid w:val="610D3747"/>
    <w:rsid w:val="610D74CC"/>
    <w:rsid w:val="610E11C8"/>
    <w:rsid w:val="610F0A45"/>
    <w:rsid w:val="610F24CD"/>
    <w:rsid w:val="610F6C4A"/>
    <w:rsid w:val="61111FBE"/>
    <w:rsid w:val="61123452"/>
    <w:rsid w:val="61127BCE"/>
    <w:rsid w:val="61130ED3"/>
    <w:rsid w:val="61135650"/>
    <w:rsid w:val="61140B53"/>
    <w:rsid w:val="611430D1"/>
    <w:rsid w:val="61146955"/>
    <w:rsid w:val="611543D6"/>
    <w:rsid w:val="611565D4"/>
    <w:rsid w:val="61171AD8"/>
    <w:rsid w:val="611778D9"/>
    <w:rsid w:val="61186D8B"/>
    <w:rsid w:val="61187559"/>
    <w:rsid w:val="61190304"/>
    <w:rsid w:val="61191028"/>
    <w:rsid w:val="611A085E"/>
    <w:rsid w:val="611A2A5C"/>
    <w:rsid w:val="611B3299"/>
    <w:rsid w:val="611B62E0"/>
    <w:rsid w:val="611C17E3"/>
    <w:rsid w:val="611C5F5F"/>
    <w:rsid w:val="611D39E1"/>
    <w:rsid w:val="611D6ED8"/>
    <w:rsid w:val="611E1462"/>
    <w:rsid w:val="611E4CE6"/>
    <w:rsid w:val="611F436F"/>
    <w:rsid w:val="611F485D"/>
    <w:rsid w:val="611F6EE4"/>
    <w:rsid w:val="612001E9"/>
    <w:rsid w:val="61204966"/>
    <w:rsid w:val="612158E8"/>
    <w:rsid w:val="61215AAC"/>
    <w:rsid w:val="61215C6A"/>
    <w:rsid w:val="612358EA"/>
    <w:rsid w:val="6124336C"/>
    <w:rsid w:val="61246BEF"/>
    <w:rsid w:val="61250763"/>
    <w:rsid w:val="61254671"/>
    <w:rsid w:val="6126686F"/>
    <w:rsid w:val="61271B17"/>
    <w:rsid w:val="612742F0"/>
    <w:rsid w:val="61281D72"/>
    <w:rsid w:val="61293077"/>
    <w:rsid w:val="61293C2F"/>
    <w:rsid w:val="61296302"/>
    <w:rsid w:val="612A5275"/>
    <w:rsid w:val="612B657A"/>
    <w:rsid w:val="612C0778"/>
    <w:rsid w:val="612C3FFB"/>
    <w:rsid w:val="612D1A7D"/>
    <w:rsid w:val="612D61FA"/>
    <w:rsid w:val="612E7483"/>
    <w:rsid w:val="61302A02"/>
    <w:rsid w:val="61310483"/>
    <w:rsid w:val="61312681"/>
    <w:rsid w:val="61333986"/>
    <w:rsid w:val="61341408"/>
    <w:rsid w:val="613434EE"/>
    <w:rsid w:val="61351088"/>
    <w:rsid w:val="61354C2B"/>
    <w:rsid w:val="6136238C"/>
    <w:rsid w:val="61365606"/>
    <w:rsid w:val="61366B09"/>
    <w:rsid w:val="6137458B"/>
    <w:rsid w:val="613761A4"/>
    <w:rsid w:val="61377E0E"/>
    <w:rsid w:val="6138200C"/>
    <w:rsid w:val="61385890"/>
    <w:rsid w:val="61386D43"/>
    <w:rsid w:val="61396F86"/>
    <w:rsid w:val="6139771D"/>
    <w:rsid w:val="61397A8E"/>
    <w:rsid w:val="613A0D93"/>
    <w:rsid w:val="613A550F"/>
    <w:rsid w:val="613B6814"/>
    <w:rsid w:val="613C0A12"/>
    <w:rsid w:val="613C4296"/>
    <w:rsid w:val="613D1D17"/>
    <w:rsid w:val="613D220F"/>
    <w:rsid w:val="613E2F72"/>
    <w:rsid w:val="613E3F16"/>
    <w:rsid w:val="61402C9C"/>
    <w:rsid w:val="614119B8"/>
    <w:rsid w:val="61414E9A"/>
    <w:rsid w:val="6142291C"/>
    <w:rsid w:val="6142619F"/>
    <w:rsid w:val="61426602"/>
    <w:rsid w:val="6143039D"/>
    <w:rsid w:val="61433C21"/>
    <w:rsid w:val="61436FDD"/>
    <w:rsid w:val="61451322"/>
    <w:rsid w:val="61457124"/>
    <w:rsid w:val="61464BA5"/>
    <w:rsid w:val="61471C93"/>
    <w:rsid w:val="61474825"/>
    <w:rsid w:val="614822A7"/>
    <w:rsid w:val="61495B2A"/>
    <w:rsid w:val="61497D28"/>
    <w:rsid w:val="614A35AB"/>
    <w:rsid w:val="614B102D"/>
    <w:rsid w:val="614B322B"/>
    <w:rsid w:val="614C6AAF"/>
    <w:rsid w:val="614D4530"/>
    <w:rsid w:val="614E7A33"/>
    <w:rsid w:val="614F743B"/>
    <w:rsid w:val="61502F36"/>
    <w:rsid w:val="61511552"/>
    <w:rsid w:val="61526439"/>
    <w:rsid w:val="61533EBB"/>
    <w:rsid w:val="6154193C"/>
    <w:rsid w:val="615458E4"/>
    <w:rsid w:val="61553594"/>
    <w:rsid w:val="615728C1"/>
    <w:rsid w:val="61572C72"/>
    <w:rsid w:val="615A3846"/>
    <w:rsid w:val="615A7899"/>
    <w:rsid w:val="615B0273"/>
    <w:rsid w:val="615B12C7"/>
    <w:rsid w:val="615C6D49"/>
    <w:rsid w:val="615F7CCE"/>
    <w:rsid w:val="6160574F"/>
    <w:rsid w:val="61607F6D"/>
    <w:rsid w:val="61620C52"/>
    <w:rsid w:val="616366D4"/>
    <w:rsid w:val="6163767F"/>
    <w:rsid w:val="61637D56"/>
    <w:rsid w:val="61644155"/>
    <w:rsid w:val="61647159"/>
    <w:rsid w:val="61647314"/>
    <w:rsid w:val="61656047"/>
    <w:rsid w:val="616561FC"/>
    <w:rsid w:val="616563B2"/>
    <w:rsid w:val="61657658"/>
    <w:rsid w:val="6166050D"/>
    <w:rsid w:val="616606D1"/>
    <w:rsid w:val="61671270"/>
    <w:rsid w:val="61692624"/>
    <w:rsid w:val="616A18E2"/>
    <w:rsid w:val="616A3AE0"/>
    <w:rsid w:val="616B3B9D"/>
    <w:rsid w:val="616B7363"/>
    <w:rsid w:val="616C4DE5"/>
    <w:rsid w:val="616D02E8"/>
    <w:rsid w:val="616D2866"/>
    <w:rsid w:val="616D5E79"/>
    <w:rsid w:val="616E5D6A"/>
    <w:rsid w:val="616E6854"/>
    <w:rsid w:val="6171096B"/>
    <w:rsid w:val="6171346B"/>
    <w:rsid w:val="61717698"/>
    <w:rsid w:val="61720EED"/>
    <w:rsid w:val="61724770"/>
    <w:rsid w:val="61742A83"/>
    <w:rsid w:val="61747A77"/>
    <w:rsid w:val="617556F4"/>
    <w:rsid w:val="61763FFC"/>
    <w:rsid w:val="61770BF8"/>
    <w:rsid w:val="617862D8"/>
    <w:rsid w:val="61796113"/>
    <w:rsid w:val="617A62F9"/>
    <w:rsid w:val="617B3D7A"/>
    <w:rsid w:val="617B75FE"/>
    <w:rsid w:val="617D1968"/>
    <w:rsid w:val="617D2B01"/>
    <w:rsid w:val="617D4CFF"/>
    <w:rsid w:val="617E0582"/>
    <w:rsid w:val="617E2507"/>
    <w:rsid w:val="617F6004"/>
    <w:rsid w:val="61804484"/>
    <w:rsid w:val="61813521"/>
    <w:rsid w:val="618136D7"/>
    <w:rsid w:val="61822775"/>
    <w:rsid w:val="61834A0A"/>
    <w:rsid w:val="6184248C"/>
    <w:rsid w:val="6184468A"/>
    <w:rsid w:val="6185210C"/>
    <w:rsid w:val="6185598F"/>
    <w:rsid w:val="61857F0D"/>
    <w:rsid w:val="61870A4A"/>
    <w:rsid w:val="61870E92"/>
    <w:rsid w:val="6187560F"/>
    <w:rsid w:val="61881063"/>
    <w:rsid w:val="618A1E17"/>
    <w:rsid w:val="618A333F"/>
    <w:rsid w:val="618A6593"/>
    <w:rsid w:val="618B7898"/>
    <w:rsid w:val="618C17C7"/>
    <w:rsid w:val="618C1A96"/>
    <w:rsid w:val="618C46F3"/>
    <w:rsid w:val="618C531A"/>
    <w:rsid w:val="618D2D9B"/>
    <w:rsid w:val="618E081D"/>
    <w:rsid w:val="618F629E"/>
    <w:rsid w:val="6190049D"/>
    <w:rsid w:val="61903D20"/>
    <w:rsid w:val="6191435B"/>
    <w:rsid w:val="61914A31"/>
    <w:rsid w:val="61927223"/>
    <w:rsid w:val="61931421"/>
    <w:rsid w:val="619314C1"/>
    <w:rsid w:val="619365A5"/>
    <w:rsid w:val="61941E9B"/>
    <w:rsid w:val="61942060"/>
    <w:rsid w:val="61942726"/>
    <w:rsid w:val="61954924"/>
    <w:rsid w:val="619736AB"/>
    <w:rsid w:val="61974D16"/>
    <w:rsid w:val="619758A9"/>
    <w:rsid w:val="6198112C"/>
    <w:rsid w:val="61990DAC"/>
    <w:rsid w:val="61996BAE"/>
    <w:rsid w:val="619A462F"/>
    <w:rsid w:val="619C03A7"/>
    <w:rsid w:val="619C1D31"/>
    <w:rsid w:val="619C7B32"/>
    <w:rsid w:val="619D3036"/>
    <w:rsid w:val="619D77B2"/>
    <w:rsid w:val="619E5234"/>
    <w:rsid w:val="619F2CB5"/>
    <w:rsid w:val="619F6539"/>
    <w:rsid w:val="61A02E98"/>
    <w:rsid w:val="61A11A3C"/>
    <w:rsid w:val="61A274BD"/>
    <w:rsid w:val="61A316BC"/>
    <w:rsid w:val="61A34F3F"/>
    <w:rsid w:val="61A3598A"/>
    <w:rsid w:val="61A35B4E"/>
    <w:rsid w:val="61A50442"/>
    <w:rsid w:val="61A54BBF"/>
    <w:rsid w:val="61A65EC3"/>
    <w:rsid w:val="61A67AA2"/>
    <w:rsid w:val="61A85B43"/>
    <w:rsid w:val="61A91D7E"/>
    <w:rsid w:val="61A935C5"/>
    <w:rsid w:val="61A96E48"/>
    <w:rsid w:val="61AA1046"/>
    <w:rsid w:val="61AA48CA"/>
    <w:rsid w:val="61AA5F0C"/>
    <w:rsid w:val="61AC31DA"/>
    <w:rsid w:val="61AC454A"/>
    <w:rsid w:val="61AC7DCD"/>
    <w:rsid w:val="61AE54CE"/>
    <w:rsid w:val="61AE7A4D"/>
    <w:rsid w:val="61AF2F50"/>
    <w:rsid w:val="61AF5FAD"/>
    <w:rsid w:val="61B009D1"/>
    <w:rsid w:val="61B067C2"/>
    <w:rsid w:val="61B067D3"/>
    <w:rsid w:val="61B07526"/>
    <w:rsid w:val="61B14255"/>
    <w:rsid w:val="61B17361"/>
    <w:rsid w:val="61B21CD6"/>
    <w:rsid w:val="61B31956"/>
    <w:rsid w:val="61B37758"/>
    <w:rsid w:val="61B451D9"/>
    <w:rsid w:val="61B529F2"/>
    <w:rsid w:val="61B52C5B"/>
    <w:rsid w:val="61B628DB"/>
    <w:rsid w:val="61B63590"/>
    <w:rsid w:val="61B81661"/>
    <w:rsid w:val="61B84CCE"/>
    <w:rsid w:val="61B970E2"/>
    <w:rsid w:val="61BA4B64"/>
    <w:rsid w:val="61BA6082"/>
    <w:rsid w:val="61BA6246"/>
    <w:rsid w:val="61BD5AE9"/>
    <w:rsid w:val="61BF0FEC"/>
    <w:rsid w:val="61C06A6D"/>
    <w:rsid w:val="61C21F70"/>
    <w:rsid w:val="61C45474"/>
    <w:rsid w:val="61C52EF5"/>
    <w:rsid w:val="61C60977"/>
    <w:rsid w:val="61C763F8"/>
    <w:rsid w:val="61C805F8"/>
    <w:rsid w:val="61C918FB"/>
    <w:rsid w:val="61C97908"/>
    <w:rsid w:val="61CA1B71"/>
    <w:rsid w:val="61CA737D"/>
    <w:rsid w:val="61CB4DFE"/>
    <w:rsid w:val="61CC2880"/>
    <w:rsid w:val="61CC3E4D"/>
    <w:rsid w:val="61D06D08"/>
    <w:rsid w:val="61D14789"/>
    <w:rsid w:val="61D2000C"/>
    <w:rsid w:val="61D27EB7"/>
    <w:rsid w:val="61D30A56"/>
    <w:rsid w:val="61D37C8C"/>
    <w:rsid w:val="61D43510"/>
    <w:rsid w:val="61D50F91"/>
    <w:rsid w:val="61D5318F"/>
    <w:rsid w:val="61D60C11"/>
    <w:rsid w:val="61D66A13"/>
    <w:rsid w:val="61D71F16"/>
    <w:rsid w:val="61D72606"/>
    <w:rsid w:val="61D7370C"/>
    <w:rsid w:val="61D76693"/>
    <w:rsid w:val="61D81393"/>
    <w:rsid w:val="61D87997"/>
    <w:rsid w:val="61D91B96"/>
    <w:rsid w:val="61D95419"/>
    <w:rsid w:val="61DA006A"/>
    <w:rsid w:val="61DA2E9A"/>
    <w:rsid w:val="61DA565F"/>
    <w:rsid w:val="61DB5099"/>
    <w:rsid w:val="61DC2B1A"/>
    <w:rsid w:val="61DC7777"/>
    <w:rsid w:val="61DC793B"/>
    <w:rsid w:val="61DE1631"/>
    <w:rsid w:val="61DE18A1"/>
    <w:rsid w:val="61DF1A53"/>
    <w:rsid w:val="61DF603B"/>
    <w:rsid w:val="61E01520"/>
    <w:rsid w:val="61E04DA4"/>
    <w:rsid w:val="61E12825"/>
    <w:rsid w:val="61E202A7"/>
    <w:rsid w:val="61E215D8"/>
    <w:rsid w:val="61E239A6"/>
    <w:rsid w:val="61E324A5"/>
    <w:rsid w:val="61E47F27"/>
    <w:rsid w:val="61E559A8"/>
    <w:rsid w:val="61E60EAB"/>
    <w:rsid w:val="61E648C2"/>
    <w:rsid w:val="61E66498"/>
    <w:rsid w:val="61E66CAD"/>
    <w:rsid w:val="61E7692D"/>
    <w:rsid w:val="61E77BD5"/>
    <w:rsid w:val="61E805AF"/>
    <w:rsid w:val="61E821B0"/>
    <w:rsid w:val="61E829FD"/>
    <w:rsid w:val="61E843AE"/>
    <w:rsid w:val="61E91E30"/>
    <w:rsid w:val="61E97C32"/>
    <w:rsid w:val="61EA56B3"/>
    <w:rsid w:val="61EB0BE3"/>
    <w:rsid w:val="61EB26C7"/>
    <w:rsid w:val="61EB3135"/>
    <w:rsid w:val="61EB5333"/>
    <w:rsid w:val="61EC0BB6"/>
    <w:rsid w:val="61EC2DB5"/>
    <w:rsid w:val="61ED3E04"/>
    <w:rsid w:val="61ED6638"/>
    <w:rsid w:val="61EE62B8"/>
    <w:rsid w:val="61EF3D39"/>
    <w:rsid w:val="61EF537D"/>
    <w:rsid w:val="61EF75BD"/>
    <w:rsid w:val="61F05D57"/>
    <w:rsid w:val="61F05F1C"/>
    <w:rsid w:val="61F12AC0"/>
    <w:rsid w:val="61F168F6"/>
    <w:rsid w:val="61F20541"/>
    <w:rsid w:val="61F2494A"/>
    <w:rsid w:val="61F24CBE"/>
    <w:rsid w:val="61F30033"/>
    <w:rsid w:val="61F3273F"/>
    <w:rsid w:val="61F35FC3"/>
    <w:rsid w:val="61F37E6F"/>
    <w:rsid w:val="61F401C1"/>
    <w:rsid w:val="61F515AC"/>
    <w:rsid w:val="61F51F86"/>
    <w:rsid w:val="61F55C43"/>
    <w:rsid w:val="61F636C4"/>
    <w:rsid w:val="61F749C9"/>
    <w:rsid w:val="61F8244A"/>
    <w:rsid w:val="61F86BC7"/>
    <w:rsid w:val="61F94649"/>
    <w:rsid w:val="61FA20CA"/>
    <w:rsid w:val="61FA594E"/>
    <w:rsid w:val="61FB637A"/>
    <w:rsid w:val="61FB7B4C"/>
    <w:rsid w:val="61FC0E51"/>
    <w:rsid w:val="61FE26C5"/>
    <w:rsid w:val="61FF1DD5"/>
    <w:rsid w:val="61FF3FD4"/>
    <w:rsid w:val="62001846"/>
    <w:rsid w:val="62001A55"/>
    <w:rsid w:val="620152D8"/>
    <w:rsid w:val="620177F7"/>
    <w:rsid w:val="62022D5A"/>
    <w:rsid w:val="62024F58"/>
    <w:rsid w:val="620307DC"/>
    <w:rsid w:val="620344FC"/>
    <w:rsid w:val="6204045B"/>
    <w:rsid w:val="62044ED6"/>
    <w:rsid w:val="6204509B"/>
    <w:rsid w:val="6204625D"/>
    <w:rsid w:val="62053CDF"/>
    <w:rsid w:val="62055C39"/>
    <w:rsid w:val="62055EDD"/>
    <w:rsid w:val="62061760"/>
    <w:rsid w:val="62066613"/>
    <w:rsid w:val="620671E2"/>
    <w:rsid w:val="620678C3"/>
    <w:rsid w:val="620826E5"/>
    <w:rsid w:val="62086E62"/>
    <w:rsid w:val="62090166"/>
    <w:rsid w:val="6209072B"/>
    <w:rsid w:val="620948E3"/>
    <w:rsid w:val="620A2365"/>
    <w:rsid w:val="620B3669"/>
    <w:rsid w:val="620B7DE6"/>
    <w:rsid w:val="620C10EB"/>
    <w:rsid w:val="620D33E1"/>
    <w:rsid w:val="620D6B6D"/>
    <w:rsid w:val="620E45EE"/>
    <w:rsid w:val="620F2070"/>
    <w:rsid w:val="6210426E"/>
    <w:rsid w:val="62107AF1"/>
    <w:rsid w:val="62110259"/>
    <w:rsid w:val="62122FF4"/>
    <w:rsid w:val="62123983"/>
    <w:rsid w:val="6212744C"/>
    <w:rsid w:val="62127610"/>
    <w:rsid w:val="62127771"/>
    <w:rsid w:val="62130A76"/>
    <w:rsid w:val="621326B5"/>
    <w:rsid w:val="621351F3"/>
    <w:rsid w:val="62141753"/>
    <w:rsid w:val="62141C74"/>
    <w:rsid w:val="621464F7"/>
    <w:rsid w:val="62147C2E"/>
    <w:rsid w:val="62153F79"/>
    <w:rsid w:val="621619FB"/>
    <w:rsid w:val="62161F3E"/>
    <w:rsid w:val="62166177"/>
    <w:rsid w:val="6217167A"/>
    <w:rsid w:val="62172ADC"/>
    <w:rsid w:val="6217747C"/>
    <w:rsid w:val="6219297F"/>
    <w:rsid w:val="62194B7D"/>
    <w:rsid w:val="621B3775"/>
    <w:rsid w:val="621B5E82"/>
    <w:rsid w:val="621D1385"/>
    <w:rsid w:val="621D6D0B"/>
    <w:rsid w:val="621E78AA"/>
    <w:rsid w:val="621F230A"/>
    <w:rsid w:val="6221580D"/>
    <w:rsid w:val="6222328F"/>
    <w:rsid w:val="62223BC5"/>
    <w:rsid w:val="62224971"/>
    <w:rsid w:val="62254213"/>
    <w:rsid w:val="62292C19"/>
    <w:rsid w:val="622A06E2"/>
    <w:rsid w:val="622B1E20"/>
    <w:rsid w:val="622D1620"/>
    <w:rsid w:val="622E3F37"/>
    <w:rsid w:val="622F4B23"/>
    <w:rsid w:val="622F79DB"/>
    <w:rsid w:val="623054B0"/>
    <w:rsid w:val="62310026"/>
    <w:rsid w:val="62340FAB"/>
    <w:rsid w:val="623616DF"/>
    <w:rsid w:val="623644AE"/>
    <w:rsid w:val="62364782"/>
    <w:rsid w:val="623757B2"/>
    <w:rsid w:val="62383234"/>
    <w:rsid w:val="62385432"/>
    <w:rsid w:val="62392EB4"/>
    <w:rsid w:val="623941D1"/>
    <w:rsid w:val="623A0935"/>
    <w:rsid w:val="623A6737"/>
    <w:rsid w:val="623C3E38"/>
    <w:rsid w:val="623C6124"/>
    <w:rsid w:val="623D18BA"/>
    <w:rsid w:val="623D6E87"/>
    <w:rsid w:val="623D76BC"/>
    <w:rsid w:val="623E513D"/>
    <w:rsid w:val="623F0400"/>
    <w:rsid w:val="623F0640"/>
    <w:rsid w:val="623F2BBF"/>
    <w:rsid w:val="624060C2"/>
    <w:rsid w:val="624102C0"/>
    <w:rsid w:val="624215C5"/>
    <w:rsid w:val="624330B6"/>
    <w:rsid w:val="624337C3"/>
    <w:rsid w:val="62436032"/>
    <w:rsid w:val="62437047"/>
    <w:rsid w:val="624438CC"/>
    <w:rsid w:val="62444AC8"/>
    <w:rsid w:val="6245446B"/>
    <w:rsid w:val="62464748"/>
    <w:rsid w:val="62465009"/>
    <w:rsid w:val="624759E4"/>
    <w:rsid w:val="62475A4D"/>
    <w:rsid w:val="62475BA8"/>
    <w:rsid w:val="6247665C"/>
    <w:rsid w:val="624834CE"/>
    <w:rsid w:val="62487C4B"/>
    <w:rsid w:val="624956CD"/>
    <w:rsid w:val="624A314E"/>
    <w:rsid w:val="624B0BD0"/>
    <w:rsid w:val="624C1ED5"/>
    <w:rsid w:val="624C6651"/>
    <w:rsid w:val="624D2976"/>
    <w:rsid w:val="624D3D9E"/>
    <w:rsid w:val="624E1B54"/>
    <w:rsid w:val="624E770C"/>
    <w:rsid w:val="624F2E59"/>
    <w:rsid w:val="624F3EEF"/>
    <w:rsid w:val="624F5057"/>
    <w:rsid w:val="62502AD9"/>
    <w:rsid w:val="62525E42"/>
    <w:rsid w:val="62525FDC"/>
    <w:rsid w:val="625414DF"/>
    <w:rsid w:val="62550AF8"/>
    <w:rsid w:val="62554D62"/>
    <w:rsid w:val="62556F61"/>
    <w:rsid w:val="62561697"/>
    <w:rsid w:val="625627E4"/>
    <w:rsid w:val="625649E2"/>
    <w:rsid w:val="62572071"/>
    <w:rsid w:val="62582C10"/>
    <w:rsid w:val="62583769"/>
    <w:rsid w:val="625935EA"/>
    <w:rsid w:val="625A33E9"/>
    <w:rsid w:val="625A6C6C"/>
    <w:rsid w:val="625B0E6A"/>
    <w:rsid w:val="625C216F"/>
    <w:rsid w:val="625C5EA4"/>
    <w:rsid w:val="625D7BF0"/>
    <w:rsid w:val="625E1DEF"/>
    <w:rsid w:val="625E3532"/>
    <w:rsid w:val="625E5672"/>
    <w:rsid w:val="625E6C7A"/>
    <w:rsid w:val="625F7870"/>
    <w:rsid w:val="62600B75"/>
    <w:rsid w:val="626052F2"/>
    <w:rsid w:val="62610F56"/>
    <w:rsid w:val="62612D73"/>
    <w:rsid w:val="626207F5"/>
    <w:rsid w:val="62631AFA"/>
    <w:rsid w:val="626324CF"/>
    <w:rsid w:val="6263306E"/>
    <w:rsid w:val="62636276"/>
    <w:rsid w:val="62643CF8"/>
    <w:rsid w:val="62654FFD"/>
    <w:rsid w:val="62662A7E"/>
    <w:rsid w:val="626671FB"/>
    <w:rsid w:val="62670500"/>
    <w:rsid w:val="62674C7D"/>
    <w:rsid w:val="62680180"/>
    <w:rsid w:val="62685F81"/>
    <w:rsid w:val="6269729D"/>
    <w:rsid w:val="626A0161"/>
    <w:rsid w:val="626A09ED"/>
    <w:rsid w:val="626A1485"/>
    <w:rsid w:val="626B1104"/>
    <w:rsid w:val="626B73B4"/>
    <w:rsid w:val="626C11F0"/>
    <w:rsid w:val="626C4988"/>
    <w:rsid w:val="626D1D8F"/>
    <w:rsid w:val="626D2409"/>
    <w:rsid w:val="626D4608"/>
    <w:rsid w:val="626E2769"/>
    <w:rsid w:val="626E7E8B"/>
    <w:rsid w:val="626F3307"/>
    <w:rsid w:val="626F338E"/>
    <w:rsid w:val="626F619A"/>
    <w:rsid w:val="62700E0F"/>
    <w:rsid w:val="62704A45"/>
    <w:rsid w:val="6270558C"/>
    <w:rsid w:val="6271300E"/>
    <w:rsid w:val="62716891"/>
    <w:rsid w:val="62720A8F"/>
    <w:rsid w:val="62731D94"/>
    <w:rsid w:val="62736511"/>
    <w:rsid w:val="62736998"/>
    <w:rsid w:val="62743F92"/>
    <w:rsid w:val="62762D19"/>
    <w:rsid w:val="62767495"/>
    <w:rsid w:val="6277079A"/>
    <w:rsid w:val="62774F17"/>
    <w:rsid w:val="62782028"/>
    <w:rsid w:val="627831CA"/>
    <w:rsid w:val="62783C0B"/>
    <w:rsid w:val="6279041A"/>
    <w:rsid w:val="62791EFC"/>
    <w:rsid w:val="6279293E"/>
    <w:rsid w:val="62792AF3"/>
    <w:rsid w:val="627A5E9C"/>
    <w:rsid w:val="627B391D"/>
    <w:rsid w:val="627B4304"/>
    <w:rsid w:val="627B71A0"/>
    <w:rsid w:val="627C4C22"/>
    <w:rsid w:val="627D26A4"/>
    <w:rsid w:val="627D56B9"/>
    <w:rsid w:val="627D641C"/>
    <w:rsid w:val="627E48A2"/>
    <w:rsid w:val="627F6C32"/>
    <w:rsid w:val="627F7995"/>
    <w:rsid w:val="6280036F"/>
    <w:rsid w:val="62803628"/>
    <w:rsid w:val="62810D49"/>
    <w:rsid w:val="628132A8"/>
    <w:rsid w:val="62826B2B"/>
    <w:rsid w:val="628345AD"/>
    <w:rsid w:val="6284202E"/>
    <w:rsid w:val="62857AB0"/>
    <w:rsid w:val="62865532"/>
    <w:rsid w:val="62870A35"/>
    <w:rsid w:val="62871484"/>
    <w:rsid w:val="62874F65"/>
    <w:rsid w:val="62885B17"/>
    <w:rsid w:val="62893F38"/>
    <w:rsid w:val="628A19B9"/>
    <w:rsid w:val="628B743B"/>
    <w:rsid w:val="628C07CD"/>
    <w:rsid w:val="628C136C"/>
    <w:rsid w:val="628C4EBC"/>
    <w:rsid w:val="628F5E41"/>
    <w:rsid w:val="629038C3"/>
    <w:rsid w:val="62911344"/>
    <w:rsid w:val="62926DC6"/>
    <w:rsid w:val="62934847"/>
    <w:rsid w:val="62935F75"/>
    <w:rsid w:val="629422C9"/>
    <w:rsid w:val="62946B14"/>
    <w:rsid w:val="629578F8"/>
    <w:rsid w:val="62957D4A"/>
    <w:rsid w:val="629673D7"/>
    <w:rsid w:val="62975F54"/>
    <w:rsid w:val="62980CCF"/>
    <w:rsid w:val="62981606"/>
    <w:rsid w:val="629921A4"/>
    <w:rsid w:val="62996751"/>
    <w:rsid w:val="629A41D2"/>
    <w:rsid w:val="629B40F7"/>
    <w:rsid w:val="629D09DA"/>
    <w:rsid w:val="629E63D3"/>
    <w:rsid w:val="62A03B5D"/>
    <w:rsid w:val="62A07788"/>
    <w:rsid w:val="62A0794C"/>
    <w:rsid w:val="62A115DE"/>
    <w:rsid w:val="62A173E0"/>
    <w:rsid w:val="62A20EC5"/>
    <w:rsid w:val="62A328E3"/>
    <w:rsid w:val="62A32E82"/>
    <w:rsid w:val="62A514DE"/>
    <w:rsid w:val="62A52FDD"/>
    <w:rsid w:val="62A57FE5"/>
    <w:rsid w:val="62A63868"/>
    <w:rsid w:val="62A6471A"/>
    <w:rsid w:val="62A65A66"/>
    <w:rsid w:val="62A847ED"/>
    <w:rsid w:val="62A84F30"/>
    <w:rsid w:val="62A85ACE"/>
    <w:rsid w:val="62A86D6B"/>
    <w:rsid w:val="62A9226E"/>
    <w:rsid w:val="62A969EB"/>
    <w:rsid w:val="62AA446C"/>
    <w:rsid w:val="62AB1EEE"/>
    <w:rsid w:val="62AB5771"/>
    <w:rsid w:val="62AB7BE6"/>
    <w:rsid w:val="62AC31F3"/>
    <w:rsid w:val="62AC7970"/>
    <w:rsid w:val="62AD1323"/>
    <w:rsid w:val="62B13DF7"/>
    <w:rsid w:val="62B21879"/>
    <w:rsid w:val="62B227ED"/>
    <w:rsid w:val="62B32B7E"/>
    <w:rsid w:val="62B405FF"/>
    <w:rsid w:val="62B430C4"/>
    <w:rsid w:val="62B44D7C"/>
    <w:rsid w:val="62B527FD"/>
    <w:rsid w:val="62B56081"/>
    <w:rsid w:val="62B56907"/>
    <w:rsid w:val="62B6027F"/>
    <w:rsid w:val="62B63B02"/>
    <w:rsid w:val="62B71584"/>
    <w:rsid w:val="62B75D01"/>
    <w:rsid w:val="62B81204"/>
    <w:rsid w:val="62B83782"/>
    <w:rsid w:val="62B96C85"/>
    <w:rsid w:val="62BB487B"/>
    <w:rsid w:val="62BB7F8A"/>
    <w:rsid w:val="62BC5A0C"/>
    <w:rsid w:val="62BD1AC6"/>
    <w:rsid w:val="62BD348D"/>
    <w:rsid w:val="62BD4E12"/>
    <w:rsid w:val="62BE310D"/>
    <w:rsid w:val="62BE57EC"/>
    <w:rsid w:val="62BF0B8F"/>
    <w:rsid w:val="62C01E93"/>
    <w:rsid w:val="62C04412"/>
    <w:rsid w:val="62C06610"/>
    <w:rsid w:val="62C14092"/>
    <w:rsid w:val="62C25DC1"/>
    <w:rsid w:val="62C32E18"/>
    <w:rsid w:val="62C4089A"/>
    <w:rsid w:val="62C52A98"/>
    <w:rsid w:val="62C7450D"/>
    <w:rsid w:val="62C75F9B"/>
    <w:rsid w:val="62C872A0"/>
    <w:rsid w:val="62C94D21"/>
    <w:rsid w:val="62C95A86"/>
    <w:rsid w:val="62CA27A3"/>
    <w:rsid w:val="62CA6F20"/>
    <w:rsid w:val="62CA7B03"/>
    <w:rsid w:val="62CB49A1"/>
    <w:rsid w:val="62CB74E3"/>
    <w:rsid w:val="62CC5CA6"/>
    <w:rsid w:val="62CD7EA4"/>
    <w:rsid w:val="62CE1116"/>
    <w:rsid w:val="62CE11A9"/>
    <w:rsid w:val="62CE5926"/>
    <w:rsid w:val="62CF33A7"/>
    <w:rsid w:val="62D033F2"/>
    <w:rsid w:val="62D046AC"/>
    <w:rsid w:val="62D068AA"/>
    <w:rsid w:val="62D1212E"/>
    <w:rsid w:val="62D17EC8"/>
    <w:rsid w:val="62D21DAE"/>
    <w:rsid w:val="62D27BAF"/>
    <w:rsid w:val="62D35631"/>
    <w:rsid w:val="62D3782F"/>
    <w:rsid w:val="62D430B2"/>
    <w:rsid w:val="62D452B1"/>
    <w:rsid w:val="62D460A8"/>
    <w:rsid w:val="62D50B34"/>
    <w:rsid w:val="62D665B5"/>
    <w:rsid w:val="62D6745D"/>
    <w:rsid w:val="62D76235"/>
    <w:rsid w:val="62D77FFB"/>
    <w:rsid w:val="62D81AB9"/>
    <w:rsid w:val="62D91738"/>
    <w:rsid w:val="62D94FBC"/>
    <w:rsid w:val="62DA2A3D"/>
    <w:rsid w:val="62DA71BA"/>
    <w:rsid w:val="62DC26BD"/>
    <w:rsid w:val="62DC368C"/>
    <w:rsid w:val="62DD013F"/>
    <w:rsid w:val="62DE3608"/>
    <w:rsid w:val="62DE4C05"/>
    <w:rsid w:val="62DE5BC0"/>
    <w:rsid w:val="62DF24F0"/>
    <w:rsid w:val="62DF57A3"/>
    <w:rsid w:val="62DF6342"/>
    <w:rsid w:val="62E010C3"/>
    <w:rsid w:val="62E018F9"/>
    <w:rsid w:val="62E123C8"/>
    <w:rsid w:val="62E16B45"/>
    <w:rsid w:val="62E22F16"/>
    <w:rsid w:val="62E245C6"/>
    <w:rsid w:val="62E273EF"/>
    <w:rsid w:val="62E27E4A"/>
    <w:rsid w:val="62E32048"/>
    <w:rsid w:val="62E358CB"/>
    <w:rsid w:val="62E47AC9"/>
    <w:rsid w:val="62E50DCE"/>
    <w:rsid w:val="62E5554B"/>
    <w:rsid w:val="62E62FCC"/>
    <w:rsid w:val="62E63110"/>
    <w:rsid w:val="62E70A4E"/>
    <w:rsid w:val="62E73AEA"/>
    <w:rsid w:val="62E742D1"/>
    <w:rsid w:val="62E83F51"/>
    <w:rsid w:val="62E864D0"/>
    <w:rsid w:val="62EB4F4D"/>
    <w:rsid w:val="62EC0759"/>
    <w:rsid w:val="62ED61DB"/>
    <w:rsid w:val="62EE3C5C"/>
    <w:rsid w:val="62EE3D6A"/>
    <w:rsid w:val="62EF16DE"/>
    <w:rsid w:val="62EF1C6C"/>
    <w:rsid w:val="62EF1E31"/>
    <w:rsid w:val="62F04BE1"/>
    <w:rsid w:val="62F35B65"/>
    <w:rsid w:val="62F51069"/>
    <w:rsid w:val="62F66AEA"/>
    <w:rsid w:val="62F7456C"/>
    <w:rsid w:val="62FA228F"/>
    <w:rsid w:val="62FA54F0"/>
    <w:rsid w:val="62FB2C69"/>
    <w:rsid w:val="62FB2F72"/>
    <w:rsid w:val="62FC713F"/>
    <w:rsid w:val="62FC79CB"/>
    <w:rsid w:val="62FD41E2"/>
    <w:rsid w:val="62FD43A6"/>
    <w:rsid w:val="62FD6475"/>
    <w:rsid w:val="62FE3EF7"/>
    <w:rsid w:val="62FF575B"/>
    <w:rsid w:val="62FF591F"/>
    <w:rsid w:val="63014E7B"/>
    <w:rsid w:val="630228FD"/>
    <w:rsid w:val="63027872"/>
    <w:rsid w:val="6303037E"/>
    <w:rsid w:val="63040DEB"/>
    <w:rsid w:val="63041683"/>
    <w:rsid w:val="63055B75"/>
    <w:rsid w:val="63057105"/>
    <w:rsid w:val="63061303"/>
    <w:rsid w:val="63064B86"/>
    <w:rsid w:val="63076D84"/>
    <w:rsid w:val="63080089"/>
    <w:rsid w:val="63082288"/>
    <w:rsid w:val="63095B0B"/>
    <w:rsid w:val="63097D09"/>
    <w:rsid w:val="63097EDB"/>
    <w:rsid w:val="630B320C"/>
    <w:rsid w:val="630B6758"/>
    <w:rsid w:val="630C0804"/>
    <w:rsid w:val="630C0C8E"/>
    <w:rsid w:val="630C6A8F"/>
    <w:rsid w:val="630C72F6"/>
    <w:rsid w:val="630D3D17"/>
    <w:rsid w:val="630D7CD1"/>
    <w:rsid w:val="630E1F93"/>
    <w:rsid w:val="630E4191"/>
    <w:rsid w:val="630F1C12"/>
    <w:rsid w:val="63102F17"/>
    <w:rsid w:val="63107694"/>
    <w:rsid w:val="63122B97"/>
    <w:rsid w:val="63133E9C"/>
    <w:rsid w:val="6314191D"/>
    <w:rsid w:val="6314609A"/>
    <w:rsid w:val="63153B1C"/>
    <w:rsid w:val="6315739F"/>
    <w:rsid w:val="6316159D"/>
    <w:rsid w:val="631728A2"/>
    <w:rsid w:val="63190CCD"/>
    <w:rsid w:val="63192522"/>
    <w:rsid w:val="63195DA5"/>
    <w:rsid w:val="631B12A8"/>
    <w:rsid w:val="631C34A7"/>
    <w:rsid w:val="631C4126"/>
    <w:rsid w:val="631C6D2A"/>
    <w:rsid w:val="631D47AB"/>
    <w:rsid w:val="631E69AA"/>
    <w:rsid w:val="631F7CAE"/>
    <w:rsid w:val="63203B83"/>
    <w:rsid w:val="63205712"/>
    <w:rsid w:val="632153B0"/>
    <w:rsid w:val="632308B3"/>
    <w:rsid w:val="632366B5"/>
    <w:rsid w:val="632403C9"/>
    <w:rsid w:val="63244136"/>
    <w:rsid w:val="63251BB8"/>
    <w:rsid w:val="63253DB6"/>
    <w:rsid w:val="63261838"/>
    <w:rsid w:val="632624E0"/>
    <w:rsid w:val="63267639"/>
    <w:rsid w:val="632750BB"/>
    <w:rsid w:val="632772B9"/>
    <w:rsid w:val="63282B3C"/>
    <w:rsid w:val="632857BE"/>
    <w:rsid w:val="63295453"/>
    <w:rsid w:val="632A023E"/>
    <w:rsid w:val="632A3AC1"/>
    <w:rsid w:val="632A4FD2"/>
    <w:rsid w:val="632B1543"/>
    <w:rsid w:val="632B5CBF"/>
    <w:rsid w:val="632B5D35"/>
    <w:rsid w:val="632E24C7"/>
    <w:rsid w:val="632E6C44"/>
    <w:rsid w:val="632F0827"/>
    <w:rsid w:val="63302147"/>
    <w:rsid w:val="633059CA"/>
    <w:rsid w:val="6331344C"/>
    <w:rsid w:val="63317BC9"/>
    <w:rsid w:val="63320ECD"/>
    <w:rsid w:val="6332564A"/>
    <w:rsid w:val="633330CC"/>
    <w:rsid w:val="6333694F"/>
    <w:rsid w:val="63340B4D"/>
    <w:rsid w:val="63351269"/>
    <w:rsid w:val="63351E52"/>
    <w:rsid w:val="633565CF"/>
    <w:rsid w:val="633659F6"/>
    <w:rsid w:val="63365FCF"/>
    <w:rsid w:val="63371AD2"/>
    <w:rsid w:val="63375355"/>
    <w:rsid w:val="633778C5"/>
    <w:rsid w:val="63382DD7"/>
    <w:rsid w:val="63387553"/>
    <w:rsid w:val="63392A57"/>
    <w:rsid w:val="633A04D8"/>
    <w:rsid w:val="633C17DD"/>
    <w:rsid w:val="633C39DB"/>
    <w:rsid w:val="633D2D9C"/>
    <w:rsid w:val="633D725E"/>
    <w:rsid w:val="633F4960"/>
    <w:rsid w:val="634001E3"/>
    <w:rsid w:val="634136E6"/>
    <w:rsid w:val="63415C65"/>
    <w:rsid w:val="63417E63"/>
    <w:rsid w:val="63421168"/>
    <w:rsid w:val="634258E5"/>
    <w:rsid w:val="63433F66"/>
    <w:rsid w:val="6343463D"/>
    <w:rsid w:val="63436BE9"/>
    <w:rsid w:val="63440DE8"/>
    <w:rsid w:val="6344336F"/>
    <w:rsid w:val="63456869"/>
    <w:rsid w:val="634642EB"/>
    <w:rsid w:val="63472497"/>
    <w:rsid w:val="634877EE"/>
    <w:rsid w:val="634A6574"/>
    <w:rsid w:val="634B3FF6"/>
    <w:rsid w:val="634C5B28"/>
    <w:rsid w:val="634C61F4"/>
    <w:rsid w:val="634C688B"/>
    <w:rsid w:val="634D3C76"/>
    <w:rsid w:val="634E16F7"/>
    <w:rsid w:val="634E4F7A"/>
    <w:rsid w:val="634F7179"/>
    <w:rsid w:val="63511D57"/>
    <w:rsid w:val="63515EFF"/>
    <w:rsid w:val="63516C64"/>
    <w:rsid w:val="63523981"/>
    <w:rsid w:val="63531402"/>
    <w:rsid w:val="63534F55"/>
    <w:rsid w:val="63535997"/>
    <w:rsid w:val="63544033"/>
    <w:rsid w:val="63546E84"/>
    <w:rsid w:val="63554905"/>
    <w:rsid w:val="63554A0D"/>
    <w:rsid w:val="63562387"/>
    <w:rsid w:val="635653E7"/>
    <w:rsid w:val="6357614B"/>
    <w:rsid w:val="6358588A"/>
    <w:rsid w:val="63586B25"/>
    <w:rsid w:val="63590D8D"/>
    <w:rsid w:val="635976C3"/>
    <w:rsid w:val="635A2216"/>
    <w:rsid w:val="635A680F"/>
    <w:rsid w:val="635B1617"/>
    <w:rsid w:val="635B4290"/>
    <w:rsid w:val="635D095A"/>
    <w:rsid w:val="635D7793"/>
    <w:rsid w:val="635E5215"/>
    <w:rsid w:val="635F2C96"/>
    <w:rsid w:val="635F42CD"/>
    <w:rsid w:val="63600718"/>
    <w:rsid w:val="63615A0A"/>
    <w:rsid w:val="63636DBE"/>
    <w:rsid w:val="63636F83"/>
    <w:rsid w:val="636504FC"/>
    <w:rsid w:val="63660ED6"/>
    <w:rsid w:val="63662621"/>
    <w:rsid w:val="636700A3"/>
    <w:rsid w:val="636813A7"/>
    <w:rsid w:val="63682212"/>
    <w:rsid w:val="63685B24"/>
    <w:rsid w:val="636935A6"/>
    <w:rsid w:val="63696E29"/>
    <w:rsid w:val="636A48AB"/>
    <w:rsid w:val="636B232C"/>
    <w:rsid w:val="636B5105"/>
    <w:rsid w:val="636B6AA9"/>
    <w:rsid w:val="636C7DAE"/>
    <w:rsid w:val="636D582F"/>
    <w:rsid w:val="636D667E"/>
    <w:rsid w:val="636E32B1"/>
    <w:rsid w:val="636F0D32"/>
    <w:rsid w:val="636F2951"/>
    <w:rsid w:val="6370095A"/>
    <w:rsid w:val="63702430"/>
    <w:rsid w:val="637067B4"/>
    <w:rsid w:val="63710C42"/>
    <w:rsid w:val="63716434"/>
    <w:rsid w:val="63721CB7"/>
    <w:rsid w:val="63732A72"/>
    <w:rsid w:val="63735576"/>
    <w:rsid w:val="6374344C"/>
    <w:rsid w:val="63754E3A"/>
    <w:rsid w:val="637606BD"/>
    <w:rsid w:val="637628BB"/>
    <w:rsid w:val="63765563"/>
    <w:rsid w:val="6377033D"/>
    <w:rsid w:val="63791642"/>
    <w:rsid w:val="637A12C2"/>
    <w:rsid w:val="637B25C6"/>
    <w:rsid w:val="637C15CE"/>
    <w:rsid w:val="637C47C5"/>
    <w:rsid w:val="637D216D"/>
    <w:rsid w:val="637D7527"/>
    <w:rsid w:val="637E7CC8"/>
    <w:rsid w:val="637F0FCD"/>
    <w:rsid w:val="637F1640"/>
    <w:rsid w:val="637F3CAB"/>
    <w:rsid w:val="637F5749"/>
    <w:rsid w:val="638031CB"/>
    <w:rsid w:val="63803269"/>
    <w:rsid w:val="63806A4E"/>
    <w:rsid w:val="63810C4D"/>
    <w:rsid w:val="63822A9F"/>
    <w:rsid w:val="638259C1"/>
    <w:rsid w:val="638266CE"/>
    <w:rsid w:val="63836F3A"/>
    <w:rsid w:val="638379D3"/>
    <w:rsid w:val="63841BD1"/>
    <w:rsid w:val="63847AD9"/>
    <w:rsid w:val="63852ED6"/>
    <w:rsid w:val="63857653"/>
    <w:rsid w:val="63861052"/>
    <w:rsid w:val="638650D4"/>
    <w:rsid w:val="63871A2C"/>
    <w:rsid w:val="638763D9"/>
    <w:rsid w:val="63883E5B"/>
    <w:rsid w:val="638900D7"/>
    <w:rsid w:val="638918DC"/>
    <w:rsid w:val="63896059"/>
    <w:rsid w:val="638A735E"/>
    <w:rsid w:val="638B4DDF"/>
    <w:rsid w:val="638B6FDE"/>
    <w:rsid w:val="638C0197"/>
    <w:rsid w:val="638C2861"/>
    <w:rsid w:val="638C4A5F"/>
    <w:rsid w:val="638D7235"/>
    <w:rsid w:val="638E5BFC"/>
    <w:rsid w:val="638E5D64"/>
    <w:rsid w:val="638E6635"/>
    <w:rsid w:val="638F37E5"/>
    <w:rsid w:val="638F59E4"/>
    <w:rsid w:val="63903465"/>
    <w:rsid w:val="63907D73"/>
    <w:rsid w:val="63910911"/>
    <w:rsid w:val="639112EC"/>
    <w:rsid w:val="639343EA"/>
    <w:rsid w:val="6394356A"/>
    <w:rsid w:val="639456EF"/>
    <w:rsid w:val="63953170"/>
    <w:rsid w:val="639578ED"/>
    <w:rsid w:val="63960BF2"/>
    <w:rsid w:val="63976673"/>
    <w:rsid w:val="639840F5"/>
    <w:rsid w:val="63991B77"/>
    <w:rsid w:val="639A75F8"/>
    <w:rsid w:val="639A7632"/>
    <w:rsid w:val="639B16A7"/>
    <w:rsid w:val="639B17F6"/>
    <w:rsid w:val="639C0AAF"/>
    <w:rsid w:val="639C2AFB"/>
    <w:rsid w:val="639D057D"/>
    <w:rsid w:val="639D4CF9"/>
    <w:rsid w:val="639D7B4D"/>
    <w:rsid w:val="639E277B"/>
    <w:rsid w:val="639E5FFE"/>
    <w:rsid w:val="639F01FD"/>
    <w:rsid w:val="639F3A80"/>
    <w:rsid w:val="639F518E"/>
    <w:rsid w:val="63A01501"/>
    <w:rsid w:val="63A0369D"/>
    <w:rsid w:val="63A14DDA"/>
    <w:rsid w:val="63A16F83"/>
    <w:rsid w:val="63A21181"/>
    <w:rsid w:val="63A26C03"/>
    <w:rsid w:val="63A36353"/>
    <w:rsid w:val="63A42106"/>
    <w:rsid w:val="63A47F08"/>
    <w:rsid w:val="63A57A90"/>
    <w:rsid w:val="63A6046B"/>
    <w:rsid w:val="63A6062F"/>
    <w:rsid w:val="63A61D83"/>
    <w:rsid w:val="63A6340B"/>
    <w:rsid w:val="63A70E8C"/>
    <w:rsid w:val="63A8690E"/>
    <w:rsid w:val="63A9658E"/>
    <w:rsid w:val="63AA35F8"/>
    <w:rsid w:val="63AA400F"/>
    <w:rsid w:val="63AA4467"/>
    <w:rsid w:val="63AB1A91"/>
    <w:rsid w:val="63AB2D6C"/>
    <w:rsid w:val="63AB5314"/>
    <w:rsid w:val="63AC5238"/>
    <w:rsid w:val="63AD0817"/>
    <w:rsid w:val="63AD4F94"/>
    <w:rsid w:val="63AD5074"/>
    <w:rsid w:val="63AD5DD7"/>
    <w:rsid w:val="63AE2A15"/>
    <w:rsid w:val="63AE6299"/>
    <w:rsid w:val="63AF0497"/>
    <w:rsid w:val="63B05F18"/>
    <w:rsid w:val="63B1399A"/>
    <w:rsid w:val="63B1721D"/>
    <w:rsid w:val="63B2141C"/>
    <w:rsid w:val="63B32720"/>
    <w:rsid w:val="63B40105"/>
    <w:rsid w:val="63B4491F"/>
    <w:rsid w:val="63B55C23"/>
    <w:rsid w:val="63B9462A"/>
    <w:rsid w:val="63BA20AB"/>
    <w:rsid w:val="63BB0188"/>
    <w:rsid w:val="63BB7B2D"/>
    <w:rsid w:val="63BC55AE"/>
    <w:rsid w:val="63BE0AB1"/>
    <w:rsid w:val="63BF2E3F"/>
    <w:rsid w:val="63BF6533"/>
    <w:rsid w:val="63C03FB5"/>
    <w:rsid w:val="63C274B8"/>
    <w:rsid w:val="63C61B2C"/>
    <w:rsid w:val="63C6393F"/>
    <w:rsid w:val="63C70091"/>
    <w:rsid w:val="63C705B2"/>
    <w:rsid w:val="63C77D26"/>
    <w:rsid w:val="63C86E42"/>
    <w:rsid w:val="63C87805"/>
    <w:rsid w:val="63C948C4"/>
    <w:rsid w:val="63CA2346"/>
    <w:rsid w:val="63CB3C77"/>
    <w:rsid w:val="63CB7DC7"/>
    <w:rsid w:val="63CC5849"/>
    <w:rsid w:val="63CE0D4C"/>
    <w:rsid w:val="63CE45CF"/>
    <w:rsid w:val="63CE5D8F"/>
    <w:rsid w:val="63CF2051"/>
    <w:rsid w:val="63D11CD0"/>
    <w:rsid w:val="63D15554"/>
    <w:rsid w:val="63D17EA6"/>
    <w:rsid w:val="63D22FD5"/>
    <w:rsid w:val="63D351D4"/>
    <w:rsid w:val="63D40BE9"/>
    <w:rsid w:val="63D41FBE"/>
    <w:rsid w:val="63D464D8"/>
    <w:rsid w:val="63D52998"/>
    <w:rsid w:val="63D53F5A"/>
    <w:rsid w:val="63D619DB"/>
    <w:rsid w:val="63D650DD"/>
    <w:rsid w:val="63D73BDA"/>
    <w:rsid w:val="63D7745D"/>
    <w:rsid w:val="63D8165B"/>
    <w:rsid w:val="63D8564E"/>
    <w:rsid w:val="63D92960"/>
    <w:rsid w:val="63D970DD"/>
    <w:rsid w:val="63DA03E2"/>
    <w:rsid w:val="63DA25E0"/>
    <w:rsid w:val="63DB0061"/>
    <w:rsid w:val="63DB5E63"/>
    <w:rsid w:val="63DB75A1"/>
    <w:rsid w:val="63DC38E5"/>
    <w:rsid w:val="63DD3565"/>
    <w:rsid w:val="63DE0FE6"/>
    <w:rsid w:val="63DE6DE8"/>
    <w:rsid w:val="63DF2257"/>
    <w:rsid w:val="63DF6A68"/>
    <w:rsid w:val="63E022EB"/>
    <w:rsid w:val="63E044E9"/>
    <w:rsid w:val="63E13995"/>
    <w:rsid w:val="63E23270"/>
    <w:rsid w:val="63E241AA"/>
    <w:rsid w:val="63E279EC"/>
    <w:rsid w:val="63E34F0E"/>
    <w:rsid w:val="63E3546E"/>
    <w:rsid w:val="63E42EEF"/>
    <w:rsid w:val="63E44975"/>
    <w:rsid w:val="63E46773"/>
    <w:rsid w:val="63E53A13"/>
    <w:rsid w:val="63E541F4"/>
    <w:rsid w:val="63E57025"/>
    <w:rsid w:val="63E73E74"/>
    <w:rsid w:val="63E91B17"/>
    <w:rsid w:val="63E92BFA"/>
    <w:rsid w:val="63E97377"/>
    <w:rsid w:val="63EA24F1"/>
    <w:rsid w:val="63EA4DF9"/>
    <w:rsid w:val="63EB287A"/>
    <w:rsid w:val="63EB3090"/>
    <w:rsid w:val="63EC3B7F"/>
    <w:rsid w:val="63ED1601"/>
    <w:rsid w:val="63EE7082"/>
    <w:rsid w:val="63EF4B04"/>
    <w:rsid w:val="63F02585"/>
    <w:rsid w:val="63F068E5"/>
    <w:rsid w:val="63F14784"/>
    <w:rsid w:val="63F1758C"/>
    <w:rsid w:val="63F209FC"/>
    <w:rsid w:val="63F25A88"/>
    <w:rsid w:val="63F41DB1"/>
    <w:rsid w:val="63F4318A"/>
    <w:rsid w:val="63F6448F"/>
    <w:rsid w:val="63F6668D"/>
    <w:rsid w:val="63F7410E"/>
    <w:rsid w:val="63F77D09"/>
    <w:rsid w:val="63F93EF7"/>
    <w:rsid w:val="63F97611"/>
    <w:rsid w:val="63FA0916"/>
    <w:rsid w:val="63FA2E95"/>
    <w:rsid w:val="63FA5FE0"/>
    <w:rsid w:val="63FA61A4"/>
    <w:rsid w:val="63FA67A9"/>
    <w:rsid w:val="63FC3E19"/>
    <w:rsid w:val="63FD6018"/>
    <w:rsid w:val="63FE30B6"/>
    <w:rsid w:val="63FF151B"/>
    <w:rsid w:val="63FF1670"/>
    <w:rsid w:val="63FF4D9E"/>
    <w:rsid w:val="640026DC"/>
    <w:rsid w:val="64002820"/>
    <w:rsid w:val="640102A1"/>
    <w:rsid w:val="64014859"/>
    <w:rsid w:val="64014A1E"/>
    <w:rsid w:val="64020B82"/>
    <w:rsid w:val="6402249F"/>
    <w:rsid w:val="64025D23"/>
    <w:rsid w:val="640337A4"/>
    <w:rsid w:val="64034EC5"/>
    <w:rsid w:val="64037F21"/>
    <w:rsid w:val="64041226"/>
    <w:rsid w:val="64053424"/>
    <w:rsid w:val="6405643E"/>
    <w:rsid w:val="64056CA7"/>
    <w:rsid w:val="64064729"/>
    <w:rsid w:val="64066E18"/>
    <w:rsid w:val="640779B7"/>
    <w:rsid w:val="64091E2A"/>
    <w:rsid w:val="640956AE"/>
    <w:rsid w:val="640A78AC"/>
    <w:rsid w:val="640B0BB1"/>
    <w:rsid w:val="640C0830"/>
    <w:rsid w:val="640E1B35"/>
    <w:rsid w:val="640F4B4E"/>
    <w:rsid w:val="640F4EB9"/>
    <w:rsid w:val="640F5CFD"/>
    <w:rsid w:val="64102431"/>
    <w:rsid w:val="64105038"/>
    <w:rsid w:val="64107237"/>
    <w:rsid w:val="64112768"/>
    <w:rsid w:val="64112ABA"/>
    <w:rsid w:val="64114CB8"/>
    <w:rsid w:val="6411743B"/>
    <w:rsid w:val="6412053C"/>
    <w:rsid w:val="6412273A"/>
    <w:rsid w:val="641309B4"/>
    <w:rsid w:val="64133A3F"/>
    <w:rsid w:val="64135FBD"/>
    <w:rsid w:val="641414C0"/>
    <w:rsid w:val="64151D68"/>
    <w:rsid w:val="64151F2C"/>
    <w:rsid w:val="641536BE"/>
    <w:rsid w:val="64161140"/>
    <w:rsid w:val="64162907"/>
    <w:rsid w:val="64162ACB"/>
    <w:rsid w:val="641644E4"/>
    <w:rsid w:val="641649C3"/>
    <w:rsid w:val="64172445"/>
    <w:rsid w:val="64176BC2"/>
    <w:rsid w:val="64184044"/>
    <w:rsid w:val="64184643"/>
    <w:rsid w:val="641920C5"/>
    <w:rsid w:val="64195948"/>
    <w:rsid w:val="641B0E4B"/>
    <w:rsid w:val="641D434E"/>
    <w:rsid w:val="641D6FC0"/>
    <w:rsid w:val="641E0C4D"/>
    <w:rsid w:val="641E657E"/>
    <w:rsid w:val="641E6734"/>
    <w:rsid w:val="641F7851"/>
    <w:rsid w:val="6420238B"/>
    <w:rsid w:val="642052D3"/>
    <w:rsid w:val="64212D54"/>
    <w:rsid w:val="64236257"/>
    <w:rsid w:val="64244E7C"/>
    <w:rsid w:val="6425175A"/>
    <w:rsid w:val="64255857"/>
    <w:rsid w:val="642665BA"/>
    <w:rsid w:val="64276DCF"/>
    <w:rsid w:val="64276F94"/>
    <w:rsid w:val="64290EE7"/>
    <w:rsid w:val="642A1A86"/>
    <w:rsid w:val="642A1C4A"/>
    <w:rsid w:val="642A5BE2"/>
    <w:rsid w:val="642B10E5"/>
    <w:rsid w:val="642B3664"/>
    <w:rsid w:val="642C1431"/>
    <w:rsid w:val="642C1952"/>
    <w:rsid w:val="642C31C3"/>
    <w:rsid w:val="642D04CF"/>
    <w:rsid w:val="642D45E8"/>
    <w:rsid w:val="642D7291"/>
    <w:rsid w:val="642E206A"/>
    <w:rsid w:val="642E473C"/>
    <w:rsid w:val="642E704C"/>
    <w:rsid w:val="642E73B7"/>
    <w:rsid w:val="642F7AEC"/>
    <w:rsid w:val="64312FEF"/>
    <w:rsid w:val="64320A70"/>
    <w:rsid w:val="643273F2"/>
    <w:rsid w:val="643364F2"/>
    <w:rsid w:val="643407A7"/>
    <w:rsid w:val="64343F73"/>
    <w:rsid w:val="64351345"/>
    <w:rsid w:val="643519F5"/>
    <w:rsid w:val="64355278"/>
    <w:rsid w:val="64367476"/>
    <w:rsid w:val="6437077B"/>
    <w:rsid w:val="643861FD"/>
    <w:rsid w:val="643A1700"/>
    <w:rsid w:val="643A5574"/>
    <w:rsid w:val="643A5E7D"/>
    <w:rsid w:val="643B5F4F"/>
    <w:rsid w:val="643C4C03"/>
    <w:rsid w:val="643D6E01"/>
    <w:rsid w:val="643E0106"/>
    <w:rsid w:val="643E4883"/>
    <w:rsid w:val="643F2304"/>
    <w:rsid w:val="643F5B88"/>
    <w:rsid w:val="64403609"/>
    <w:rsid w:val="64407D86"/>
    <w:rsid w:val="64412342"/>
    <w:rsid w:val="64423289"/>
    <w:rsid w:val="64430D0B"/>
    <w:rsid w:val="6443458E"/>
    <w:rsid w:val="6443678C"/>
    <w:rsid w:val="6444200F"/>
    <w:rsid w:val="64444295"/>
    <w:rsid w:val="64451C8F"/>
    <w:rsid w:val="64454D98"/>
    <w:rsid w:val="64465512"/>
    <w:rsid w:val="64466571"/>
    <w:rsid w:val="64475192"/>
    <w:rsid w:val="64480A16"/>
    <w:rsid w:val="64482C14"/>
    <w:rsid w:val="644A1063"/>
    <w:rsid w:val="644B199A"/>
    <w:rsid w:val="644B741C"/>
    <w:rsid w:val="644C3930"/>
    <w:rsid w:val="644C4E9D"/>
    <w:rsid w:val="644D291F"/>
    <w:rsid w:val="644D709C"/>
    <w:rsid w:val="644E03A0"/>
    <w:rsid w:val="644E4B1D"/>
    <w:rsid w:val="644F259F"/>
    <w:rsid w:val="64500020"/>
    <w:rsid w:val="645038A3"/>
    <w:rsid w:val="64511325"/>
    <w:rsid w:val="64523523"/>
    <w:rsid w:val="64526DA7"/>
    <w:rsid w:val="64546A26"/>
    <w:rsid w:val="645544A8"/>
    <w:rsid w:val="64557D2B"/>
    <w:rsid w:val="645779AB"/>
    <w:rsid w:val="64580187"/>
    <w:rsid w:val="64580CB0"/>
    <w:rsid w:val="6458542D"/>
    <w:rsid w:val="64592EAE"/>
    <w:rsid w:val="645A09F8"/>
    <w:rsid w:val="645B1C35"/>
    <w:rsid w:val="645B3E33"/>
    <w:rsid w:val="645B63B1"/>
    <w:rsid w:val="645C76B6"/>
    <w:rsid w:val="645D6AA5"/>
    <w:rsid w:val="645E2BB9"/>
    <w:rsid w:val="645E4DB7"/>
    <w:rsid w:val="645F2839"/>
    <w:rsid w:val="646002BB"/>
    <w:rsid w:val="646101D2"/>
    <w:rsid w:val="64613B3E"/>
    <w:rsid w:val="64615D3C"/>
    <w:rsid w:val="646215BF"/>
    <w:rsid w:val="64633872"/>
    <w:rsid w:val="64642544"/>
    <w:rsid w:val="64654742"/>
    <w:rsid w:val="646621C4"/>
    <w:rsid w:val="646714E1"/>
    <w:rsid w:val="646734C9"/>
    <w:rsid w:val="64677C45"/>
    <w:rsid w:val="64680F4A"/>
    <w:rsid w:val="646856C7"/>
    <w:rsid w:val="64693149"/>
    <w:rsid w:val="646A444D"/>
    <w:rsid w:val="646B11DF"/>
    <w:rsid w:val="646B1ECF"/>
    <w:rsid w:val="646B664C"/>
    <w:rsid w:val="646C40CD"/>
    <w:rsid w:val="646C7950"/>
    <w:rsid w:val="646D1B4F"/>
    <w:rsid w:val="646D2593"/>
    <w:rsid w:val="646D53D2"/>
    <w:rsid w:val="646E3B0C"/>
    <w:rsid w:val="646F46AB"/>
    <w:rsid w:val="646F5052"/>
    <w:rsid w:val="64702AD3"/>
    <w:rsid w:val="64705249"/>
    <w:rsid w:val="64706357"/>
    <w:rsid w:val="64710555"/>
    <w:rsid w:val="64713DD8"/>
    <w:rsid w:val="64725FD6"/>
    <w:rsid w:val="64733A58"/>
    <w:rsid w:val="647372DB"/>
    <w:rsid w:val="64737361"/>
    <w:rsid w:val="647508DA"/>
    <w:rsid w:val="647527DE"/>
    <w:rsid w:val="647548B5"/>
    <w:rsid w:val="6476245E"/>
    <w:rsid w:val="64771E53"/>
    <w:rsid w:val="6477283B"/>
    <w:rsid w:val="64772D5C"/>
    <w:rsid w:val="64785961"/>
    <w:rsid w:val="647933E3"/>
    <w:rsid w:val="647A6C66"/>
    <w:rsid w:val="647B46E8"/>
    <w:rsid w:val="647B4B09"/>
    <w:rsid w:val="647B68E6"/>
    <w:rsid w:val="647C2169"/>
    <w:rsid w:val="647C7BEB"/>
    <w:rsid w:val="647D1DE9"/>
    <w:rsid w:val="647D446A"/>
    <w:rsid w:val="647E30EE"/>
    <w:rsid w:val="647E77BF"/>
    <w:rsid w:val="647E786B"/>
    <w:rsid w:val="647F52EC"/>
    <w:rsid w:val="64800B74"/>
    <w:rsid w:val="648107EF"/>
    <w:rsid w:val="648222B1"/>
    <w:rsid w:val="64837576"/>
    <w:rsid w:val="64844FF7"/>
    <w:rsid w:val="648543C8"/>
    <w:rsid w:val="64855539"/>
    <w:rsid w:val="648604FA"/>
    <w:rsid w:val="64865018"/>
    <w:rsid w:val="648A6F00"/>
    <w:rsid w:val="648B4982"/>
    <w:rsid w:val="648C1B70"/>
    <w:rsid w:val="648D254B"/>
    <w:rsid w:val="648D7E85"/>
    <w:rsid w:val="648F3388"/>
    <w:rsid w:val="64900E0A"/>
    <w:rsid w:val="64904827"/>
    <w:rsid w:val="64911D90"/>
    <w:rsid w:val="64915201"/>
    <w:rsid w:val="64921199"/>
    <w:rsid w:val="64925D9F"/>
    <w:rsid w:val="64931D8E"/>
    <w:rsid w:val="64937ECC"/>
    <w:rsid w:val="649479AB"/>
    <w:rsid w:val="64947D16"/>
    <w:rsid w:val="64960891"/>
    <w:rsid w:val="64960A56"/>
    <w:rsid w:val="64971FCF"/>
    <w:rsid w:val="64976216"/>
    <w:rsid w:val="649829A9"/>
    <w:rsid w:val="64982B6D"/>
    <w:rsid w:val="64983C98"/>
    <w:rsid w:val="64991719"/>
    <w:rsid w:val="64993547"/>
    <w:rsid w:val="649B4AC0"/>
    <w:rsid w:val="649C04A0"/>
    <w:rsid w:val="649C3C91"/>
    <w:rsid w:val="649C565F"/>
    <w:rsid w:val="649C5F21"/>
    <w:rsid w:val="649D011F"/>
    <w:rsid w:val="649D39A3"/>
    <w:rsid w:val="649E1424"/>
    <w:rsid w:val="649E5BA1"/>
    <w:rsid w:val="649F6EA6"/>
    <w:rsid w:val="649F75B2"/>
    <w:rsid w:val="64A010A4"/>
    <w:rsid w:val="64A04927"/>
    <w:rsid w:val="64A245A7"/>
    <w:rsid w:val="64A31746"/>
    <w:rsid w:val="64A3242D"/>
    <w:rsid w:val="64A358AC"/>
    <w:rsid w:val="64A47AAA"/>
    <w:rsid w:val="64A50DAF"/>
    <w:rsid w:val="64A5243A"/>
    <w:rsid w:val="64A5552C"/>
    <w:rsid w:val="64A62FAD"/>
    <w:rsid w:val="64A64F1F"/>
    <w:rsid w:val="64A742B2"/>
    <w:rsid w:val="64A75ABD"/>
    <w:rsid w:val="64A864B1"/>
    <w:rsid w:val="64A93F32"/>
    <w:rsid w:val="64A96E72"/>
    <w:rsid w:val="64A977B5"/>
    <w:rsid w:val="64AA19B4"/>
    <w:rsid w:val="64AA7A10"/>
    <w:rsid w:val="64AB05AF"/>
    <w:rsid w:val="64AB2CB8"/>
    <w:rsid w:val="64AD61BC"/>
    <w:rsid w:val="64AE3C3D"/>
    <w:rsid w:val="64AE5E3B"/>
    <w:rsid w:val="64AF16BF"/>
    <w:rsid w:val="64AF3265"/>
    <w:rsid w:val="64AF38BD"/>
    <w:rsid w:val="64B03E04"/>
    <w:rsid w:val="64B1428F"/>
    <w:rsid w:val="64B14A91"/>
    <w:rsid w:val="64B14BC2"/>
    <w:rsid w:val="64B24842"/>
    <w:rsid w:val="64B25D57"/>
    <w:rsid w:val="64B322C3"/>
    <w:rsid w:val="64B472D0"/>
    <w:rsid w:val="64B47D45"/>
    <w:rsid w:val="64B51049"/>
    <w:rsid w:val="64B60A0D"/>
    <w:rsid w:val="64B63248"/>
    <w:rsid w:val="64B66ACB"/>
    <w:rsid w:val="64B7454D"/>
    <w:rsid w:val="64B941CC"/>
    <w:rsid w:val="64BA1C4E"/>
    <w:rsid w:val="64BA34FF"/>
    <w:rsid w:val="64BA54D1"/>
    <w:rsid w:val="64BB2D09"/>
    <w:rsid w:val="64BB2F53"/>
    <w:rsid w:val="64BB76D0"/>
    <w:rsid w:val="64BC09D4"/>
    <w:rsid w:val="64BC4A78"/>
    <w:rsid w:val="64BC5151"/>
    <w:rsid w:val="64BD5616"/>
    <w:rsid w:val="64BE0654"/>
    <w:rsid w:val="64BF1959"/>
    <w:rsid w:val="64BF60D6"/>
    <w:rsid w:val="64BF72F8"/>
    <w:rsid w:val="64C061E0"/>
    <w:rsid w:val="64C115D9"/>
    <w:rsid w:val="64C21846"/>
    <w:rsid w:val="64C3035F"/>
    <w:rsid w:val="64C34ADC"/>
    <w:rsid w:val="64C53799"/>
    <w:rsid w:val="64C55A61"/>
    <w:rsid w:val="64C612E4"/>
    <w:rsid w:val="64C70F64"/>
    <w:rsid w:val="64C847E7"/>
    <w:rsid w:val="64C85A75"/>
    <w:rsid w:val="64C869E5"/>
    <w:rsid w:val="64C9644F"/>
    <w:rsid w:val="64CA7CEA"/>
    <w:rsid w:val="64CB576C"/>
    <w:rsid w:val="64CB796A"/>
    <w:rsid w:val="64CC0C6F"/>
    <w:rsid w:val="64CC2A37"/>
    <w:rsid w:val="64CC31ED"/>
    <w:rsid w:val="64CC53EB"/>
    <w:rsid w:val="64CD1105"/>
    <w:rsid w:val="64CD1CA4"/>
    <w:rsid w:val="64CD66F0"/>
    <w:rsid w:val="64CE08EF"/>
    <w:rsid w:val="64CE1093"/>
    <w:rsid w:val="64CE267E"/>
    <w:rsid w:val="64CF1BF3"/>
    <w:rsid w:val="64CF321D"/>
    <w:rsid w:val="64D03DBB"/>
    <w:rsid w:val="64D03DF2"/>
    <w:rsid w:val="64D07675"/>
    <w:rsid w:val="64D11873"/>
    <w:rsid w:val="64D150F6"/>
    <w:rsid w:val="64D305FA"/>
    <w:rsid w:val="64D34D76"/>
    <w:rsid w:val="64D53AFD"/>
    <w:rsid w:val="64D57287"/>
    <w:rsid w:val="64D7377C"/>
    <w:rsid w:val="64D77000"/>
    <w:rsid w:val="64D81563"/>
    <w:rsid w:val="64D84A81"/>
    <w:rsid w:val="64D92503"/>
    <w:rsid w:val="64D96C80"/>
    <w:rsid w:val="64DA2918"/>
    <w:rsid w:val="64DA367B"/>
    <w:rsid w:val="64DA4701"/>
    <w:rsid w:val="64DB4055"/>
    <w:rsid w:val="64DB5214"/>
    <w:rsid w:val="64DB5A06"/>
    <w:rsid w:val="64DB6907"/>
    <w:rsid w:val="64DC4BF4"/>
    <w:rsid w:val="64DC5686"/>
    <w:rsid w:val="64DC7C04"/>
    <w:rsid w:val="64DD0F09"/>
    <w:rsid w:val="64DD1B9F"/>
    <w:rsid w:val="64DD2FE4"/>
    <w:rsid w:val="64DD55CE"/>
    <w:rsid w:val="64DF660A"/>
    <w:rsid w:val="64DF6B47"/>
    <w:rsid w:val="64E01E8E"/>
    <w:rsid w:val="64E0408C"/>
    <w:rsid w:val="64E076E5"/>
    <w:rsid w:val="64E10284"/>
    <w:rsid w:val="64E20E23"/>
    <w:rsid w:val="64E32E12"/>
    <w:rsid w:val="64E35011"/>
    <w:rsid w:val="64E40894"/>
    <w:rsid w:val="64E419AA"/>
    <w:rsid w:val="64E421D7"/>
    <w:rsid w:val="64E42A92"/>
    <w:rsid w:val="64E52D76"/>
    <w:rsid w:val="64E56E4D"/>
    <w:rsid w:val="64E73A17"/>
    <w:rsid w:val="64E84D1C"/>
    <w:rsid w:val="64E97165"/>
    <w:rsid w:val="64E9731B"/>
    <w:rsid w:val="64EA021F"/>
    <w:rsid w:val="64EA6A8F"/>
    <w:rsid w:val="64EB52A1"/>
    <w:rsid w:val="64EC051E"/>
    <w:rsid w:val="64EC3722"/>
    <w:rsid w:val="64EE6C25"/>
    <w:rsid w:val="64EF2635"/>
    <w:rsid w:val="64EF27FA"/>
    <w:rsid w:val="64EF46A6"/>
    <w:rsid w:val="64EF616E"/>
    <w:rsid w:val="64F02128"/>
    <w:rsid w:val="64F102BF"/>
    <w:rsid w:val="64F17BAA"/>
    <w:rsid w:val="64F2474D"/>
    <w:rsid w:val="64F531DE"/>
    <w:rsid w:val="64F565B0"/>
    <w:rsid w:val="64F56864"/>
    <w:rsid w:val="64F64031"/>
    <w:rsid w:val="64F67403"/>
    <w:rsid w:val="64F87534"/>
    <w:rsid w:val="64F90B96"/>
    <w:rsid w:val="64F920B9"/>
    <w:rsid w:val="64FA2A38"/>
    <w:rsid w:val="64FA78C8"/>
    <w:rsid w:val="64FC41D1"/>
    <w:rsid w:val="64FD143E"/>
    <w:rsid w:val="64FD39BC"/>
    <w:rsid w:val="64FD4BAB"/>
    <w:rsid w:val="64FE5585"/>
    <w:rsid w:val="64FE574A"/>
    <w:rsid w:val="64FE6EBF"/>
    <w:rsid w:val="64FF4941"/>
    <w:rsid w:val="65015C46"/>
    <w:rsid w:val="65017CD5"/>
    <w:rsid w:val="65017E44"/>
    <w:rsid w:val="650236C7"/>
    <w:rsid w:val="65031149"/>
    <w:rsid w:val="65040DC9"/>
    <w:rsid w:val="65046BCA"/>
    <w:rsid w:val="6505684A"/>
    <w:rsid w:val="65063A90"/>
    <w:rsid w:val="650642CC"/>
    <w:rsid w:val="65071D4D"/>
    <w:rsid w:val="65083052"/>
    <w:rsid w:val="65090AD4"/>
    <w:rsid w:val="650A2CD2"/>
    <w:rsid w:val="650A63BE"/>
    <w:rsid w:val="650B0753"/>
    <w:rsid w:val="650B3FD7"/>
    <w:rsid w:val="650B7121"/>
    <w:rsid w:val="650C61D5"/>
    <w:rsid w:val="650D3C56"/>
    <w:rsid w:val="650D74DA"/>
    <w:rsid w:val="650E16D8"/>
    <w:rsid w:val="650F29DD"/>
    <w:rsid w:val="650F715A"/>
    <w:rsid w:val="6510045E"/>
    <w:rsid w:val="651025ED"/>
    <w:rsid w:val="65104BDB"/>
    <w:rsid w:val="65123962"/>
    <w:rsid w:val="65134704"/>
    <w:rsid w:val="651435E1"/>
    <w:rsid w:val="65145E42"/>
    <w:rsid w:val="65146E65"/>
    <w:rsid w:val="65155D05"/>
    <w:rsid w:val="65156591"/>
    <w:rsid w:val="65156AE4"/>
    <w:rsid w:val="65162368"/>
    <w:rsid w:val="65164566"/>
    <w:rsid w:val="65165479"/>
    <w:rsid w:val="65170E82"/>
    <w:rsid w:val="65177DE9"/>
    <w:rsid w:val="65180933"/>
    <w:rsid w:val="65187A69"/>
    <w:rsid w:val="651932EC"/>
    <w:rsid w:val="651954EB"/>
    <w:rsid w:val="651A2F6C"/>
    <w:rsid w:val="651B09EE"/>
    <w:rsid w:val="651B2C0F"/>
    <w:rsid w:val="651B67EF"/>
    <w:rsid w:val="651C646F"/>
    <w:rsid w:val="651D1CF3"/>
    <w:rsid w:val="651D7774"/>
    <w:rsid w:val="651E1972"/>
    <w:rsid w:val="651E51F6"/>
    <w:rsid w:val="651F2C77"/>
    <w:rsid w:val="65204E75"/>
    <w:rsid w:val="6521617A"/>
    <w:rsid w:val="652201F3"/>
    <w:rsid w:val="65220379"/>
    <w:rsid w:val="652203B7"/>
    <w:rsid w:val="65223BFC"/>
    <w:rsid w:val="65230D92"/>
    <w:rsid w:val="6523167D"/>
    <w:rsid w:val="65235DFA"/>
    <w:rsid w:val="6524387C"/>
    <w:rsid w:val="652512FD"/>
    <w:rsid w:val="6525230A"/>
    <w:rsid w:val="65254B81"/>
    <w:rsid w:val="65262602"/>
    <w:rsid w:val="65266989"/>
    <w:rsid w:val="65270084"/>
    <w:rsid w:val="65293587"/>
    <w:rsid w:val="65294FC1"/>
    <w:rsid w:val="652B3207"/>
    <w:rsid w:val="652C0C88"/>
    <w:rsid w:val="652D418B"/>
    <w:rsid w:val="652D670A"/>
    <w:rsid w:val="652E102B"/>
    <w:rsid w:val="652E1C0D"/>
    <w:rsid w:val="652F1BCA"/>
    <w:rsid w:val="652F5490"/>
    <w:rsid w:val="652F768E"/>
    <w:rsid w:val="65302F12"/>
    <w:rsid w:val="65312B91"/>
    <w:rsid w:val="65323396"/>
    <w:rsid w:val="65326415"/>
    <w:rsid w:val="653346BC"/>
    <w:rsid w:val="65336094"/>
    <w:rsid w:val="65341918"/>
    <w:rsid w:val="65351598"/>
    <w:rsid w:val="65354E1B"/>
    <w:rsid w:val="65357399"/>
    <w:rsid w:val="6536289C"/>
    <w:rsid w:val="65367019"/>
    <w:rsid w:val="6537031E"/>
    <w:rsid w:val="65373578"/>
    <w:rsid w:val="65374A9B"/>
    <w:rsid w:val="65377536"/>
    <w:rsid w:val="6538251C"/>
    <w:rsid w:val="65397F9E"/>
    <w:rsid w:val="653A12A3"/>
    <w:rsid w:val="653A5A1F"/>
    <w:rsid w:val="653B34A1"/>
    <w:rsid w:val="653C0F22"/>
    <w:rsid w:val="653C35A1"/>
    <w:rsid w:val="653C47A6"/>
    <w:rsid w:val="653D2227"/>
    <w:rsid w:val="653E4426"/>
    <w:rsid w:val="653E4CDE"/>
    <w:rsid w:val="653E7CA9"/>
    <w:rsid w:val="653F1EA7"/>
    <w:rsid w:val="653F572A"/>
    <w:rsid w:val="65406093"/>
    <w:rsid w:val="65406257"/>
    <w:rsid w:val="65407929"/>
    <w:rsid w:val="65410C2D"/>
    <w:rsid w:val="6541453A"/>
    <w:rsid w:val="654153AA"/>
    <w:rsid w:val="65416C31"/>
    <w:rsid w:val="65424019"/>
    <w:rsid w:val="654266AF"/>
    <w:rsid w:val="654277D0"/>
    <w:rsid w:val="65433422"/>
    <w:rsid w:val="65434131"/>
    <w:rsid w:val="65440D49"/>
    <w:rsid w:val="65441BB2"/>
    <w:rsid w:val="65457634"/>
    <w:rsid w:val="654622C2"/>
    <w:rsid w:val="654672B3"/>
    <w:rsid w:val="65472B37"/>
    <w:rsid w:val="65474D35"/>
    <w:rsid w:val="6548459E"/>
    <w:rsid w:val="65490723"/>
    <w:rsid w:val="654943D9"/>
    <w:rsid w:val="65494F78"/>
    <w:rsid w:val="654A5CBA"/>
    <w:rsid w:val="654B153D"/>
    <w:rsid w:val="654B373B"/>
    <w:rsid w:val="654D24C2"/>
    <w:rsid w:val="654D6C3E"/>
    <w:rsid w:val="654D7C2E"/>
    <w:rsid w:val="654E7F43"/>
    <w:rsid w:val="654F11A7"/>
    <w:rsid w:val="65503446"/>
    <w:rsid w:val="65510EC8"/>
    <w:rsid w:val="65526949"/>
    <w:rsid w:val="65533E5D"/>
    <w:rsid w:val="655553D6"/>
    <w:rsid w:val="655561AD"/>
    <w:rsid w:val="655578CE"/>
    <w:rsid w:val="65565350"/>
    <w:rsid w:val="65565F75"/>
    <w:rsid w:val="6557694F"/>
    <w:rsid w:val="65580853"/>
    <w:rsid w:val="65587EC8"/>
    <w:rsid w:val="655962D4"/>
    <w:rsid w:val="655B17D7"/>
    <w:rsid w:val="655C2B7E"/>
    <w:rsid w:val="655C7259"/>
    <w:rsid w:val="655D3558"/>
    <w:rsid w:val="655F01DD"/>
    <w:rsid w:val="655F0AB3"/>
    <w:rsid w:val="655F4AD1"/>
    <w:rsid w:val="65605C5F"/>
    <w:rsid w:val="656136E1"/>
    <w:rsid w:val="65621162"/>
    <w:rsid w:val="65636BE4"/>
    <w:rsid w:val="65644665"/>
    <w:rsid w:val="6565189F"/>
    <w:rsid w:val="656520E7"/>
    <w:rsid w:val="65670E6D"/>
    <w:rsid w:val="65672E18"/>
    <w:rsid w:val="6567306B"/>
    <w:rsid w:val="65694370"/>
    <w:rsid w:val="6569656F"/>
    <w:rsid w:val="656A1DF2"/>
    <w:rsid w:val="656A3FF0"/>
    <w:rsid w:val="656B0EDA"/>
    <w:rsid w:val="656B5ACE"/>
    <w:rsid w:val="656C52F5"/>
    <w:rsid w:val="656C64A8"/>
    <w:rsid w:val="656C666D"/>
    <w:rsid w:val="656C74F3"/>
    <w:rsid w:val="656D2D76"/>
    <w:rsid w:val="656D31F8"/>
    <w:rsid w:val="656D3445"/>
    <w:rsid w:val="656E284E"/>
    <w:rsid w:val="656E7A21"/>
    <w:rsid w:val="656F0478"/>
    <w:rsid w:val="656F0784"/>
    <w:rsid w:val="6570177D"/>
    <w:rsid w:val="65705EF9"/>
    <w:rsid w:val="65711CFD"/>
    <w:rsid w:val="657213FC"/>
    <w:rsid w:val="65732701"/>
    <w:rsid w:val="65733E15"/>
    <w:rsid w:val="657370C3"/>
    <w:rsid w:val="657449A8"/>
    <w:rsid w:val="65752381"/>
    <w:rsid w:val="65765D68"/>
    <w:rsid w:val="65767E03"/>
    <w:rsid w:val="65771107"/>
    <w:rsid w:val="65775884"/>
    <w:rsid w:val="65776907"/>
    <w:rsid w:val="65783306"/>
    <w:rsid w:val="65790D87"/>
    <w:rsid w:val="657A208C"/>
    <w:rsid w:val="657B5941"/>
    <w:rsid w:val="657B681A"/>
    <w:rsid w:val="657E2C91"/>
    <w:rsid w:val="657E520F"/>
    <w:rsid w:val="657F0712"/>
    <w:rsid w:val="657F40AF"/>
    <w:rsid w:val="657F6514"/>
    <w:rsid w:val="65804A89"/>
    <w:rsid w:val="65806194"/>
    <w:rsid w:val="65821697"/>
    <w:rsid w:val="65834F1A"/>
    <w:rsid w:val="65837118"/>
    <w:rsid w:val="6583773F"/>
    <w:rsid w:val="65844B9A"/>
    <w:rsid w:val="6585261B"/>
    <w:rsid w:val="6586009D"/>
    <w:rsid w:val="65863920"/>
    <w:rsid w:val="658835A0"/>
    <w:rsid w:val="65893B33"/>
    <w:rsid w:val="658A2326"/>
    <w:rsid w:val="658B4525"/>
    <w:rsid w:val="658B4EE7"/>
    <w:rsid w:val="658B6F7C"/>
    <w:rsid w:val="658B7DA8"/>
    <w:rsid w:val="658C1FA6"/>
    <w:rsid w:val="658C582A"/>
    <w:rsid w:val="658D32AB"/>
    <w:rsid w:val="658D7A28"/>
    <w:rsid w:val="658F073C"/>
    <w:rsid w:val="658F67AE"/>
    <w:rsid w:val="65901116"/>
    <w:rsid w:val="65904230"/>
    <w:rsid w:val="65911CB1"/>
    <w:rsid w:val="6592268F"/>
    <w:rsid w:val="65927733"/>
    <w:rsid w:val="65931931"/>
    <w:rsid w:val="6593322E"/>
    <w:rsid w:val="659351B4"/>
    <w:rsid w:val="65942C36"/>
    <w:rsid w:val="65943C08"/>
    <w:rsid w:val="65966139"/>
    <w:rsid w:val="65973989"/>
    <w:rsid w:val="65973BBB"/>
    <w:rsid w:val="6598383A"/>
    <w:rsid w:val="659970BE"/>
    <w:rsid w:val="659A4B3F"/>
    <w:rsid w:val="659A5186"/>
    <w:rsid w:val="659A6D3E"/>
    <w:rsid w:val="659A7E37"/>
    <w:rsid w:val="659B47BF"/>
    <w:rsid w:val="659C0042"/>
    <w:rsid w:val="659E0FC7"/>
    <w:rsid w:val="659E5744"/>
    <w:rsid w:val="659F31C5"/>
    <w:rsid w:val="65A00C47"/>
    <w:rsid w:val="65A11BF2"/>
    <w:rsid w:val="65A11F4C"/>
    <w:rsid w:val="65A157A3"/>
    <w:rsid w:val="65A166C8"/>
    <w:rsid w:val="65A2414A"/>
    <w:rsid w:val="65A26342"/>
    <w:rsid w:val="65A279CD"/>
    <w:rsid w:val="65A31BCC"/>
    <w:rsid w:val="65A42ED0"/>
    <w:rsid w:val="65A476F6"/>
    <w:rsid w:val="65A50295"/>
    <w:rsid w:val="65A50952"/>
    <w:rsid w:val="65A62B50"/>
    <w:rsid w:val="65A663D3"/>
    <w:rsid w:val="65A75EDC"/>
    <w:rsid w:val="65A86053"/>
    <w:rsid w:val="65A93AD5"/>
    <w:rsid w:val="65AA1556"/>
    <w:rsid w:val="65AA3925"/>
    <w:rsid w:val="65AA44C4"/>
    <w:rsid w:val="65AB285B"/>
    <w:rsid w:val="65AB4E9E"/>
    <w:rsid w:val="65AC0E0D"/>
    <w:rsid w:val="65AC4A59"/>
    <w:rsid w:val="65AD65DC"/>
    <w:rsid w:val="65AD7C0D"/>
    <w:rsid w:val="65AE59DE"/>
    <w:rsid w:val="65AF1261"/>
    <w:rsid w:val="65AF3460"/>
    <w:rsid w:val="65AF7B55"/>
    <w:rsid w:val="65AF7D19"/>
    <w:rsid w:val="65B0017A"/>
    <w:rsid w:val="65B110CD"/>
    <w:rsid w:val="65B14764"/>
    <w:rsid w:val="65B221E6"/>
    <w:rsid w:val="65B243E4"/>
    <w:rsid w:val="65B456E9"/>
    <w:rsid w:val="65B5316B"/>
    <w:rsid w:val="65B57676"/>
    <w:rsid w:val="65B5782C"/>
    <w:rsid w:val="65B60BEC"/>
    <w:rsid w:val="65B6666E"/>
    <w:rsid w:val="65B66FA0"/>
    <w:rsid w:val="65B752FD"/>
    <w:rsid w:val="65B7603D"/>
    <w:rsid w:val="65B8702E"/>
    <w:rsid w:val="65BA5074"/>
    <w:rsid w:val="65BA6C0C"/>
    <w:rsid w:val="65BB2AF6"/>
    <w:rsid w:val="65BD5FF9"/>
    <w:rsid w:val="65BE3A7A"/>
    <w:rsid w:val="65BF14FC"/>
    <w:rsid w:val="65C06F7D"/>
    <w:rsid w:val="65C14BBC"/>
    <w:rsid w:val="65C37F02"/>
    <w:rsid w:val="65C42009"/>
    <w:rsid w:val="65C45983"/>
    <w:rsid w:val="65C46CD4"/>
    <w:rsid w:val="65C5024C"/>
    <w:rsid w:val="65C502FA"/>
    <w:rsid w:val="65C5081A"/>
    <w:rsid w:val="65C57872"/>
    <w:rsid w:val="65C60DEB"/>
    <w:rsid w:val="65C7198A"/>
    <w:rsid w:val="65C82364"/>
    <w:rsid w:val="65C91E0B"/>
    <w:rsid w:val="65C95A3A"/>
    <w:rsid w:val="65CA38DD"/>
    <w:rsid w:val="65CA788D"/>
    <w:rsid w:val="65CB530E"/>
    <w:rsid w:val="65CC501A"/>
    <w:rsid w:val="65CF1796"/>
    <w:rsid w:val="65CF6F6D"/>
    <w:rsid w:val="65CF7598"/>
    <w:rsid w:val="65D05019"/>
    <w:rsid w:val="65D2051C"/>
    <w:rsid w:val="65D2271B"/>
    <w:rsid w:val="65D2410F"/>
    <w:rsid w:val="65D3019C"/>
    <w:rsid w:val="65D327C2"/>
    <w:rsid w:val="65D33363"/>
    <w:rsid w:val="65D336CE"/>
    <w:rsid w:val="65D33A39"/>
    <w:rsid w:val="65D33DA4"/>
    <w:rsid w:val="65D35F9E"/>
    <w:rsid w:val="65D45C1E"/>
    <w:rsid w:val="65D514A1"/>
    <w:rsid w:val="65D648DA"/>
    <w:rsid w:val="65D649A4"/>
    <w:rsid w:val="65D72426"/>
    <w:rsid w:val="65D76BA2"/>
    <w:rsid w:val="65D84624"/>
    <w:rsid w:val="65D86017"/>
    <w:rsid w:val="65D920A6"/>
    <w:rsid w:val="65D95929"/>
    <w:rsid w:val="65D969F1"/>
    <w:rsid w:val="65DA7590"/>
    <w:rsid w:val="65DB0E2C"/>
    <w:rsid w:val="65DB55A9"/>
    <w:rsid w:val="65DC04C1"/>
    <w:rsid w:val="65DC302A"/>
    <w:rsid w:val="65DC68AD"/>
    <w:rsid w:val="65DD0AAC"/>
    <w:rsid w:val="65DD14E3"/>
    <w:rsid w:val="65DE03FB"/>
    <w:rsid w:val="65DE1DB1"/>
    <w:rsid w:val="65DF2A5C"/>
    <w:rsid w:val="65DF37BF"/>
    <w:rsid w:val="65DF3FAF"/>
    <w:rsid w:val="65E01A30"/>
    <w:rsid w:val="65E052B4"/>
    <w:rsid w:val="65E06E0D"/>
    <w:rsid w:val="65E12D35"/>
    <w:rsid w:val="65E174B2"/>
    <w:rsid w:val="65E207B7"/>
    <w:rsid w:val="65E24F34"/>
    <w:rsid w:val="65E2561F"/>
    <w:rsid w:val="65E36238"/>
    <w:rsid w:val="65E362B1"/>
    <w:rsid w:val="65E40437"/>
    <w:rsid w:val="65E41055"/>
    <w:rsid w:val="65E43CBA"/>
    <w:rsid w:val="65E603C8"/>
    <w:rsid w:val="65E70DA3"/>
    <w:rsid w:val="65E76E3D"/>
    <w:rsid w:val="65E826C0"/>
    <w:rsid w:val="65E848BE"/>
    <w:rsid w:val="65E92340"/>
    <w:rsid w:val="65EA307F"/>
    <w:rsid w:val="65EA5BC3"/>
    <w:rsid w:val="65EC32C5"/>
    <w:rsid w:val="65EC4433"/>
    <w:rsid w:val="65ED6B48"/>
    <w:rsid w:val="65EF204B"/>
    <w:rsid w:val="65EF654B"/>
    <w:rsid w:val="65EF7ACC"/>
    <w:rsid w:val="65F01CCB"/>
    <w:rsid w:val="65F0554E"/>
    <w:rsid w:val="65F07C46"/>
    <w:rsid w:val="65F31BDB"/>
    <w:rsid w:val="65F31D9F"/>
    <w:rsid w:val="65F32C4F"/>
    <w:rsid w:val="65F364D3"/>
    <w:rsid w:val="65F406D1"/>
    <w:rsid w:val="65F43F54"/>
    <w:rsid w:val="65F553B0"/>
    <w:rsid w:val="65F56152"/>
    <w:rsid w:val="65F71656"/>
    <w:rsid w:val="65F74ED9"/>
    <w:rsid w:val="65F8526B"/>
    <w:rsid w:val="65F870D7"/>
    <w:rsid w:val="65F903DC"/>
    <w:rsid w:val="65FA25DA"/>
    <w:rsid w:val="65FA5E5E"/>
    <w:rsid w:val="65FB005C"/>
    <w:rsid w:val="65FB00E6"/>
    <w:rsid w:val="65FB203F"/>
    <w:rsid w:val="65FB7383"/>
    <w:rsid w:val="65FC1361"/>
    <w:rsid w:val="65FC7F22"/>
    <w:rsid w:val="65FD355F"/>
    <w:rsid w:val="65FE4864"/>
    <w:rsid w:val="65FF07B9"/>
    <w:rsid w:val="65FF25D9"/>
    <w:rsid w:val="65FF44E4"/>
    <w:rsid w:val="65FF6A62"/>
    <w:rsid w:val="66001677"/>
    <w:rsid w:val="66001F65"/>
    <w:rsid w:val="66007D67"/>
    <w:rsid w:val="660157E8"/>
    <w:rsid w:val="6602326A"/>
    <w:rsid w:val="66025468"/>
    <w:rsid w:val="66030CEB"/>
    <w:rsid w:val="66032BD3"/>
    <w:rsid w:val="66032EEA"/>
    <w:rsid w:val="6603588E"/>
    <w:rsid w:val="66063E6E"/>
    <w:rsid w:val="660718F0"/>
    <w:rsid w:val="66080D5A"/>
    <w:rsid w:val="66082BF5"/>
    <w:rsid w:val="66087371"/>
    <w:rsid w:val="66090676"/>
    <w:rsid w:val="660A2875"/>
    <w:rsid w:val="660A3036"/>
    <w:rsid w:val="660C43EA"/>
    <w:rsid w:val="660D4F89"/>
    <w:rsid w:val="660D707D"/>
    <w:rsid w:val="660E5B28"/>
    <w:rsid w:val="660F66C6"/>
    <w:rsid w:val="660F6CFC"/>
    <w:rsid w:val="66100001"/>
    <w:rsid w:val="66107265"/>
    <w:rsid w:val="66115A83"/>
    <w:rsid w:val="661207DE"/>
    <w:rsid w:val="66130F86"/>
    <w:rsid w:val="6613137D"/>
    <w:rsid w:val="66135703"/>
    <w:rsid w:val="66141B92"/>
    <w:rsid w:val="66143184"/>
    <w:rsid w:val="66150C06"/>
    <w:rsid w:val="66154489"/>
    <w:rsid w:val="66161F0A"/>
    <w:rsid w:val="661632D0"/>
    <w:rsid w:val="66166687"/>
    <w:rsid w:val="66171B8A"/>
    <w:rsid w:val="66174109"/>
    <w:rsid w:val="66176972"/>
    <w:rsid w:val="66192E8F"/>
    <w:rsid w:val="66195F86"/>
    <w:rsid w:val="661A06AB"/>
    <w:rsid w:val="661A0911"/>
    <w:rsid w:val="661B6392"/>
    <w:rsid w:val="661B74FF"/>
    <w:rsid w:val="661C3E14"/>
    <w:rsid w:val="661C6631"/>
    <w:rsid w:val="661C7228"/>
    <w:rsid w:val="661C75DF"/>
    <w:rsid w:val="661C7ED9"/>
    <w:rsid w:val="661D0C3C"/>
    <w:rsid w:val="661D1895"/>
    <w:rsid w:val="661E1616"/>
    <w:rsid w:val="661E7317"/>
    <w:rsid w:val="661F1FF1"/>
    <w:rsid w:val="661F21B5"/>
    <w:rsid w:val="661F281A"/>
    <w:rsid w:val="6620029B"/>
    <w:rsid w:val="66207506"/>
    <w:rsid w:val="662242CD"/>
    <w:rsid w:val="66231220"/>
    <w:rsid w:val="66245845"/>
    <w:rsid w:val="66246CA2"/>
    <w:rsid w:val="66280D11"/>
    <w:rsid w:val="662A0BAB"/>
    <w:rsid w:val="662A1850"/>
    <w:rsid w:val="662B2FED"/>
    <w:rsid w:val="662B662D"/>
    <w:rsid w:val="662C40AE"/>
    <w:rsid w:val="662E5105"/>
    <w:rsid w:val="662F5033"/>
    <w:rsid w:val="662F5ADF"/>
    <w:rsid w:val="66317058"/>
    <w:rsid w:val="66320795"/>
    <w:rsid w:val="66331170"/>
    <w:rsid w:val="663372BC"/>
    <w:rsid w:val="663414BA"/>
    <w:rsid w:val="66344D3E"/>
    <w:rsid w:val="66360241"/>
    <w:rsid w:val="66363287"/>
    <w:rsid w:val="66373E26"/>
    <w:rsid w:val="66375CC2"/>
    <w:rsid w:val="66377EC1"/>
    <w:rsid w:val="66383744"/>
    <w:rsid w:val="6638454D"/>
    <w:rsid w:val="663933C4"/>
    <w:rsid w:val="66393B0C"/>
    <w:rsid w:val="663A0E45"/>
    <w:rsid w:val="663A2BAA"/>
    <w:rsid w:val="663B46C9"/>
    <w:rsid w:val="663B68C7"/>
    <w:rsid w:val="663C214A"/>
    <w:rsid w:val="663C4348"/>
    <w:rsid w:val="663D1DCA"/>
    <w:rsid w:val="663D7BCC"/>
    <w:rsid w:val="663D7E90"/>
    <w:rsid w:val="663E784C"/>
    <w:rsid w:val="663F15CE"/>
    <w:rsid w:val="663F52CD"/>
    <w:rsid w:val="66402D4F"/>
    <w:rsid w:val="664065D2"/>
    <w:rsid w:val="66414053"/>
    <w:rsid w:val="66421AD5"/>
    <w:rsid w:val="66433CD3"/>
    <w:rsid w:val="66434C5E"/>
    <w:rsid w:val="664571D6"/>
    <w:rsid w:val="664604DB"/>
    <w:rsid w:val="66466D76"/>
    <w:rsid w:val="66475F5D"/>
    <w:rsid w:val="664804B3"/>
    <w:rsid w:val="664839DE"/>
    <w:rsid w:val="66491460"/>
    <w:rsid w:val="664A6EE1"/>
    <w:rsid w:val="664B4963"/>
    <w:rsid w:val="664C2FA5"/>
    <w:rsid w:val="664C6B61"/>
    <w:rsid w:val="664D3B44"/>
    <w:rsid w:val="664E2064"/>
    <w:rsid w:val="664F3369"/>
    <w:rsid w:val="664F4EF8"/>
    <w:rsid w:val="664F5567"/>
    <w:rsid w:val="664F7AE6"/>
    <w:rsid w:val="66500DEB"/>
    <w:rsid w:val="66502FE9"/>
    <w:rsid w:val="66510A6B"/>
    <w:rsid w:val="6651686C"/>
    <w:rsid w:val="665264EC"/>
    <w:rsid w:val="66533F6E"/>
    <w:rsid w:val="66541127"/>
    <w:rsid w:val="665412EB"/>
    <w:rsid w:val="66551CC6"/>
    <w:rsid w:val="66555272"/>
    <w:rsid w:val="66557471"/>
    <w:rsid w:val="66564EF2"/>
    <w:rsid w:val="66570776"/>
    <w:rsid w:val="66572974"/>
    <w:rsid w:val="665761F7"/>
    <w:rsid w:val="665779AE"/>
    <w:rsid w:val="665803F5"/>
    <w:rsid w:val="66583C79"/>
    <w:rsid w:val="665947B7"/>
    <w:rsid w:val="66595E77"/>
    <w:rsid w:val="665A38F8"/>
    <w:rsid w:val="665A717C"/>
    <w:rsid w:val="665B4BFD"/>
    <w:rsid w:val="665B5EF5"/>
    <w:rsid w:val="665C267F"/>
    <w:rsid w:val="665C6DFC"/>
    <w:rsid w:val="665D0100"/>
    <w:rsid w:val="665D487D"/>
    <w:rsid w:val="665E5B82"/>
    <w:rsid w:val="665F3603"/>
    <w:rsid w:val="66601085"/>
    <w:rsid w:val="66603CFA"/>
    <w:rsid w:val="66605802"/>
    <w:rsid w:val="66612CC3"/>
    <w:rsid w:val="66620D05"/>
    <w:rsid w:val="66623861"/>
    <w:rsid w:val="66624588"/>
    <w:rsid w:val="6663200A"/>
    <w:rsid w:val="6663423B"/>
    <w:rsid w:val="66643459"/>
    <w:rsid w:val="66647A8B"/>
    <w:rsid w:val="66651C8A"/>
    <w:rsid w:val="66662F8E"/>
    <w:rsid w:val="66670A10"/>
    <w:rsid w:val="6667518D"/>
    <w:rsid w:val="66676D2D"/>
    <w:rsid w:val="66676EF2"/>
    <w:rsid w:val="66680690"/>
    <w:rsid w:val="66682C0E"/>
    <w:rsid w:val="66686491"/>
    <w:rsid w:val="66693E1B"/>
    <w:rsid w:val="666A0E45"/>
    <w:rsid w:val="666A1995"/>
    <w:rsid w:val="666A3B93"/>
    <w:rsid w:val="666B1271"/>
    <w:rsid w:val="666B7416"/>
    <w:rsid w:val="666C3A5C"/>
    <w:rsid w:val="666C4E98"/>
    <w:rsid w:val="666C7096"/>
    <w:rsid w:val="666D2919"/>
    <w:rsid w:val="666E039B"/>
    <w:rsid w:val="666F001B"/>
    <w:rsid w:val="666F5E1C"/>
    <w:rsid w:val="6670131F"/>
    <w:rsid w:val="6670389E"/>
    <w:rsid w:val="66705A9C"/>
    <w:rsid w:val="66720F9F"/>
    <w:rsid w:val="66724822"/>
    <w:rsid w:val="66725A80"/>
    <w:rsid w:val="6672718B"/>
    <w:rsid w:val="66736A21"/>
    <w:rsid w:val="667408C9"/>
    <w:rsid w:val="667444A2"/>
    <w:rsid w:val="66754D58"/>
    <w:rsid w:val="66761C7D"/>
    <w:rsid w:val="667679A5"/>
    <w:rsid w:val="66770CAA"/>
    <w:rsid w:val="66782EA9"/>
    <w:rsid w:val="66783F59"/>
    <w:rsid w:val="6678672C"/>
    <w:rsid w:val="6679092A"/>
    <w:rsid w:val="66794933"/>
    <w:rsid w:val="667A1C2F"/>
    <w:rsid w:val="667A530E"/>
    <w:rsid w:val="667A63AC"/>
    <w:rsid w:val="667B3E2D"/>
    <w:rsid w:val="667B76B0"/>
    <w:rsid w:val="667C18AF"/>
    <w:rsid w:val="667C5132"/>
    <w:rsid w:val="667E4DB2"/>
    <w:rsid w:val="668002B5"/>
    <w:rsid w:val="668115BA"/>
    <w:rsid w:val="6682703B"/>
    <w:rsid w:val="668272FB"/>
    <w:rsid w:val="66836399"/>
    <w:rsid w:val="6684253E"/>
    <w:rsid w:val="668469F0"/>
    <w:rsid w:val="66854D92"/>
    <w:rsid w:val="6685767B"/>
    <w:rsid w:val="66861EEC"/>
    <w:rsid w:val="66865A41"/>
    <w:rsid w:val="6686630A"/>
    <w:rsid w:val="668734C3"/>
    <w:rsid w:val="66876CE5"/>
    <w:rsid w:val="66880F45"/>
    <w:rsid w:val="66882EA5"/>
    <w:rsid w:val="668869C6"/>
    <w:rsid w:val="66887883"/>
    <w:rsid w:val="66894448"/>
    <w:rsid w:val="668A0DFC"/>
    <w:rsid w:val="668A1EC9"/>
    <w:rsid w:val="668B029F"/>
    <w:rsid w:val="668B794B"/>
    <w:rsid w:val="668D2E4E"/>
    <w:rsid w:val="668D30D8"/>
    <w:rsid w:val="668E08CF"/>
    <w:rsid w:val="668F26CF"/>
    <w:rsid w:val="668F2885"/>
    <w:rsid w:val="668F6351"/>
    <w:rsid w:val="66901C8E"/>
    <w:rsid w:val="66903DD3"/>
    <w:rsid w:val="6690502B"/>
    <w:rsid w:val="669051F0"/>
    <w:rsid w:val="66911096"/>
    <w:rsid w:val="669265A4"/>
    <w:rsid w:val="669272D6"/>
    <w:rsid w:val="66931839"/>
    <w:rsid w:val="66934D57"/>
    <w:rsid w:val="66937143"/>
    <w:rsid w:val="669427D9"/>
    <w:rsid w:val="66947B1D"/>
    <w:rsid w:val="6695025A"/>
    <w:rsid w:val="66961DF9"/>
    <w:rsid w:val="66965CDC"/>
    <w:rsid w:val="66972998"/>
    <w:rsid w:val="6697375D"/>
    <w:rsid w:val="669811DF"/>
    <w:rsid w:val="669A46E2"/>
    <w:rsid w:val="669B59E7"/>
    <w:rsid w:val="669C3468"/>
    <w:rsid w:val="669C5E64"/>
    <w:rsid w:val="669C7BE5"/>
    <w:rsid w:val="669D5667"/>
    <w:rsid w:val="669E30E8"/>
    <w:rsid w:val="669E42B5"/>
    <w:rsid w:val="669E73DD"/>
    <w:rsid w:val="669E75A1"/>
    <w:rsid w:val="66A0406D"/>
    <w:rsid w:val="66A065EB"/>
    <w:rsid w:val="66A22C31"/>
    <w:rsid w:val="66A25372"/>
    <w:rsid w:val="66A27570"/>
    <w:rsid w:val="66A32DF3"/>
    <w:rsid w:val="66A34FF2"/>
    <w:rsid w:val="66A40875"/>
    <w:rsid w:val="66A504F5"/>
    <w:rsid w:val="66A562F6"/>
    <w:rsid w:val="66A63D78"/>
    <w:rsid w:val="66A658E8"/>
    <w:rsid w:val="66A65F76"/>
    <w:rsid w:val="66A717F9"/>
    <w:rsid w:val="66A76486"/>
    <w:rsid w:val="66A81479"/>
    <w:rsid w:val="66A84CFD"/>
    <w:rsid w:val="66A8727B"/>
    <w:rsid w:val="66A9277E"/>
    <w:rsid w:val="66A96EFB"/>
    <w:rsid w:val="66AA03D9"/>
    <w:rsid w:val="66AB0DB4"/>
    <w:rsid w:val="66AB23FE"/>
    <w:rsid w:val="66AC3703"/>
    <w:rsid w:val="66AC7689"/>
    <w:rsid w:val="66AC7E7F"/>
    <w:rsid w:val="66AD1184"/>
    <w:rsid w:val="66AD68DD"/>
    <w:rsid w:val="66AE3090"/>
    <w:rsid w:val="66AE3383"/>
    <w:rsid w:val="66AE5B30"/>
    <w:rsid w:val="66AE6C06"/>
    <w:rsid w:val="66AF0E04"/>
    <w:rsid w:val="66AF4687"/>
    <w:rsid w:val="66B02109"/>
    <w:rsid w:val="66B051A7"/>
    <w:rsid w:val="66B14307"/>
    <w:rsid w:val="66B21052"/>
    <w:rsid w:val="66B21D89"/>
    <w:rsid w:val="66B2560C"/>
    <w:rsid w:val="66B26720"/>
    <w:rsid w:val="66B3308E"/>
    <w:rsid w:val="66B3780A"/>
    <w:rsid w:val="66B4528C"/>
    <w:rsid w:val="66B6078F"/>
    <w:rsid w:val="66B61212"/>
    <w:rsid w:val="66B64012"/>
    <w:rsid w:val="66B71A94"/>
    <w:rsid w:val="66B71DB0"/>
    <w:rsid w:val="66B76211"/>
    <w:rsid w:val="66B81714"/>
    <w:rsid w:val="66B8278B"/>
    <w:rsid w:val="66B87515"/>
    <w:rsid w:val="66B97195"/>
    <w:rsid w:val="66BA2A18"/>
    <w:rsid w:val="66BB1790"/>
    <w:rsid w:val="66BC030D"/>
    <w:rsid w:val="66BC04C3"/>
    <w:rsid w:val="66BC5441"/>
    <w:rsid w:val="66BD5B9B"/>
    <w:rsid w:val="66BE361D"/>
    <w:rsid w:val="66BE7558"/>
    <w:rsid w:val="66BF00F7"/>
    <w:rsid w:val="66BF0CE1"/>
    <w:rsid w:val="66BF109E"/>
    <w:rsid w:val="66BF6EA0"/>
    <w:rsid w:val="66C00C96"/>
    <w:rsid w:val="66C06B20"/>
    <w:rsid w:val="66C145A2"/>
    <w:rsid w:val="66C22023"/>
    <w:rsid w:val="66C2204A"/>
    <w:rsid w:val="66C33328"/>
    <w:rsid w:val="66C40DA9"/>
    <w:rsid w:val="66C45526"/>
    <w:rsid w:val="66C54162"/>
    <w:rsid w:val="66C60A29"/>
    <w:rsid w:val="66C64630"/>
    <w:rsid w:val="66C7249B"/>
    <w:rsid w:val="66C7589F"/>
    <w:rsid w:val="66C83F2C"/>
    <w:rsid w:val="66C86279"/>
    <w:rsid w:val="66C877B0"/>
    <w:rsid w:val="66C919AE"/>
    <w:rsid w:val="66C942D8"/>
    <w:rsid w:val="66CA2CB3"/>
    <w:rsid w:val="66CA7430"/>
    <w:rsid w:val="66CB0734"/>
    <w:rsid w:val="66CB0F2F"/>
    <w:rsid w:val="66CB15A6"/>
    <w:rsid w:val="66CB4EB1"/>
    <w:rsid w:val="66CC1B88"/>
    <w:rsid w:val="66CC2933"/>
    <w:rsid w:val="66CD03B4"/>
    <w:rsid w:val="66CD3C37"/>
    <w:rsid w:val="66CE16B9"/>
    <w:rsid w:val="66CE5E36"/>
    <w:rsid w:val="66CF38B7"/>
    <w:rsid w:val="66CF3A21"/>
    <w:rsid w:val="66CF713B"/>
    <w:rsid w:val="66D04BBC"/>
    <w:rsid w:val="66D1263E"/>
    <w:rsid w:val="66D1483C"/>
    <w:rsid w:val="66D16DBA"/>
    <w:rsid w:val="66D37D3F"/>
    <w:rsid w:val="66D435C2"/>
    <w:rsid w:val="66D457C1"/>
    <w:rsid w:val="66D47276"/>
    <w:rsid w:val="66D60CC4"/>
    <w:rsid w:val="66D66AC5"/>
    <w:rsid w:val="66D74547"/>
    <w:rsid w:val="66D76745"/>
    <w:rsid w:val="66D85EBE"/>
    <w:rsid w:val="66D91C48"/>
    <w:rsid w:val="66D94BF1"/>
    <w:rsid w:val="66D95112"/>
    <w:rsid w:val="66D954CC"/>
    <w:rsid w:val="66D95632"/>
    <w:rsid w:val="66D97A4A"/>
    <w:rsid w:val="66DA2F4D"/>
    <w:rsid w:val="66DB09CF"/>
    <w:rsid w:val="66DC2BCD"/>
    <w:rsid w:val="66DD064E"/>
    <w:rsid w:val="66DE60D0"/>
    <w:rsid w:val="66E000AE"/>
    <w:rsid w:val="66E015D3"/>
    <w:rsid w:val="66E04E56"/>
    <w:rsid w:val="66E17055"/>
    <w:rsid w:val="66E2035A"/>
    <w:rsid w:val="66E217EC"/>
    <w:rsid w:val="66E32558"/>
    <w:rsid w:val="66E35DDB"/>
    <w:rsid w:val="66E47FD9"/>
    <w:rsid w:val="66E512DE"/>
    <w:rsid w:val="66E55A5B"/>
    <w:rsid w:val="66E64E7C"/>
    <w:rsid w:val="66E747E1"/>
    <w:rsid w:val="66E82263"/>
    <w:rsid w:val="66EA5766"/>
    <w:rsid w:val="66EB0348"/>
    <w:rsid w:val="66EB31E7"/>
    <w:rsid w:val="66EB5B17"/>
    <w:rsid w:val="66EC0C69"/>
    <w:rsid w:val="66ED18C1"/>
    <w:rsid w:val="66ED1A86"/>
    <w:rsid w:val="66ED5733"/>
    <w:rsid w:val="66ED66EB"/>
    <w:rsid w:val="66EE416C"/>
    <w:rsid w:val="66EF1BEE"/>
    <w:rsid w:val="66F12B72"/>
    <w:rsid w:val="66F35CB5"/>
    <w:rsid w:val="66F36075"/>
    <w:rsid w:val="66F3668F"/>
    <w:rsid w:val="66F37768"/>
    <w:rsid w:val="66F43AF7"/>
    <w:rsid w:val="66F44FD1"/>
    <w:rsid w:val="66F57DCC"/>
    <w:rsid w:val="66F607A6"/>
    <w:rsid w:val="66F71345"/>
    <w:rsid w:val="66F81EE4"/>
    <w:rsid w:val="66F928BE"/>
    <w:rsid w:val="66F97F7F"/>
    <w:rsid w:val="66FE5F4E"/>
    <w:rsid w:val="66FE6113"/>
    <w:rsid w:val="66FF1E88"/>
    <w:rsid w:val="670074C7"/>
    <w:rsid w:val="6700768C"/>
    <w:rsid w:val="67010066"/>
    <w:rsid w:val="67010C0E"/>
    <w:rsid w:val="67022E0D"/>
    <w:rsid w:val="67026690"/>
    <w:rsid w:val="67034111"/>
    <w:rsid w:val="67042D1C"/>
    <w:rsid w:val="67046310"/>
    <w:rsid w:val="670536F6"/>
    <w:rsid w:val="67053D91"/>
    <w:rsid w:val="67065096"/>
    <w:rsid w:val="67077294"/>
    <w:rsid w:val="67080599"/>
    <w:rsid w:val="67090D70"/>
    <w:rsid w:val="670963AD"/>
    <w:rsid w:val="670B371C"/>
    <w:rsid w:val="670B7AEA"/>
    <w:rsid w:val="670C04C4"/>
    <w:rsid w:val="670C119E"/>
    <w:rsid w:val="670D4A21"/>
    <w:rsid w:val="670D6C1F"/>
    <w:rsid w:val="670E1A3D"/>
    <w:rsid w:val="670E24A3"/>
    <w:rsid w:val="670E46A1"/>
    <w:rsid w:val="67107BA4"/>
    <w:rsid w:val="67110EA9"/>
    <w:rsid w:val="671230A7"/>
    <w:rsid w:val="671273F1"/>
    <w:rsid w:val="671275A7"/>
    <w:rsid w:val="67127912"/>
    <w:rsid w:val="67130B29"/>
    <w:rsid w:val="671343AC"/>
    <w:rsid w:val="671369AF"/>
    <w:rsid w:val="67141E2D"/>
    <w:rsid w:val="6715402C"/>
    <w:rsid w:val="671578AF"/>
    <w:rsid w:val="67170922"/>
    <w:rsid w:val="67184FB0"/>
    <w:rsid w:val="67185FD7"/>
    <w:rsid w:val="67191CD7"/>
    <w:rsid w:val="67192A32"/>
    <w:rsid w:val="671962B5"/>
    <w:rsid w:val="671A04B3"/>
    <w:rsid w:val="671B0D32"/>
    <w:rsid w:val="671B17B8"/>
    <w:rsid w:val="671B5F35"/>
    <w:rsid w:val="671C3DEE"/>
    <w:rsid w:val="671C58B1"/>
    <w:rsid w:val="671D1438"/>
    <w:rsid w:val="671D4CBB"/>
    <w:rsid w:val="671E5F06"/>
    <w:rsid w:val="671F01BE"/>
    <w:rsid w:val="671F124A"/>
    <w:rsid w:val="67201D84"/>
    <w:rsid w:val="67205C40"/>
    <w:rsid w:val="6721001D"/>
    <w:rsid w:val="67210FD7"/>
    <w:rsid w:val="67211863"/>
    <w:rsid w:val="67217E3E"/>
    <w:rsid w:val="67223341"/>
    <w:rsid w:val="67230DC3"/>
    <w:rsid w:val="67236BC5"/>
    <w:rsid w:val="67242135"/>
    <w:rsid w:val="67244646"/>
    <w:rsid w:val="67246844"/>
    <w:rsid w:val="672542C6"/>
    <w:rsid w:val="67261D48"/>
    <w:rsid w:val="672636AE"/>
    <w:rsid w:val="672755CB"/>
    <w:rsid w:val="672777C9"/>
    <w:rsid w:val="6728304C"/>
    <w:rsid w:val="67284C27"/>
    <w:rsid w:val="6728524B"/>
    <w:rsid w:val="67292CCC"/>
    <w:rsid w:val="672A074E"/>
    <w:rsid w:val="672B1A53"/>
    <w:rsid w:val="672B61CF"/>
    <w:rsid w:val="672C047C"/>
    <w:rsid w:val="672E29D7"/>
    <w:rsid w:val="672F0459"/>
    <w:rsid w:val="672F4040"/>
    <w:rsid w:val="672F4561"/>
    <w:rsid w:val="672F4BD5"/>
    <w:rsid w:val="67302657"/>
    <w:rsid w:val="67303132"/>
    <w:rsid w:val="6730396A"/>
    <w:rsid w:val="67305EDA"/>
    <w:rsid w:val="67311FC6"/>
    <w:rsid w:val="6731395C"/>
    <w:rsid w:val="673213DD"/>
    <w:rsid w:val="67325B5A"/>
    <w:rsid w:val="673335DC"/>
    <w:rsid w:val="67336E5F"/>
    <w:rsid w:val="673448E0"/>
    <w:rsid w:val="67352362"/>
    <w:rsid w:val="6736719C"/>
    <w:rsid w:val="67367DE4"/>
    <w:rsid w:val="67375865"/>
    <w:rsid w:val="67380715"/>
    <w:rsid w:val="67387A63"/>
    <w:rsid w:val="67390D68"/>
    <w:rsid w:val="673A09E8"/>
    <w:rsid w:val="673A282D"/>
    <w:rsid w:val="673A29F1"/>
    <w:rsid w:val="673A67EA"/>
    <w:rsid w:val="673B426B"/>
    <w:rsid w:val="673D196D"/>
    <w:rsid w:val="673D4944"/>
    <w:rsid w:val="673F2C72"/>
    <w:rsid w:val="673F58BB"/>
    <w:rsid w:val="674028F1"/>
    <w:rsid w:val="67410373"/>
    <w:rsid w:val="674175FB"/>
    <w:rsid w:val="67420199"/>
    <w:rsid w:val="67421678"/>
    <w:rsid w:val="67433876"/>
    <w:rsid w:val="674412F8"/>
    <w:rsid w:val="67444B7B"/>
    <w:rsid w:val="67446E17"/>
    <w:rsid w:val="674522B1"/>
    <w:rsid w:val="67462C8B"/>
    <w:rsid w:val="6746382A"/>
    <w:rsid w:val="6747227C"/>
    <w:rsid w:val="67473665"/>
    <w:rsid w:val="67483581"/>
    <w:rsid w:val="67491FBB"/>
    <w:rsid w:val="674A631B"/>
    <w:rsid w:val="674B0C82"/>
    <w:rsid w:val="674C6444"/>
    <w:rsid w:val="674C6704"/>
    <w:rsid w:val="674C7894"/>
    <w:rsid w:val="674D0098"/>
    <w:rsid w:val="674D0433"/>
    <w:rsid w:val="674D05F7"/>
    <w:rsid w:val="674F1B70"/>
    <w:rsid w:val="6750098D"/>
    <w:rsid w:val="67512F25"/>
    <w:rsid w:val="67523C88"/>
    <w:rsid w:val="67535201"/>
    <w:rsid w:val="6754503C"/>
    <w:rsid w:val="67547394"/>
    <w:rsid w:val="67554E15"/>
    <w:rsid w:val="67585D9A"/>
    <w:rsid w:val="6759381B"/>
    <w:rsid w:val="675A129D"/>
    <w:rsid w:val="675A1E0A"/>
    <w:rsid w:val="675A3622"/>
    <w:rsid w:val="675A6D1E"/>
    <w:rsid w:val="675C1AC8"/>
    <w:rsid w:val="675E4AC0"/>
    <w:rsid w:val="675F565F"/>
    <w:rsid w:val="67600C28"/>
    <w:rsid w:val="676166A9"/>
    <w:rsid w:val="67617776"/>
    <w:rsid w:val="67631BAC"/>
    <w:rsid w:val="6764762E"/>
    <w:rsid w:val="676550B0"/>
    <w:rsid w:val="676663B4"/>
    <w:rsid w:val="676705B3"/>
    <w:rsid w:val="67673E36"/>
    <w:rsid w:val="67674899"/>
    <w:rsid w:val="676818B7"/>
    <w:rsid w:val="67693AB6"/>
    <w:rsid w:val="67695728"/>
    <w:rsid w:val="676958DE"/>
    <w:rsid w:val="67697339"/>
    <w:rsid w:val="676A1537"/>
    <w:rsid w:val="676B283C"/>
    <w:rsid w:val="676B34F8"/>
    <w:rsid w:val="676B36AE"/>
    <w:rsid w:val="676B40F0"/>
    <w:rsid w:val="676C02BE"/>
    <w:rsid w:val="676D5D3F"/>
    <w:rsid w:val="676E05AF"/>
    <w:rsid w:val="676E37C1"/>
    <w:rsid w:val="676F0F89"/>
    <w:rsid w:val="676F1572"/>
    <w:rsid w:val="67701963"/>
    <w:rsid w:val="67710EC2"/>
    <w:rsid w:val="677130A1"/>
    <w:rsid w:val="67714745"/>
    <w:rsid w:val="67723C3F"/>
    <w:rsid w:val="67731E47"/>
    <w:rsid w:val="67734619"/>
    <w:rsid w:val="6775314C"/>
    <w:rsid w:val="6775534A"/>
    <w:rsid w:val="67755D57"/>
    <w:rsid w:val="67760BCD"/>
    <w:rsid w:val="67762DCB"/>
    <w:rsid w:val="677668F5"/>
    <w:rsid w:val="67770271"/>
    <w:rsid w:val="67770426"/>
    <w:rsid w:val="6777084D"/>
    <w:rsid w:val="677862CF"/>
    <w:rsid w:val="677879E5"/>
    <w:rsid w:val="67787CAA"/>
    <w:rsid w:val="67791B52"/>
    <w:rsid w:val="677961F6"/>
    <w:rsid w:val="67796A82"/>
    <w:rsid w:val="677A1223"/>
    <w:rsid w:val="677A33C6"/>
    <w:rsid w:val="677B0314"/>
    <w:rsid w:val="677B1F86"/>
    <w:rsid w:val="677B7253"/>
    <w:rsid w:val="677C0558"/>
    <w:rsid w:val="677D3ED9"/>
    <w:rsid w:val="677D409D"/>
    <w:rsid w:val="677D5FDA"/>
    <w:rsid w:val="677E01D8"/>
    <w:rsid w:val="677E3A5B"/>
    <w:rsid w:val="677E6DAE"/>
    <w:rsid w:val="677F14DD"/>
    <w:rsid w:val="677F5C59"/>
    <w:rsid w:val="678036DB"/>
    <w:rsid w:val="67805FF1"/>
    <w:rsid w:val="67806F5E"/>
    <w:rsid w:val="6781115C"/>
    <w:rsid w:val="678149E0"/>
    <w:rsid w:val="67822461"/>
    <w:rsid w:val="67826BDE"/>
    <w:rsid w:val="67837EE3"/>
    <w:rsid w:val="678420E1"/>
    <w:rsid w:val="67857B63"/>
    <w:rsid w:val="678655E4"/>
    <w:rsid w:val="67873066"/>
    <w:rsid w:val="678802FD"/>
    <w:rsid w:val="67880AE7"/>
    <w:rsid w:val="6788436B"/>
    <w:rsid w:val="678B58B0"/>
    <w:rsid w:val="678C4F6F"/>
    <w:rsid w:val="678C6FED"/>
    <w:rsid w:val="678E6274"/>
    <w:rsid w:val="678F4653"/>
    <w:rsid w:val="678F5EF4"/>
    <w:rsid w:val="67901777"/>
    <w:rsid w:val="67903975"/>
    <w:rsid w:val="679171F9"/>
    <w:rsid w:val="6792321C"/>
    <w:rsid w:val="67924C7A"/>
    <w:rsid w:val="67926E78"/>
    <w:rsid w:val="67945BFF"/>
    <w:rsid w:val="67953680"/>
    <w:rsid w:val="679542C8"/>
    <w:rsid w:val="67955170"/>
    <w:rsid w:val="67956603"/>
    <w:rsid w:val="67961102"/>
    <w:rsid w:val="6796278B"/>
    <w:rsid w:val="679631B0"/>
    <w:rsid w:val="6796587F"/>
    <w:rsid w:val="67965B4A"/>
    <w:rsid w:val="67973300"/>
    <w:rsid w:val="67980D82"/>
    <w:rsid w:val="67984605"/>
    <w:rsid w:val="67992086"/>
    <w:rsid w:val="67996803"/>
    <w:rsid w:val="679A6CBC"/>
    <w:rsid w:val="679A77F5"/>
    <w:rsid w:val="679A7B08"/>
    <w:rsid w:val="679B1D79"/>
    <w:rsid w:val="679B558A"/>
    <w:rsid w:val="679C2918"/>
    <w:rsid w:val="679C300B"/>
    <w:rsid w:val="679D0A8D"/>
    <w:rsid w:val="679D5209"/>
    <w:rsid w:val="679E2C8B"/>
    <w:rsid w:val="679E3E90"/>
    <w:rsid w:val="679E650E"/>
    <w:rsid w:val="679F3F90"/>
    <w:rsid w:val="67A0618E"/>
    <w:rsid w:val="67A13C10"/>
    <w:rsid w:val="67A15FA8"/>
    <w:rsid w:val="67A24F14"/>
    <w:rsid w:val="67A36FC6"/>
    <w:rsid w:val="67A40418"/>
    <w:rsid w:val="67A42616"/>
    <w:rsid w:val="67A45EAE"/>
    <w:rsid w:val="67A4786A"/>
    <w:rsid w:val="67A50097"/>
    <w:rsid w:val="67A55102"/>
    <w:rsid w:val="67A55E99"/>
    <w:rsid w:val="67A7139C"/>
    <w:rsid w:val="67AA652A"/>
    <w:rsid w:val="67AA7DA2"/>
    <w:rsid w:val="67AB1FA1"/>
    <w:rsid w:val="67AB5A2C"/>
    <w:rsid w:val="67AC2BC3"/>
    <w:rsid w:val="67AC32A5"/>
    <w:rsid w:val="67AC7A22"/>
    <w:rsid w:val="67AD54A4"/>
    <w:rsid w:val="67AD6FA5"/>
    <w:rsid w:val="67AE67A9"/>
    <w:rsid w:val="67AE7B43"/>
    <w:rsid w:val="67AF051E"/>
    <w:rsid w:val="67AF422A"/>
    <w:rsid w:val="67B06428"/>
    <w:rsid w:val="67B11C5B"/>
    <w:rsid w:val="67B13EAA"/>
    <w:rsid w:val="67B1772D"/>
    <w:rsid w:val="67B22635"/>
    <w:rsid w:val="67B552EB"/>
    <w:rsid w:val="67B71637"/>
    <w:rsid w:val="67B97DDD"/>
    <w:rsid w:val="67BA25BB"/>
    <w:rsid w:val="67BB003D"/>
    <w:rsid w:val="67BC1D30"/>
    <w:rsid w:val="67BD2A93"/>
    <w:rsid w:val="67BF3E48"/>
    <w:rsid w:val="67BF6A43"/>
    <w:rsid w:val="67C03A60"/>
    <w:rsid w:val="67C044C4"/>
    <w:rsid w:val="67C049E6"/>
    <w:rsid w:val="67C04BAB"/>
    <w:rsid w:val="67C15585"/>
    <w:rsid w:val="67C21B9B"/>
    <w:rsid w:val="67C25449"/>
    <w:rsid w:val="67C26CC2"/>
    <w:rsid w:val="67C279C8"/>
    <w:rsid w:val="67C32ECB"/>
    <w:rsid w:val="67C4023B"/>
    <w:rsid w:val="67C50C16"/>
    <w:rsid w:val="67C563CE"/>
    <w:rsid w:val="67C617B4"/>
    <w:rsid w:val="67C63E4F"/>
    <w:rsid w:val="67C82D2D"/>
    <w:rsid w:val="67C9107F"/>
    <w:rsid w:val="67C942F6"/>
    <w:rsid w:val="67C94DD4"/>
    <w:rsid w:val="67CA2856"/>
    <w:rsid w:val="67CA42A6"/>
    <w:rsid w:val="67CC15DC"/>
    <w:rsid w:val="67CC5D59"/>
    <w:rsid w:val="67CD37DA"/>
    <w:rsid w:val="67CD63BE"/>
    <w:rsid w:val="67CD705D"/>
    <w:rsid w:val="67CF069A"/>
    <w:rsid w:val="67CF2561"/>
    <w:rsid w:val="67CF623D"/>
    <w:rsid w:val="67CF6CDD"/>
    <w:rsid w:val="67CF7936"/>
    <w:rsid w:val="67D11A4E"/>
    <w:rsid w:val="67D121E0"/>
    <w:rsid w:val="67D13936"/>
    <w:rsid w:val="67D225ED"/>
    <w:rsid w:val="67D27C62"/>
    <w:rsid w:val="67D356E3"/>
    <w:rsid w:val="67D43165"/>
    <w:rsid w:val="67D50BE7"/>
    <w:rsid w:val="67D61EEB"/>
    <w:rsid w:val="67D650DE"/>
    <w:rsid w:val="67D7796D"/>
    <w:rsid w:val="67D81B6B"/>
    <w:rsid w:val="67D853EE"/>
    <w:rsid w:val="67D92E70"/>
    <w:rsid w:val="67D971F6"/>
    <w:rsid w:val="67DB0571"/>
    <w:rsid w:val="67DC130D"/>
    <w:rsid w:val="67DC1E5B"/>
    <w:rsid w:val="67DC5FF3"/>
    <w:rsid w:val="67DD0343"/>
    <w:rsid w:val="67DD1876"/>
    <w:rsid w:val="67DD2A4B"/>
    <w:rsid w:val="67DD3A75"/>
    <w:rsid w:val="67DE7597"/>
    <w:rsid w:val="67DF4D79"/>
    <w:rsid w:val="67E027FB"/>
    <w:rsid w:val="67E1247B"/>
    <w:rsid w:val="67E25CFE"/>
    <w:rsid w:val="67E260DB"/>
    <w:rsid w:val="67E33780"/>
    <w:rsid w:val="67E3597E"/>
    <w:rsid w:val="67E36C7A"/>
    <w:rsid w:val="67E433FF"/>
    <w:rsid w:val="67E50E81"/>
    <w:rsid w:val="67E62186"/>
    <w:rsid w:val="67E66902"/>
    <w:rsid w:val="67E81E06"/>
    <w:rsid w:val="67E85689"/>
    <w:rsid w:val="67E92EA9"/>
    <w:rsid w:val="67E9310A"/>
    <w:rsid w:val="67E97887"/>
    <w:rsid w:val="67EA0B8C"/>
    <w:rsid w:val="67EC244A"/>
    <w:rsid w:val="67EC2B21"/>
    <w:rsid w:val="67ED14E8"/>
    <w:rsid w:val="67ED628D"/>
    <w:rsid w:val="67ED6375"/>
    <w:rsid w:val="67EE03D0"/>
    <w:rsid w:val="67EE3D0F"/>
    <w:rsid w:val="67EE7592"/>
    <w:rsid w:val="67EF7AB2"/>
    <w:rsid w:val="67F027BB"/>
    <w:rsid w:val="67F10517"/>
    <w:rsid w:val="67F22715"/>
    <w:rsid w:val="67F30197"/>
    <w:rsid w:val="67F32768"/>
    <w:rsid w:val="67F33A1A"/>
    <w:rsid w:val="67F46BD3"/>
    <w:rsid w:val="67F5111B"/>
    <w:rsid w:val="67F6499F"/>
    <w:rsid w:val="67F66B9D"/>
    <w:rsid w:val="67F678D8"/>
    <w:rsid w:val="67F7461E"/>
    <w:rsid w:val="67F820A0"/>
    <w:rsid w:val="67F87EA2"/>
    <w:rsid w:val="67FA55A3"/>
    <w:rsid w:val="67FA7D4C"/>
    <w:rsid w:val="67FB0E26"/>
    <w:rsid w:val="67FB41E6"/>
    <w:rsid w:val="67FB68A8"/>
    <w:rsid w:val="67FC0AA6"/>
    <w:rsid w:val="67FC3283"/>
    <w:rsid w:val="67FC4329"/>
    <w:rsid w:val="67FD1DAB"/>
    <w:rsid w:val="67FD6528"/>
    <w:rsid w:val="67FE6CF9"/>
    <w:rsid w:val="67FE782C"/>
    <w:rsid w:val="67FF1A2B"/>
    <w:rsid w:val="67FF52AE"/>
    <w:rsid w:val="68002D30"/>
    <w:rsid w:val="68003F7B"/>
    <w:rsid w:val="68014955"/>
    <w:rsid w:val="680256B8"/>
    <w:rsid w:val="68030431"/>
    <w:rsid w:val="68041736"/>
    <w:rsid w:val="68045EB2"/>
    <w:rsid w:val="68046A6D"/>
    <w:rsid w:val="68053934"/>
    <w:rsid w:val="680571B7"/>
    <w:rsid w:val="680613B6"/>
    <w:rsid w:val="68064C39"/>
    <w:rsid w:val="6808013C"/>
    <w:rsid w:val="68094ABE"/>
    <w:rsid w:val="68095BBE"/>
    <w:rsid w:val="680A363F"/>
    <w:rsid w:val="680A680D"/>
    <w:rsid w:val="680A7DBC"/>
    <w:rsid w:val="680B10C1"/>
    <w:rsid w:val="680B4215"/>
    <w:rsid w:val="680B501F"/>
    <w:rsid w:val="680B56F5"/>
    <w:rsid w:val="680B583D"/>
    <w:rsid w:val="680B72D0"/>
    <w:rsid w:val="680C4DB4"/>
    <w:rsid w:val="680C6B42"/>
    <w:rsid w:val="680D5952"/>
    <w:rsid w:val="680E64F1"/>
    <w:rsid w:val="680F1CC5"/>
    <w:rsid w:val="680F708F"/>
    <w:rsid w:val="680F7AC7"/>
    <w:rsid w:val="68105548"/>
    <w:rsid w:val="68107747"/>
    <w:rsid w:val="68107A6A"/>
    <w:rsid w:val="68110608"/>
    <w:rsid w:val="68112FCA"/>
    <w:rsid w:val="681151C8"/>
    <w:rsid w:val="68120A4B"/>
    <w:rsid w:val="68120FE3"/>
    <w:rsid w:val="6812496D"/>
    <w:rsid w:val="6814255B"/>
    <w:rsid w:val="681430FA"/>
    <w:rsid w:val="6814614D"/>
    <w:rsid w:val="68153BCE"/>
    <w:rsid w:val="68157452"/>
    <w:rsid w:val="68161650"/>
    <w:rsid w:val="681770D1"/>
    <w:rsid w:val="68184B53"/>
    <w:rsid w:val="68195E58"/>
    <w:rsid w:val="6819694F"/>
    <w:rsid w:val="68197B67"/>
    <w:rsid w:val="681A38D9"/>
    <w:rsid w:val="681A7329"/>
    <w:rsid w:val="681A77FC"/>
    <w:rsid w:val="681B7D03"/>
    <w:rsid w:val="681B7EC8"/>
    <w:rsid w:val="681C0A67"/>
    <w:rsid w:val="681C6DDC"/>
    <w:rsid w:val="681E1FDF"/>
    <w:rsid w:val="681E22E0"/>
    <w:rsid w:val="681E4749"/>
    <w:rsid w:val="681F6961"/>
    <w:rsid w:val="681F7D61"/>
    <w:rsid w:val="682057E3"/>
    <w:rsid w:val="68211994"/>
    <w:rsid w:val="68213264"/>
    <w:rsid w:val="68220CE6"/>
    <w:rsid w:val="682254AB"/>
    <w:rsid w:val="682575C3"/>
    <w:rsid w:val="682676EC"/>
    <w:rsid w:val="68272A1B"/>
    <w:rsid w:val="682730F1"/>
    <w:rsid w:val="682A2E18"/>
    <w:rsid w:val="682B15F5"/>
    <w:rsid w:val="682D4F2F"/>
    <w:rsid w:val="682E590A"/>
    <w:rsid w:val="682F7047"/>
    <w:rsid w:val="682F7FFB"/>
    <w:rsid w:val="68305A7D"/>
    <w:rsid w:val="68307BE6"/>
    <w:rsid w:val="683134FF"/>
    <w:rsid w:val="68326D82"/>
    <w:rsid w:val="683426D7"/>
    <w:rsid w:val="68347D07"/>
    <w:rsid w:val="68355788"/>
    <w:rsid w:val="68355A84"/>
    <w:rsid w:val="6836320A"/>
    <w:rsid w:val="68365042"/>
    <w:rsid w:val="683653AD"/>
    <w:rsid w:val="68370C8B"/>
    <w:rsid w:val="68375408"/>
    <w:rsid w:val="68382E89"/>
    <w:rsid w:val="683851C9"/>
    <w:rsid w:val="6838670D"/>
    <w:rsid w:val="683A1C10"/>
    <w:rsid w:val="683A638D"/>
    <w:rsid w:val="683B64A9"/>
    <w:rsid w:val="683C1890"/>
    <w:rsid w:val="683C5113"/>
    <w:rsid w:val="683C7CBB"/>
    <w:rsid w:val="683D2B94"/>
    <w:rsid w:val="683D7311"/>
    <w:rsid w:val="683F2814"/>
    <w:rsid w:val="683F6098"/>
    <w:rsid w:val="68415D17"/>
    <w:rsid w:val="6842701C"/>
    <w:rsid w:val="68430416"/>
    <w:rsid w:val="68430781"/>
    <w:rsid w:val="6843121A"/>
    <w:rsid w:val="68434A9E"/>
    <w:rsid w:val="68435627"/>
    <w:rsid w:val="6844251F"/>
    <w:rsid w:val="6844471E"/>
    <w:rsid w:val="68446002"/>
    <w:rsid w:val="68446C9C"/>
    <w:rsid w:val="68457FA1"/>
    <w:rsid w:val="68465A22"/>
    <w:rsid w:val="6846757A"/>
    <w:rsid w:val="68472BFE"/>
    <w:rsid w:val="684734A4"/>
    <w:rsid w:val="684756A2"/>
    <w:rsid w:val="68480F25"/>
    <w:rsid w:val="68483124"/>
    <w:rsid w:val="684969A7"/>
    <w:rsid w:val="684A6627"/>
    <w:rsid w:val="684B40A8"/>
    <w:rsid w:val="684C1B2A"/>
    <w:rsid w:val="684C53AD"/>
    <w:rsid w:val="684C792C"/>
    <w:rsid w:val="684D2E2F"/>
    <w:rsid w:val="684D75AC"/>
    <w:rsid w:val="684E08B0"/>
    <w:rsid w:val="684E58C1"/>
    <w:rsid w:val="68506FFE"/>
    <w:rsid w:val="68511835"/>
    <w:rsid w:val="685179D9"/>
    <w:rsid w:val="685314B5"/>
    <w:rsid w:val="685409C3"/>
    <w:rsid w:val="685427BA"/>
    <w:rsid w:val="685549B8"/>
    <w:rsid w:val="68563069"/>
    <w:rsid w:val="68565CBD"/>
    <w:rsid w:val="6857373E"/>
    <w:rsid w:val="68577EBB"/>
    <w:rsid w:val="685811C0"/>
    <w:rsid w:val="685847A6"/>
    <w:rsid w:val="68596C41"/>
    <w:rsid w:val="685A46C3"/>
    <w:rsid w:val="685A617B"/>
    <w:rsid w:val="685B2144"/>
    <w:rsid w:val="685B68C1"/>
    <w:rsid w:val="685B745D"/>
    <w:rsid w:val="685C133F"/>
    <w:rsid w:val="685C1DC4"/>
    <w:rsid w:val="685C7BC6"/>
    <w:rsid w:val="685D2839"/>
    <w:rsid w:val="685D5648"/>
    <w:rsid w:val="685D7846"/>
    <w:rsid w:val="685E13B0"/>
    <w:rsid w:val="685E52C7"/>
    <w:rsid w:val="685E64FA"/>
    <w:rsid w:val="685F0B4B"/>
    <w:rsid w:val="685F2D49"/>
    <w:rsid w:val="686007CB"/>
    <w:rsid w:val="68602928"/>
    <w:rsid w:val="68610A2F"/>
    <w:rsid w:val="686134C7"/>
    <w:rsid w:val="6861368C"/>
    <w:rsid w:val="6861404E"/>
    <w:rsid w:val="68621ACF"/>
    <w:rsid w:val="68623877"/>
    <w:rsid w:val="686261C8"/>
    <w:rsid w:val="6863174F"/>
    <w:rsid w:val="68632C80"/>
    <w:rsid w:val="68642A54"/>
    <w:rsid w:val="68644FD2"/>
    <w:rsid w:val="686471D1"/>
    <w:rsid w:val="686504D6"/>
    <w:rsid w:val="68654C52"/>
    <w:rsid w:val="6865617D"/>
    <w:rsid w:val="68656D1C"/>
    <w:rsid w:val="686626D4"/>
    <w:rsid w:val="68665F57"/>
    <w:rsid w:val="686676F6"/>
    <w:rsid w:val="686739D9"/>
    <w:rsid w:val="68680C6F"/>
    <w:rsid w:val="6868145A"/>
    <w:rsid w:val="68685BD7"/>
    <w:rsid w:val="68696EDC"/>
    <w:rsid w:val="686A495D"/>
    <w:rsid w:val="686B23DF"/>
    <w:rsid w:val="686B6B5C"/>
    <w:rsid w:val="686C45DD"/>
    <w:rsid w:val="686C7E60"/>
    <w:rsid w:val="686D205F"/>
    <w:rsid w:val="686D58E2"/>
    <w:rsid w:val="686F0DE5"/>
    <w:rsid w:val="686F5562"/>
    <w:rsid w:val="68702FE3"/>
    <w:rsid w:val="6870620A"/>
    <w:rsid w:val="68706417"/>
    <w:rsid w:val="687065DC"/>
    <w:rsid w:val="68706867"/>
    <w:rsid w:val="68710A65"/>
    <w:rsid w:val="68721D6A"/>
    <w:rsid w:val="68723A04"/>
    <w:rsid w:val="68727990"/>
    <w:rsid w:val="687306F3"/>
    <w:rsid w:val="687419EA"/>
    <w:rsid w:val="6874746B"/>
    <w:rsid w:val="68760770"/>
    <w:rsid w:val="687703F0"/>
    <w:rsid w:val="687761F1"/>
    <w:rsid w:val="68783C73"/>
    <w:rsid w:val="687916F5"/>
    <w:rsid w:val="687A1374"/>
    <w:rsid w:val="687A7176"/>
    <w:rsid w:val="687C00FB"/>
    <w:rsid w:val="687C2679"/>
    <w:rsid w:val="687C724F"/>
    <w:rsid w:val="687C7414"/>
    <w:rsid w:val="687E098D"/>
    <w:rsid w:val="687E0D52"/>
    <w:rsid w:val="687E35FE"/>
    <w:rsid w:val="687E7D7B"/>
    <w:rsid w:val="687F107F"/>
    <w:rsid w:val="687F7FA5"/>
    <w:rsid w:val="68805514"/>
    <w:rsid w:val="68806B01"/>
    <w:rsid w:val="68812AA4"/>
    <w:rsid w:val="68814582"/>
    <w:rsid w:val="6882347F"/>
    <w:rsid w:val="68834BBC"/>
    <w:rsid w:val="68837A86"/>
    <w:rsid w:val="68845507"/>
    <w:rsid w:val="68845596"/>
    <w:rsid w:val="68852F89"/>
    <w:rsid w:val="68860A0A"/>
    <w:rsid w:val="68866CD3"/>
    <w:rsid w:val="688776AE"/>
    <w:rsid w:val="68883F0D"/>
    <w:rsid w:val="688A17C5"/>
    <w:rsid w:val="688A198A"/>
    <w:rsid w:val="688A7410"/>
    <w:rsid w:val="688B47FD"/>
    <w:rsid w:val="688C2D3E"/>
    <w:rsid w:val="688C3A50"/>
    <w:rsid w:val="688D0395"/>
    <w:rsid w:val="688D2938"/>
    <w:rsid w:val="688D38DD"/>
    <w:rsid w:val="688E5E17"/>
    <w:rsid w:val="688F3898"/>
    <w:rsid w:val="68900156"/>
    <w:rsid w:val="6890131A"/>
    <w:rsid w:val="68901650"/>
    <w:rsid w:val="689063CF"/>
    <w:rsid w:val="68916D9B"/>
    <w:rsid w:val="6892481D"/>
    <w:rsid w:val="68941085"/>
    <w:rsid w:val="68947D20"/>
    <w:rsid w:val="68953223"/>
    <w:rsid w:val="68960CA5"/>
    <w:rsid w:val="68981FA9"/>
    <w:rsid w:val="68983B76"/>
    <w:rsid w:val="68983D3B"/>
    <w:rsid w:val="689841A8"/>
    <w:rsid w:val="68997A2B"/>
    <w:rsid w:val="689A54AC"/>
    <w:rsid w:val="689B2F2E"/>
    <w:rsid w:val="689B512C"/>
    <w:rsid w:val="689C09B0"/>
    <w:rsid w:val="689C5115"/>
    <w:rsid w:val="689C6793"/>
    <w:rsid w:val="689D3EB3"/>
    <w:rsid w:val="689D3FFD"/>
    <w:rsid w:val="689F3B33"/>
    <w:rsid w:val="68A04E37"/>
    <w:rsid w:val="68A128B9"/>
    <w:rsid w:val="68A12A5C"/>
    <w:rsid w:val="68A17036"/>
    <w:rsid w:val="68A2033A"/>
    <w:rsid w:val="68A23436"/>
    <w:rsid w:val="68A235FA"/>
    <w:rsid w:val="68A24AB7"/>
    <w:rsid w:val="68A35DBC"/>
    <w:rsid w:val="68A4383E"/>
    <w:rsid w:val="68A43EF6"/>
    <w:rsid w:val="68A512BF"/>
    <w:rsid w:val="68A634BD"/>
    <w:rsid w:val="68A66D41"/>
    <w:rsid w:val="68A70F3F"/>
    <w:rsid w:val="68A747C2"/>
    <w:rsid w:val="68A82244"/>
    <w:rsid w:val="68A869C0"/>
    <w:rsid w:val="68A903C8"/>
    <w:rsid w:val="68A90A0A"/>
    <w:rsid w:val="68A90BC0"/>
    <w:rsid w:val="68A910E0"/>
    <w:rsid w:val="68A97CC5"/>
    <w:rsid w:val="68AA0BDE"/>
    <w:rsid w:val="68AA0DA2"/>
    <w:rsid w:val="68AA1EC4"/>
    <w:rsid w:val="68AB31C8"/>
    <w:rsid w:val="68AC0C4A"/>
    <w:rsid w:val="68AC2E48"/>
    <w:rsid w:val="68AC2EBA"/>
    <w:rsid w:val="68AC53C7"/>
    <w:rsid w:val="68AC6ECB"/>
    <w:rsid w:val="68AF4E0D"/>
    <w:rsid w:val="68B07650"/>
    <w:rsid w:val="68B150D2"/>
    <w:rsid w:val="68B1654A"/>
    <w:rsid w:val="68B22B53"/>
    <w:rsid w:val="68B305D5"/>
    <w:rsid w:val="68B40255"/>
    <w:rsid w:val="68B4049D"/>
    <w:rsid w:val="68B43AD8"/>
    <w:rsid w:val="68B46056"/>
    <w:rsid w:val="68B51559"/>
    <w:rsid w:val="68B72779"/>
    <w:rsid w:val="68B74A5D"/>
    <w:rsid w:val="68B8118E"/>
    <w:rsid w:val="68B91BAE"/>
    <w:rsid w:val="68B93CF2"/>
    <w:rsid w:val="68B97F60"/>
    <w:rsid w:val="68BB3463"/>
    <w:rsid w:val="68BB7BDF"/>
    <w:rsid w:val="68BD30E3"/>
    <w:rsid w:val="68BE43E7"/>
    <w:rsid w:val="68BF08FC"/>
    <w:rsid w:val="68C04067"/>
    <w:rsid w:val="68C11AE9"/>
    <w:rsid w:val="68C11D22"/>
    <w:rsid w:val="68C2756A"/>
    <w:rsid w:val="68C3086F"/>
    <w:rsid w:val="68C34FEC"/>
    <w:rsid w:val="68C44151"/>
    <w:rsid w:val="68C462F1"/>
    <w:rsid w:val="68C54B2B"/>
    <w:rsid w:val="68C55F71"/>
    <w:rsid w:val="68C656C9"/>
    <w:rsid w:val="68C66268"/>
    <w:rsid w:val="68C71474"/>
    <w:rsid w:val="68C74541"/>
    <w:rsid w:val="68C76C42"/>
    <w:rsid w:val="68C77275"/>
    <w:rsid w:val="68C83E6B"/>
    <w:rsid w:val="68C84CF7"/>
    <w:rsid w:val="68C86EF5"/>
    <w:rsid w:val="68C901BB"/>
    <w:rsid w:val="68C94977"/>
    <w:rsid w:val="68CA23F8"/>
    <w:rsid w:val="68CB5C7C"/>
    <w:rsid w:val="68CC22D3"/>
    <w:rsid w:val="68CC36FD"/>
    <w:rsid w:val="68CC58FB"/>
    <w:rsid w:val="68CD2E71"/>
    <w:rsid w:val="68CD3FDE"/>
    <w:rsid w:val="68CD6C00"/>
    <w:rsid w:val="68CE0DFE"/>
    <w:rsid w:val="68CE4682"/>
    <w:rsid w:val="68CF6880"/>
    <w:rsid w:val="68D04302"/>
    <w:rsid w:val="68D04F89"/>
    <w:rsid w:val="68D07B85"/>
    <w:rsid w:val="68D11D83"/>
    <w:rsid w:val="68D15606"/>
    <w:rsid w:val="68D15963"/>
    <w:rsid w:val="68D27805"/>
    <w:rsid w:val="68D35286"/>
    <w:rsid w:val="68D4658B"/>
    <w:rsid w:val="68D50789"/>
    <w:rsid w:val="68D50FF4"/>
    <w:rsid w:val="68D511B8"/>
    <w:rsid w:val="68D5400D"/>
    <w:rsid w:val="68D57C80"/>
    <w:rsid w:val="68D61A8E"/>
    <w:rsid w:val="68D61B92"/>
    <w:rsid w:val="68D61D57"/>
    <w:rsid w:val="68D6620B"/>
    <w:rsid w:val="68D73C8C"/>
    <w:rsid w:val="68D7589B"/>
    <w:rsid w:val="68D8170E"/>
    <w:rsid w:val="68D8310B"/>
    <w:rsid w:val="68D84F91"/>
    <w:rsid w:val="68D92A13"/>
    <w:rsid w:val="68D93CAA"/>
    <w:rsid w:val="68D9718F"/>
    <w:rsid w:val="68DB5223"/>
    <w:rsid w:val="68DB5F16"/>
    <w:rsid w:val="68DC0114"/>
    <w:rsid w:val="68DD3617"/>
    <w:rsid w:val="68DF491C"/>
    <w:rsid w:val="68DF6B1A"/>
    <w:rsid w:val="68E0459C"/>
    <w:rsid w:val="68E11452"/>
    <w:rsid w:val="68E11616"/>
    <w:rsid w:val="68E1201D"/>
    <w:rsid w:val="68E17E1F"/>
    <w:rsid w:val="68E22B8F"/>
    <w:rsid w:val="68E27A9F"/>
    <w:rsid w:val="68E33322"/>
    <w:rsid w:val="68E33569"/>
    <w:rsid w:val="68E35521"/>
    <w:rsid w:val="68E40DA4"/>
    <w:rsid w:val="68E42FA2"/>
    <w:rsid w:val="68E50ABA"/>
    <w:rsid w:val="68E542A7"/>
    <w:rsid w:val="68E56825"/>
    <w:rsid w:val="68E61D28"/>
    <w:rsid w:val="68E76220"/>
    <w:rsid w:val="68E777AA"/>
    <w:rsid w:val="68E92CAD"/>
    <w:rsid w:val="68EA072F"/>
    <w:rsid w:val="68EB61B0"/>
    <w:rsid w:val="68EC3C32"/>
    <w:rsid w:val="68ED16B3"/>
    <w:rsid w:val="68F2667E"/>
    <w:rsid w:val="68F335BD"/>
    <w:rsid w:val="68F337B7"/>
    <w:rsid w:val="68F4103E"/>
    <w:rsid w:val="68F42A0B"/>
    <w:rsid w:val="68F56AC0"/>
    <w:rsid w:val="68F6116F"/>
    <w:rsid w:val="68F64541"/>
    <w:rsid w:val="68F71FC3"/>
    <w:rsid w:val="68F954C6"/>
    <w:rsid w:val="68FA2F47"/>
    <w:rsid w:val="68FD3ECC"/>
    <w:rsid w:val="68FD4A1F"/>
    <w:rsid w:val="68FD5F3D"/>
    <w:rsid w:val="68FE51D1"/>
    <w:rsid w:val="68FF0055"/>
    <w:rsid w:val="68FF2C52"/>
    <w:rsid w:val="68FF4E51"/>
    <w:rsid w:val="68FF7E90"/>
    <w:rsid w:val="690028D2"/>
    <w:rsid w:val="69010354"/>
    <w:rsid w:val="69011409"/>
    <w:rsid w:val="69023BD7"/>
    <w:rsid w:val="69024E7D"/>
    <w:rsid w:val="69025DD5"/>
    <w:rsid w:val="69031659"/>
    <w:rsid w:val="690347A6"/>
    <w:rsid w:val="690412D8"/>
    <w:rsid w:val="690470DA"/>
    <w:rsid w:val="690525DD"/>
    <w:rsid w:val="690540BF"/>
    <w:rsid w:val="69054B5C"/>
    <w:rsid w:val="69056D5A"/>
    <w:rsid w:val="6906005F"/>
    <w:rsid w:val="6906215D"/>
    <w:rsid w:val="690647DC"/>
    <w:rsid w:val="6907225D"/>
    <w:rsid w:val="69075AE0"/>
    <w:rsid w:val="69076303"/>
    <w:rsid w:val="69083562"/>
    <w:rsid w:val="69087CDF"/>
    <w:rsid w:val="69090FE4"/>
    <w:rsid w:val="69095760"/>
    <w:rsid w:val="690A6A65"/>
    <w:rsid w:val="690B44E7"/>
    <w:rsid w:val="690C1867"/>
    <w:rsid w:val="690C66E5"/>
    <w:rsid w:val="690D4166"/>
    <w:rsid w:val="690D79EA"/>
    <w:rsid w:val="690E151E"/>
    <w:rsid w:val="690E1BE8"/>
    <w:rsid w:val="690E546B"/>
    <w:rsid w:val="690F0FFE"/>
    <w:rsid w:val="690F2EED"/>
    <w:rsid w:val="690F397F"/>
    <w:rsid w:val="6910096E"/>
    <w:rsid w:val="6910451E"/>
    <w:rsid w:val="691050EB"/>
    <w:rsid w:val="69106EC8"/>
    <w:rsid w:val="691079C5"/>
    <w:rsid w:val="69114EF8"/>
    <w:rsid w:val="691163F0"/>
    <w:rsid w:val="691205EE"/>
    <w:rsid w:val="69136070"/>
    <w:rsid w:val="69143AF1"/>
    <w:rsid w:val="69147375"/>
    <w:rsid w:val="69151573"/>
    <w:rsid w:val="69154DF6"/>
    <w:rsid w:val="69156FF4"/>
    <w:rsid w:val="69157BAE"/>
    <w:rsid w:val="69160588"/>
    <w:rsid w:val="69185D7B"/>
    <w:rsid w:val="69187F79"/>
    <w:rsid w:val="691937FC"/>
    <w:rsid w:val="691959FB"/>
    <w:rsid w:val="691A347C"/>
    <w:rsid w:val="691A3DDD"/>
    <w:rsid w:val="691B0EFE"/>
    <w:rsid w:val="691B497C"/>
    <w:rsid w:val="691B6CFF"/>
    <w:rsid w:val="691C4781"/>
    <w:rsid w:val="691C697F"/>
    <w:rsid w:val="691D3990"/>
    <w:rsid w:val="691E1990"/>
    <w:rsid w:val="691E1E82"/>
    <w:rsid w:val="691E5706"/>
    <w:rsid w:val="6920000C"/>
    <w:rsid w:val="69200C09"/>
    <w:rsid w:val="69202CA9"/>
    <w:rsid w:val="69212E07"/>
    <w:rsid w:val="6921668A"/>
    <w:rsid w:val="69220889"/>
    <w:rsid w:val="6922293C"/>
    <w:rsid w:val="69231B8D"/>
    <w:rsid w:val="69232124"/>
    <w:rsid w:val="69243D8C"/>
    <w:rsid w:val="6924760F"/>
    <w:rsid w:val="69264077"/>
    <w:rsid w:val="69274C15"/>
    <w:rsid w:val="69286353"/>
    <w:rsid w:val="69290213"/>
    <w:rsid w:val="69296D2D"/>
    <w:rsid w:val="692A1518"/>
    <w:rsid w:val="692B3716"/>
    <w:rsid w:val="692B6F9A"/>
    <w:rsid w:val="692C1198"/>
    <w:rsid w:val="692C4A1B"/>
    <w:rsid w:val="692C5C4D"/>
    <w:rsid w:val="692D181F"/>
    <w:rsid w:val="692D19E3"/>
    <w:rsid w:val="692D249D"/>
    <w:rsid w:val="692E211D"/>
    <w:rsid w:val="692E3867"/>
    <w:rsid w:val="692E3F3D"/>
    <w:rsid w:val="69303421"/>
    <w:rsid w:val="69303AFB"/>
    <w:rsid w:val="69310EA3"/>
    <w:rsid w:val="693130A1"/>
    <w:rsid w:val="69316E0A"/>
    <w:rsid w:val="69316E2F"/>
    <w:rsid w:val="69320B23"/>
    <w:rsid w:val="69326925"/>
    <w:rsid w:val="693365A4"/>
    <w:rsid w:val="69341E28"/>
    <w:rsid w:val="6934554E"/>
    <w:rsid w:val="6934718B"/>
    <w:rsid w:val="69351AA8"/>
    <w:rsid w:val="693578A9"/>
    <w:rsid w:val="69360704"/>
    <w:rsid w:val="69362DAC"/>
    <w:rsid w:val="6936532B"/>
    <w:rsid w:val="69367529"/>
    <w:rsid w:val="6937082E"/>
    <w:rsid w:val="693712A3"/>
    <w:rsid w:val="69382A2C"/>
    <w:rsid w:val="69393D31"/>
    <w:rsid w:val="693A17B3"/>
    <w:rsid w:val="693A31F6"/>
    <w:rsid w:val="693A5F2F"/>
    <w:rsid w:val="693B39B1"/>
    <w:rsid w:val="693B7234"/>
    <w:rsid w:val="693C1432"/>
    <w:rsid w:val="693C476F"/>
    <w:rsid w:val="693C4933"/>
    <w:rsid w:val="693C6DF1"/>
    <w:rsid w:val="693D54D2"/>
    <w:rsid w:val="693E01B9"/>
    <w:rsid w:val="693E4935"/>
    <w:rsid w:val="694158BA"/>
    <w:rsid w:val="6942333C"/>
    <w:rsid w:val="69426BBF"/>
    <w:rsid w:val="69430DBD"/>
    <w:rsid w:val="694420C2"/>
    <w:rsid w:val="694542C0"/>
    <w:rsid w:val="694655C5"/>
    <w:rsid w:val="694677C3"/>
    <w:rsid w:val="69473047"/>
    <w:rsid w:val="69475245"/>
    <w:rsid w:val="69480AC8"/>
    <w:rsid w:val="69482CC7"/>
    <w:rsid w:val="694855A7"/>
    <w:rsid w:val="6948576C"/>
    <w:rsid w:val="69490748"/>
    <w:rsid w:val="69492A51"/>
    <w:rsid w:val="6949654A"/>
    <w:rsid w:val="694A15CE"/>
    <w:rsid w:val="694A1939"/>
    <w:rsid w:val="694A61CA"/>
    <w:rsid w:val="694B09D7"/>
    <w:rsid w:val="694B1A4D"/>
    <w:rsid w:val="694B76BF"/>
    <w:rsid w:val="694D0DFC"/>
    <w:rsid w:val="694E17D6"/>
    <w:rsid w:val="694E199B"/>
    <w:rsid w:val="694E2071"/>
    <w:rsid w:val="69503956"/>
    <w:rsid w:val="69503AB2"/>
    <w:rsid w:val="695113D8"/>
    <w:rsid w:val="6954235C"/>
    <w:rsid w:val="695518DE"/>
    <w:rsid w:val="69556F7E"/>
    <w:rsid w:val="69557143"/>
    <w:rsid w:val="69557DDE"/>
    <w:rsid w:val="69567B1D"/>
    <w:rsid w:val="695A4266"/>
    <w:rsid w:val="695D4726"/>
    <w:rsid w:val="695F6A02"/>
    <w:rsid w:val="695F789F"/>
    <w:rsid w:val="69613BF1"/>
    <w:rsid w:val="696403F8"/>
    <w:rsid w:val="696525F7"/>
    <w:rsid w:val="69655E7A"/>
    <w:rsid w:val="69660078"/>
    <w:rsid w:val="696638FC"/>
    <w:rsid w:val="69665AFA"/>
    <w:rsid w:val="6967137D"/>
    <w:rsid w:val="6967357B"/>
    <w:rsid w:val="696741AA"/>
    <w:rsid w:val="69680FFD"/>
    <w:rsid w:val="69684B84"/>
    <w:rsid w:val="69694880"/>
    <w:rsid w:val="69696A7E"/>
    <w:rsid w:val="696A4500"/>
    <w:rsid w:val="696B1F82"/>
    <w:rsid w:val="696B3FA3"/>
    <w:rsid w:val="696C5805"/>
    <w:rsid w:val="696C7A03"/>
    <w:rsid w:val="696D3286"/>
    <w:rsid w:val="696D5485"/>
    <w:rsid w:val="696E0D08"/>
    <w:rsid w:val="696E6789"/>
    <w:rsid w:val="696F0988"/>
    <w:rsid w:val="69702ECB"/>
    <w:rsid w:val="69704EF9"/>
    <w:rsid w:val="697138A5"/>
    <w:rsid w:val="69724608"/>
    <w:rsid w:val="69725190"/>
    <w:rsid w:val="6973738E"/>
    <w:rsid w:val="69740693"/>
    <w:rsid w:val="69744E10"/>
    <w:rsid w:val="69745B81"/>
    <w:rsid w:val="69750F1B"/>
    <w:rsid w:val="6975143C"/>
    <w:rsid w:val="69752891"/>
    <w:rsid w:val="69760313"/>
    <w:rsid w:val="69763B96"/>
    <w:rsid w:val="69766163"/>
    <w:rsid w:val="697678E2"/>
    <w:rsid w:val="69775D94"/>
    <w:rsid w:val="69777AD4"/>
    <w:rsid w:val="69780673"/>
    <w:rsid w:val="69780FAF"/>
    <w:rsid w:val="69787099"/>
    <w:rsid w:val="69794B1B"/>
    <w:rsid w:val="697A3B33"/>
    <w:rsid w:val="697A6D19"/>
    <w:rsid w:val="697C221C"/>
    <w:rsid w:val="697D3521"/>
    <w:rsid w:val="697D7C9D"/>
    <w:rsid w:val="697E31A1"/>
    <w:rsid w:val="697F0C22"/>
    <w:rsid w:val="697F5FDF"/>
    <w:rsid w:val="697F6A24"/>
    <w:rsid w:val="698066A4"/>
    <w:rsid w:val="698279A8"/>
    <w:rsid w:val="69827F32"/>
    <w:rsid w:val="69842EAC"/>
    <w:rsid w:val="6984338D"/>
    <w:rsid w:val="69852B2B"/>
    <w:rsid w:val="698605AD"/>
    <w:rsid w:val="69863E30"/>
    <w:rsid w:val="698663AF"/>
    <w:rsid w:val="698718B2"/>
    <w:rsid w:val="6987602F"/>
    <w:rsid w:val="69884B3C"/>
    <w:rsid w:val="69887333"/>
    <w:rsid w:val="69894DB5"/>
    <w:rsid w:val="698A2836"/>
    <w:rsid w:val="698A3DF2"/>
    <w:rsid w:val="698B02B8"/>
    <w:rsid w:val="698C24B6"/>
    <w:rsid w:val="698D37BB"/>
    <w:rsid w:val="698E59B9"/>
    <w:rsid w:val="698F343B"/>
    <w:rsid w:val="698F6CBE"/>
    <w:rsid w:val="69900EBC"/>
    <w:rsid w:val="699024A8"/>
    <w:rsid w:val="699121C1"/>
    <w:rsid w:val="6991693E"/>
    <w:rsid w:val="69923A21"/>
    <w:rsid w:val="69925493"/>
    <w:rsid w:val="69931E41"/>
    <w:rsid w:val="6993437B"/>
    <w:rsid w:val="6993489C"/>
    <w:rsid w:val="69934A52"/>
    <w:rsid w:val="699356C4"/>
    <w:rsid w:val="69943146"/>
    <w:rsid w:val="6994393A"/>
    <w:rsid w:val="69943CA5"/>
    <w:rsid w:val="699478C3"/>
    <w:rsid w:val="69955974"/>
    <w:rsid w:val="699566D7"/>
    <w:rsid w:val="69966649"/>
    <w:rsid w:val="699670B1"/>
    <w:rsid w:val="69981B4C"/>
    <w:rsid w:val="69983D4A"/>
    <w:rsid w:val="699917CC"/>
    <w:rsid w:val="699A1BA3"/>
    <w:rsid w:val="699A504F"/>
    <w:rsid w:val="699A724E"/>
    <w:rsid w:val="699B2AD1"/>
    <w:rsid w:val="699C0552"/>
    <w:rsid w:val="699C2751"/>
    <w:rsid w:val="699D5FD4"/>
    <w:rsid w:val="699E14D7"/>
    <w:rsid w:val="699E3A55"/>
    <w:rsid w:val="699F36D5"/>
    <w:rsid w:val="69A00347"/>
    <w:rsid w:val="69A00A1D"/>
    <w:rsid w:val="69A049DA"/>
    <w:rsid w:val="69A05F97"/>
    <w:rsid w:val="69A1245C"/>
    <w:rsid w:val="69A16BD8"/>
    <w:rsid w:val="69A1722F"/>
    <w:rsid w:val="69A17ABB"/>
    <w:rsid w:val="69A2465A"/>
    <w:rsid w:val="69A27EDD"/>
    <w:rsid w:val="69A3595F"/>
    <w:rsid w:val="69A41627"/>
    <w:rsid w:val="69A47B5D"/>
    <w:rsid w:val="69A50E62"/>
    <w:rsid w:val="69A63060"/>
    <w:rsid w:val="69A668E3"/>
    <w:rsid w:val="69A74365"/>
    <w:rsid w:val="69A84119"/>
    <w:rsid w:val="69A86563"/>
    <w:rsid w:val="69A93FE5"/>
    <w:rsid w:val="69A94AF3"/>
    <w:rsid w:val="69AA1A66"/>
    <w:rsid w:val="69AA5692"/>
    <w:rsid w:val="69AB2D6B"/>
    <w:rsid w:val="69AC07ED"/>
    <w:rsid w:val="69AD29EB"/>
    <w:rsid w:val="69AD626E"/>
    <w:rsid w:val="69AF0EE7"/>
    <w:rsid w:val="69AF1A85"/>
    <w:rsid w:val="69AF3970"/>
    <w:rsid w:val="69AF5EEE"/>
    <w:rsid w:val="69B013F1"/>
    <w:rsid w:val="69B018C1"/>
    <w:rsid w:val="69B1021E"/>
    <w:rsid w:val="69B14C74"/>
    <w:rsid w:val="69B30178"/>
    <w:rsid w:val="69B5367B"/>
    <w:rsid w:val="69B745FF"/>
    <w:rsid w:val="69B82081"/>
    <w:rsid w:val="69B905E2"/>
    <w:rsid w:val="69B97B02"/>
    <w:rsid w:val="69BA1345"/>
    <w:rsid w:val="69BA5584"/>
    <w:rsid w:val="69BB3005"/>
    <w:rsid w:val="69BD6509"/>
    <w:rsid w:val="69BE3E37"/>
    <w:rsid w:val="69BE3F8A"/>
    <w:rsid w:val="69C029FB"/>
    <w:rsid w:val="69C0748D"/>
    <w:rsid w:val="69C16F69"/>
    <w:rsid w:val="69C22990"/>
    <w:rsid w:val="69C30066"/>
    <w:rsid w:val="69C30412"/>
    <w:rsid w:val="69C53915"/>
    <w:rsid w:val="69C76E18"/>
    <w:rsid w:val="69C83532"/>
    <w:rsid w:val="69C8489A"/>
    <w:rsid w:val="69C94295"/>
    <w:rsid w:val="69CA3620"/>
    <w:rsid w:val="69CB581E"/>
    <w:rsid w:val="69CC69C6"/>
    <w:rsid w:val="69CC6B23"/>
    <w:rsid w:val="69CD0D21"/>
    <w:rsid w:val="69CD45A5"/>
    <w:rsid w:val="69CE2026"/>
    <w:rsid w:val="69CF0E9E"/>
    <w:rsid w:val="69CF1CA6"/>
    <w:rsid w:val="69CF7AA8"/>
    <w:rsid w:val="69D01A3D"/>
    <w:rsid w:val="69D05529"/>
    <w:rsid w:val="69D07728"/>
    <w:rsid w:val="69D12417"/>
    <w:rsid w:val="69D147A5"/>
    <w:rsid w:val="69D151A9"/>
    <w:rsid w:val="69D22DF1"/>
    <w:rsid w:val="69D306AC"/>
    <w:rsid w:val="69D4452F"/>
    <w:rsid w:val="69D44760"/>
    <w:rsid w:val="69D4612E"/>
    <w:rsid w:val="69D519B1"/>
    <w:rsid w:val="69D53BAF"/>
    <w:rsid w:val="69D72936"/>
    <w:rsid w:val="69D74EB4"/>
    <w:rsid w:val="69D7551A"/>
    <w:rsid w:val="69D770B2"/>
    <w:rsid w:val="69D84B34"/>
    <w:rsid w:val="69D87020"/>
    <w:rsid w:val="69D87D83"/>
    <w:rsid w:val="69D95E39"/>
    <w:rsid w:val="69DA0037"/>
    <w:rsid w:val="69DA12FC"/>
    <w:rsid w:val="69DB133C"/>
    <w:rsid w:val="69DB5AB9"/>
    <w:rsid w:val="69DC353A"/>
    <w:rsid w:val="69DE6A3D"/>
    <w:rsid w:val="69DF44BF"/>
    <w:rsid w:val="69DF7D42"/>
    <w:rsid w:val="69E0552B"/>
    <w:rsid w:val="69E057C4"/>
    <w:rsid w:val="69E13245"/>
    <w:rsid w:val="69E179C2"/>
    <w:rsid w:val="69E25443"/>
    <w:rsid w:val="69E36748"/>
    <w:rsid w:val="69E37643"/>
    <w:rsid w:val="69E40947"/>
    <w:rsid w:val="69E7734D"/>
    <w:rsid w:val="69E8167C"/>
    <w:rsid w:val="69E90652"/>
    <w:rsid w:val="69E94088"/>
    <w:rsid w:val="69E943C2"/>
    <w:rsid w:val="69EA02D1"/>
    <w:rsid w:val="69EA60D3"/>
    <w:rsid w:val="69EB1ABC"/>
    <w:rsid w:val="69EB5D53"/>
    <w:rsid w:val="69EC15D6"/>
    <w:rsid w:val="69EC37D4"/>
    <w:rsid w:val="69EC619F"/>
    <w:rsid w:val="69ED1256"/>
    <w:rsid w:val="69ED6D3E"/>
    <w:rsid w:val="69EF4759"/>
    <w:rsid w:val="69EF7FDC"/>
    <w:rsid w:val="69F00D16"/>
    <w:rsid w:val="69F05A5E"/>
    <w:rsid w:val="69F119F4"/>
    <w:rsid w:val="69F134E0"/>
    <w:rsid w:val="69F17C5C"/>
    <w:rsid w:val="69F20F61"/>
    <w:rsid w:val="69F223CE"/>
    <w:rsid w:val="69F256DE"/>
    <w:rsid w:val="69F3315F"/>
    <w:rsid w:val="69F44464"/>
    <w:rsid w:val="69F471D9"/>
    <w:rsid w:val="69F51EE6"/>
    <w:rsid w:val="69F640E4"/>
    <w:rsid w:val="69F82E6A"/>
    <w:rsid w:val="69F8719C"/>
    <w:rsid w:val="69F875E7"/>
    <w:rsid w:val="69F94E90"/>
    <w:rsid w:val="69FA0715"/>
    <w:rsid w:val="69FA2AEA"/>
    <w:rsid w:val="69FA636D"/>
    <w:rsid w:val="69FB056C"/>
    <w:rsid w:val="69FB3DEF"/>
    <w:rsid w:val="69FC1871"/>
    <w:rsid w:val="69FC1E52"/>
    <w:rsid w:val="69FC5FED"/>
    <w:rsid w:val="69FE14F0"/>
    <w:rsid w:val="69FF27F5"/>
    <w:rsid w:val="69FF49F3"/>
    <w:rsid w:val="6A000277"/>
    <w:rsid w:val="6A002475"/>
    <w:rsid w:val="6A015CF8"/>
    <w:rsid w:val="6A016082"/>
    <w:rsid w:val="6A017EF7"/>
    <w:rsid w:val="6A025978"/>
    <w:rsid w:val="6A026A5C"/>
    <w:rsid w:val="6A0311FB"/>
    <w:rsid w:val="6A0333FA"/>
    <w:rsid w:val="6A034C97"/>
    <w:rsid w:val="6A040E7B"/>
    <w:rsid w:val="6A046C7D"/>
    <w:rsid w:val="6A050B73"/>
    <w:rsid w:val="6A057564"/>
    <w:rsid w:val="6A0600AE"/>
    <w:rsid w:val="6A06093A"/>
    <w:rsid w:val="6A060CA6"/>
    <w:rsid w:val="6A0774B7"/>
    <w:rsid w:val="6A087881"/>
    <w:rsid w:val="6A0A2D85"/>
    <w:rsid w:val="6A0A6608"/>
    <w:rsid w:val="6A0B4089"/>
    <w:rsid w:val="6A0C1B0B"/>
    <w:rsid w:val="6A0C577D"/>
    <w:rsid w:val="6A0C6288"/>
    <w:rsid w:val="6A0D3D09"/>
    <w:rsid w:val="6A0D758C"/>
    <w:rsid w:val="6A0E178B"/>
    <w:rsid w:val="6A0F720C"/>
    <w:rsid w:val="6A100511"/>
    <w:rsid w:val="6A11270F"/>
    <w:rsid w:val="6A12254A"/>
    <w:rsid w:val="6A123A14"/>
    <w:rsid w:val="6A143694"/>
    <w:rsid w:val="6A146F17"/>
    <w:rsid w:val="6A154999"/>
    <w:rsid w:val="6A16241A"/>
    <w:rsid w:val="6A174619"/>
    <w:rsid w:val="6A177E9C"/>
    <w:rsid w:val="6A18591D"/>
    <w:rsid w:val="6A19339F"/>
    <w:rsid w:val="6A1A0E21"/>
    <w:rsid w:val="6A1B68A2"/>
    <w:rsid w:val="6A1C4030"/>
    <w:rsid w:val="6A1C4324"/>
    <w:rsid w:val="6A1C6F99"/>
    <w:rsid w:val="6A1F52A8"/>
    <w:rsid w:val="6A1F7CFB"/>
    <w:rsid w:val="6A21622D"/>
    <w:rsid w:val="6A223CAF"/>
    <w:rsid w:val="6A23573F"/>
    <w:rsid w:val="6A2471B2"/>
    <w:rsid w:val="6A2475B2"/>
    <w:rsid w:val="6A2536C5"/>
    <w:rsid w:val="6A257F8C"/>
    <w:rsid w:val="6A2626B5"/>
    <w:rsid w:val="6A270136"/>
    <w:rsid w:val="6A282268"/>
    <w:rsid w:val="6A292A7E"/>
    <w:rsid w:val="6A2A10BB"/>
    <w:rsid w:val="6A2A37E1"/>
    <w:rsid w:val="6A2D62D3"/>
    <w:rsid w:val="6A2E6CAD"/>
    <w:rsid w:val="6A2E7AC1"/>
    <w:rsid w:val="6A2F5543"/>
    <w:rsid w:val="6A2F7A10"/>
    <w:rsid w:val="6A303637"/>
    <w:rsid w:val="6A310DC4"/>
    <w:rsid w:val="6A321B28"/>
    <w:rsid w:val="6A321D4B"/>
    <w:rsid w:val="6A3377CC"/>
    <w:rsid w:val="6A342EDC"/>
    <w:rsid w:val="6A34524E"/>
    <w:rsid w:val="6A352CCF"/>
    <w:rsid w:val="6A360751"/>
    <w:rsid w:val="6A37294F"/>
    <w:rsid w:val="6A374FF4"/>
    <w:rsid w:val="6A3761D2"/>
    <w:rsid w:val="6A3803D1"/>
    <w:rsid w:val="6A3916D5"/>
    <w:rsid w:val="6A3938D4"/>
    <w:rsid w:val="6A396731"/>
    <w:rsid w:val="6A3A44B6"/>
    <w:rsid w:val="6A3A710B"/>
    <w:rsid w:val="6A3A7157"/>
    <w:rsid w:val="6A3B4BD9"/>
    <w:rsid w:val="6A3C1223"/>
    <w:rsid w:val="6A3C265A"/>
    <w:rsid w:val="6A3D00DC"/>
    <w:rsid w:val="6A3D22DA"/>
    <w:rsid w:val="6A3E1C4F"/>
    <w:rsid w:val="6A3E279B"/>
    <w:rsid w:val="6A3E5B5D"/>
    <w:rsid w:val="6A3E7D5B"/>
    <w:rsid w:val="6A3F35DF"/>
    <w:rsid w:val="6A3F57DD"/>
    <w:rsid w:val="6A401060"/>
    <w:rsid w:val="6A40325F"/>
    <w:rsid w:val="6A406AE2"/>
    <w:rsid w:val="6A410CE0"/>
    <w:rsid w:val="6A4110C0"/>
    <w:rsid w:val="6A411276"/>
    <w:rsid w:val="6A421FE5"/>
    <w:rsid w:val="6A425452"/>
    <w:rsid w:val="6A427A88"/>
    <w:rsid w:val="6A4341E3"/>
    <w:rsid w:val="6A437A66"/>
    <w:rsid w:val="6A457569"/>
    <w:rsid w:val="6A4576E6"/>
    <w:rsid w:val="6A460108"/>
    <w:rsid w:val="6A465168"/>
    <w:rsid w:val="6A471681"/>
    <w:rsid w:val="6A472BE9"/>
    <w:rsid w:val="6A47646D"/>
    <w:rsid w:val="6A483EEE"/>
    <w:rsid w:val="6A491970"/>
    <w:rsid w:val="6A4A73F1"/>
    <w:rsid w:val="6A4B4E73"/>
    <w:rsid w:val="6A4C7071"/>
    <w:rsid w:val="6A4E628A"/>
    <w:rsid w:val="6A5012FB"/>
    <w:rsid w:val="6A50293B"/>
    <w:rsid w:val="6A502CA6"/>
    <w:rsid w:val="6A5034F9"/>
    <w:rsid w:val="6A510F7A"/>
    <w:rsid w:val="6A511D44"/>
    <w:rsid w:val="6A511EFA"/>
    <w:rsid w:val="6A51241A"/>
    <w:rsid w:val="6A516D7C"/>
    <w:rsid w:val="6A520EC7"/>
    <w:rsid w:val="6A5247FE"/>
    <w:rsid w:val="6A5269FC"/>
    <w:rsid w:val="6A531ADF"/>
    <w:rsid w:val="6A53227F"/>
    <w:rsid w:val="6A541EFF"/>
    <w:rsid w:val="6A555782"/>
    <w:rsid w:val="6A563204"/>
    <w:rsid w:val="6A565402"/>
    <w:rsid w:val="6A584189"/>
    <w:rsid w:val="6A586707"/>
    <w:rsid w:val="6A591C0A"/>
    <w:rsid w:val="6A596387"/>
    <w:rsid w:val="6A5A768C"/>
    <w:rsid w:val="6A5B510D"/>
    <w:rsid w:val="6A5B7C61"/>
    <w:rsid w:val="6A5C730C"/>
    <w:rsid w:val="6A5D4D8D"/>
    <w:rsid w:val="6A5D6907"/>
    <w:rsid w:val="6A5E280F"/>
    <w:rsid w:val="6A5F0290"/>
    <w:rsid w:val="6A5F2917"/>
    <w:rsid w:val="6A5F3B13"/>
    <w:rsid w:val="6A601595"/>
    <w:rsid w:val="6A605D12"/>
    <w:rsid w:val="6A613E90"/>
    <w:rsid w:val="6A621215"/>
    <w:rsid w:val="6A624A2F"/>
    <w:rsid w:val="6A63251A"/>
    <w:rsid w:val="6A633EF0"/>
    <w:rsid w:val="6A635409"/>
    <w:rsid w:val="6A636C96"/>
    <w:rsid w:val="6A644718"/>
    <w:rsid w:val="6A652199"/>
    <w:rsid w:val="6A655A1D"/>
    <w:rsid w:val="6A6600BF"/>
    <w:rsid w:val="6A66349E"/>
    <w:rsid w:val="6A667C1B"/>
    <w:rsid w:val="6A670F20"/>
    <w:rsid w:val="6A67569D"/>
    <w:rsid w:val="6A68311E"/>
    <w:rsid w:val="6A6921D7"/>
    <w:rsid w:val="6A694423"/>
    <w:rsid w:val="6A696621"/>
    <w:rsid w:val="6A6A0285"/>
    <w:rsid w:val="6A6A1EA4"/>
    <w:rsid w:val="6A6A40A3"/>
    <w:rsid w:val="6A6B7926"/>
    <w:rsid w:val="6A6C53A8"/>
    <w:rsid w:val="6A6D5027"/>
    <w:rsid w:val="6A6E08AB"/>
    <w:rsid w:val="6A6E2AA9"/>
    <w:rsid w:val="6A6E721F"/>
    <w:rsid w:val="6A6F052B"/>
    <w:rsid w:val="6A6F632C"/>
    <w:rsid w:val="6A70182F"/>
    <w:rsid w:val="6A70797F"/>
    <w:rsid w:val="6A71051E"/>
    <w:rsid w:val="6A7172B1"/>
    <w:rsid w:val="6A7214AF"/>
    <w:rsid w:val="6A724D32"/>
    <w:rsid w:val="6A7327B4"/>
    <w:rsid w:val="6A736F31"/>
    <w:rsid w:val="6A742635"/>
    <w:rsid w:val="6A743278"/>
    <w:rsid w:val="6A763BAE"/>
    <w:rsid w:val="6A7711BA"/>
    <w:rsid w:val="6A774588"/>
    <w:rsid w:val="6A7833B8"/>
    <w:rsid w:val="6A785127"/>
    <w:rsid w:val="6A786C3C"/>
    <w:rsid w:val="6A790E3A"/>
    <w:rsid w:val="6A7A213F"/>
    <w:rsid w:val="6A7A3556"/>
    <w:rsid w:val="6A7A68BC"/>
    <w:rsid w:val="6A7B433D"/>
    <w:rsid w:val="6A7B723E"/>
    <w:rsid w:val="6A7C1DBF"/>
    <w:rsid w:val="6A7C5642"/>
    <w:rsid w:val="6A7D30C3"/>
    <w:rsid w:val="6A7E0B45"/>
    <w:rsid w:val="6A7F65C7"/>
    <w:rsid w:val="6A804048"/>
    <w:rsid w:val="6A811ACA"/>
    <w:rsid w:val="6A82754B"/>
    <w:rsid w:val="6A834FCD"/>
    <w:rsid w:val="6A865F51"/>
    <w:rsid w:val="6A866C80"/>
    <w:rsid w:val="6A86769D"/>
    <w:rsid w:val="6A8739D3"/>
    <w:rsid w:val="6A880A51"/>
    <w:rsid w:val="6A881455"/>
    <w:rsid w:val="6A886ED6"/>
    <w:rsid w:val="6A8917B4"/>
    <w:rsid w:val="6A894958"/>
    <w:rsid w:val="6A8A218E"/>
    <w:rsid w:val="6A8A23D9"/>
    <w:rsid w:val="6A8B35E2"/>
    <w:rsid w:val="6A8B38CC"/>
    <w:rsid w:val="6A8C58DC"/>
    <w:rsid w:val="6A8D335E"/>
    <w:rsid w:val="6A8D4C80"/>
    <w:rsid w:val="6A9042E2"/>
    <w:rsid w:val="6A911D64"/>
    <w:rsid w:val="6A920310"/>
    <w:rsid w:val="6A9277E6"/>
    <w:rsid w:val="6A941A4E"/>
    <w:rsid w:val="6A942CE9"/>
    <w:rsid w:val="6A9525EC"/>
    <w:rsid w:val="6A961A6F"/>
    <w:rsid w:val="6A9739A1"/>
    <w:rsid w:val="6A973C6D"/>
    <w:rsid w:val="6A9816EF"/>
    <w:rsid w:val="6A984F72"/>
    <w:rsid w:val="6A98708D"/>
    <w:rsid w:val="6A9A0475"/>
    <w:rsid w:val="6A9A4BF2"/>
    <w:rsid w:val="6A9A681C"/>
    <w:rsid w:val="6A9C3978"/>
    <w:rsid w:val="6A9D076F"/>
    <w:rsid w:val="6A9D0933"/>
    <w:rsid w:val="6A9E35F8"/>
    <w:rsid w:val="6A9F48FD"/>
    <w:rsid w:val="6AA06AF9"/>
    <w:rsid w:val="6AA06AFB"/>
    <w:rsid w:val="6AA1131A"/>
    <w:rsid w:val="6AA116A2"/>
    <w:rsid w:val="6AA11FFE"/>
    <w:rsid w:val="6AA1457D"/>
    <w:rsid w:val="6AA17E00"/>
    <w:rsid w:val="6AA25882"/>
    <w:rsid w:val="6AA33303"/>
    <w:rsid w:val="6AA3499E"/>
    <w:rsid w:val="6AA50A05"/>
    <w:rsid w:val="6AA56806"/>
    <w:rsid w:val="6AA64288"/>
    <w:rsid w:val="6AA66486"/>
    <w:rsid w:val="6AA67D9D"/>
    <w:rsid w:val="6AA701F3"/>
    <w:rsid w:val="6AA70C73"/>
    <w:rsid w:val="6AA70FDE"/>
    <w:rsid w:val="6AA71D09"/>
    <w:rsid w:val="6AA77490"/>
    <w:rsid w:val="6AA81989"/>
    <w:rsid w:val="6AA8778B"/>
    <w:rsid w:val="6AA91285"/>
    <w:rsid w:val="6AA9176C"/>
    <w:rsid w:val="6AA9520C"/>
    <w:rsid w:val="6AA9740B"/>
    <w:rsid w:val="6AAA0710"/>
    <w:rsid w:val="6AAA2146"/>
    <w:rsid w:val="6AAB290E"/>
    <w:rsid w:val="6AAC038F"/>
    <w:rsid w:val="6AAC3C13"/>
    <w:rsid w:val="6AAD1694"/>
    <w:rsid w:val="6AAE3893"/>
    <w:rsid w:val="6AAE4C37"/>
    <w:rsid w:val="6AAE7116"/>
    <w:rsid w:val="6AAF1314"/>
    <w:rsid w:val="6AAF57D6"/>
    <w:rsid w:val="6AB02619"/>
    <w:rsid w:val="6AB1009A"/>
    <w:rsid w:val="6AB16F13"/>
    <w:rsid w:val="6AB25B1C"/>
    <w:rsid w:val="6AB278EE"/>
    <w:rsid w:val="6AB302C8"/>
    <w:rsid w:val="6AB4579C"/>
    <w:rsid w:val="6AB51A05"/>
    <w:rsid w:val="6AB53E91"/>
    <w:rsid w:val="6AB56AA1"/>
    <w:rsid w:val="6AB60C9F"/>
    <w:rsid w:val="6AB623DF"/>
    <w:rsid w:val="6AB62F7E"/>
    <w:rsid w:val="6AB71FA4"/>
    <w:rsid w:val="6AB724ED"/>
    <w:rsid w:val="6AB841A2"/>
    <w:rsid w:val="6AB87A25"/>
    <w:rsid w:val="6AB91C24"/>
    <w:rsid w:val="6ABA5127"/>
    <w:rsid w:val="6ABA5C34"/>
    <w:rsid w:val="6ABB09AA"/>
    <w:rsid w:val="6ABB2BA8"/>
    <w:rsid w:val="6ABC062A"/>
    <w:rsid w:val="6ABF15AE"/>
    <w:rsid w:val="6AC01E63"/>
    <w:rsid w:val="6AC04E32"/>
    <w:rsid w:val="6AC07030"/>
    <w:rsid w:val="6AC128B3"/>
    <w:rsid w:val="6AC25DB6"/>
    <w:rsid w:val="6AC33B77"/>
    <w:rsid w:val="6AC33DB7"/>
    <w:rsid w:val="6AC34B1A"/>
    <w:rsid w:val="6AC37FB5"/>
    <w:rsid w:val="6AC406DC"/>
    <w:rsid w:val="6AC412B9"/>
    <w:rsid w:val="6AC55036"/>
    <w:rsid w:val="6AC647BD"/>
    <w:rsid w:val="6AC8443C"/>
    <w:rsid w:val="6AC87FE6"/>
    <w:rsid w:val="6AC90B84"/>
    <w:rsid w:val="6ACA31C3"/>
    <w:rsid w:val="6ACB0C44"/>
    <w:rsid w:val="6ACB53C1"/>
    <w:rsid w:val="6ACC2E43"/>
    <w:rsid w:val="6ACC66C6"/>
    <w:rsid w:val="6ACD08C4"/>
    <w:rsid w:val="6ACD4147"/>
    <w:rsid w:val="6ACE1BC9"/>
    <w:rsid w:val="6ACE43D9"/>
    <w:rsid w:val="6ACE6346"/>
    <w:rsid w:val="6ACF3DC7"/>
    <w:rsid w:val="6ACF764A"/>
    <w:rsid w:val="6AD050CC"/>
    <w:rsid w:val="6AD14D4C"/>
    <w:rsid w:val="6AD1632C"/>
    <w:rsid w:val="6AD16ECB"/>
    <w:rsid w:val="6AD172CA"/>
    <w:rsid w:val="6AD205CF"/>
    <w:rsid w:val="6AD27A6A"/>
    <w:rsid w:val="6AD36051"/>
    <w:rsid w:val="6AD43AD2"/>
    <w:rsid w:val="6AD4522E"/>
    <w:rsid w:val="6AD45CD0"/>
    <w:rsid w:val="6AD46C1B"/>
    <w:rsid w:val="6AD51554"/>
    <w:rsid w:val="6AD53752"/>
    <w:rsid w:val="6AD611D4"/>
    <w:rsid w:val="6AD66FD5"/>
    <w:rsid w:val="6AD74A57"/>
    <w:rsid w:val="6AD83C99"/>
    <w:rsid w:val="6AD959DC"/>
    <w:rsid w:val="6AD97F5A"/>
    <w:rsid w:val="6ADB0EDF"/>
    <w:rsid w:val="6ADB565B"/>
    <w:rsid w:val="6ADC30DD"/>
    <w:rsid w:val="6ADE1E63"/>
    <w:rsid w:val="6ADF4469"/>
    <w:rsid w:val="6AE01AE3"/>
    <w:rsid w:val="6AE1287C"/>
    <w:rsid w:val="6AE17565"/>
    <w:rsid w:val="6AE4490D"/>
    <w:rsid w:val="6AE517EE"/>
    <w:rsid w:val="6AE6604A"/>
    <w:rsid w:val="6AE74CF1"/>
    <w:rsid w:val="6AE76BE9"/>
    <w:rsid w:val="6AE82773"/>
    <w:rsid w:val="6AE901F4"/>
    <w:rsid w:val="6AEB16DA"/>
    <w:rsid w:val="6AEC1179"/>
    <w:rsid w:val="6AEF20FE"/>
    <w:rsid w:val="6AEF4EA3"/>
    <w:rsid w:val="6AF07B7F"/>
    <w:rsid w:val="6AF13082"/>
    <w:rsid w:val="6AF15601"/>
    <w:rsid w:val="6AF164A8"/>
    <w:rsid w:val="6AF20B04"/>
    <w:rsid w:val="6AF26E82"/>
    <w:rsid w:val="6AF44007"/>
    <w:rsid w:val="6AF47095"/>
    <w:rsid w:val="6AF6750A"/>
    <w:rsid w:val="6AF72513"/>
    <w:rsid w:val="6AF82A0D"/>
    <w:rsid w:val="6AF830B1"/>
    <w:rsid w:val="6AF87E20"/>
    <w:rsid w:val="6AF9048F"/>
    <w:rsid w:val="6AFC3D3C"/>
    <w:rsid w:val="6AFE019A"/>
    <w:rsid w:val="6AFE4916"/>
    <w:rsid w:val="6AFE7CBB"/>
    <w:rsid w:val="6AFE7E7F"/>
    <w:rsid w:val="6AFF0859"/>
    <w:rsid w:val="6AFF2398"/>
    <w:rsid w:val="6AFF6C3F"/>
    <w:rsid w:val="6B00369D"/>
    <w:rsid w:val="6B007E19"/>
    <w:rsid w:val="6B02331D"/>
    <w:rsid w:val="6B0420A3"/>
    <w:rsid w:val="6B043EEA"/>
    <w:rsid w:val="6B0542A1"/>
    <w:rsid w:val="6B065463"/>
    <w:rsid w:val="6B0655A6"/>
    <w:rsid w:val="6B065627"/>
    <w:rsid w:val="6B0777A4"/>
    <w:rsid w:val="6B080AA9"/>
    <w:rsid w:val="6B085226"/>
    <w:rsid w:val="6B0869DC"/>
    <w:rsid w:val="6B090119"/>
    <w:rsid w:val="6B090729"/>
    <w:rsid w:val="6B09652B"/>
    <w:rsid w:val="6B0A3FAC"/>
    <w:rsid w:val="6B0B1692"/>
    <w:rsid w:val="6B0B1856"/>
    <w:rsid w:val="6B0B1A2E"/>
    <w:rsid w:val="6B0B3C2C"/>
    <w:rsid w:val="6B0C206C"/>
    <w:rsid w:val="6B0D2DCF"/>
    <w:rsid w:val="6B0D4F31"/>
    <w:rsid w:val="6B0F2632"/>
    <w:rsid w:val="6B0F4348"/>
    <w:rsid w:val="6B1000B4"/>
    <w:rsid w:val="6B1113B9"/>
    <w:rsid w:val="6B113937"/>
    <w:rsid w:val="6B1235B7"/>
    <w:rsid w:val="6B126E3A"/>
    <w:rsid w:val="6B131038"/>
    <w:rsid w:val="6B1348BC"/>
    <w:rsid w:val="6B136E3A"/>
    <w:rsid w:val="6B136FFE"/>
    <w:rsid w:val="6B161FBD"/>
    <w:rsid w:val="6B165840"/>
    <w:rsid w:val="6B17192C"/>
    <w:rsid w:val="6B1732C2"/>
    <w:rsid w:val="6B177A3F"/>
    <w:rsid w:val="6B180D44"/>
    <w:rsid w:val="6B1967C5"/>
    <w:rsid w:val="6B1A09C3"/>
    <w:rsid w:val="6B1A4247"/>
    <w:rsid w:val="6B1A4B5B"/>
    <w:rsid w:val="6B1B02AE"/>
    <w:rsid w:val="6B1B5180"/>
    <w:rsid w:val="6B1B6445"/>
    <w:rsid w:val="6B1C774A"/>
    <w:rsid w:val="6B1D00CC"/>
    <w:rsid w:val="6B1F06CE"/>
    <w:rsid w:val="6B200811"/>
    <w:rsid w:val="6B206150"/>
    <w:rsid w:val="6B21034E"/>
    <w:rsid w:val="6B2111EB"/>
    <w:rsid w:val="6B221D8A"/>
    <w:rsid w:val="6B221F4E"/>
    <w:rsid w:val="6B223851"/>
    <w:rsid w:val="6B225DD0"/>
    <w:rsid w:val="6B2312D3"/>
    <w:rsid w:val="6B232928"/>
    <w:rsid w:val="6B2334C7"/>
    <w:rsid w:val="6B243EA1"/>
    <w:rsid w:val="6B244066"/>
    <w:rsid w:val="6B246D54"/>
    <w:rsid w:val="6B2547D6"/>
    <w:rsid w:val="6B260059"/>
    <w:rsid w:val="6B262257"/>
    <w:rsid w:val="6B264B93"/>
    <w:rsid w:val="6B2655DF"/>
    <w:rsid w:val="6B275ADB"/>
    <w:rsid w:val="6B275FB9"/>
    <w:rsid w:val="6B28355C"/>
    <w:rsid w:val="6B296FCD"/>
    <w:rsid w:val="6B2A00D0"/>
    <w:rsid w:val="6B2A44E1"/>
    <w:rsid w:val="6B2A6A5F"/>
    <w:rsid w:val="6B2B1F62"/>
    <w:rsid w:val="6B2B30F7"/>
    <w:rsid w:val="6B2B4A32"/>
    <w:rsid w:val="6B2B4F53"/>
    <w:rsid w:val="6B2B66DF"/>
    <w:rsid w:val="6B2C4161"/>
    <w:rsid w:val="6B2E2BC2"/>
    <w:rsid w:val="6B2E2D87"/>
    <w:rsid w:val="6B2E7664"/>
    <w:rsid w:val="6B2F0969"/>
    <w:rsid w:val="6B302B67"/>
    <w:rsid w:val="6B3063EA"/>
    <w:rsid w:val="6B314CDA"/>
    <w:rsid w:val="6B322639"/>
    <w:rsid w:val="6B32606A"/>
    <w:rsid w:val="6B333AEC"/>
    <w:rsid w:val="6B33736F"/>
    <w:rsid w:val="6B34156D"/>
    <w:rsid w:val="6B3602F4"/>
    <w:rsid w:val="6B360F09"/>
    <w:rsid w:val="6B375D75"/>
    <w:rsid w:val="6B390327"/>
    <w:rsid w:val="6B391278"/>
    <w:rsid w:val="6B3931E5"/>
    <w:rsid w:val="6B3959F5"/>
    <w:rsid w:val="6B3A3BBF"/>
    <w:rsid w:val="6B3B4599"/>
    <w:rsid w:val="6B3B697A"/>
    <w:rsid w:val="6B3C21FD"/>
    <w:rsid w:val="6B3D1E7D"/>
    <w:rsid w:val="6B3D5B12"/>
    <w:rsid w:val="6B3E5700"/>
    <w:rsid w:val="6B3E78FE"/>
    <w:rsid w:val="6B3F3181"/>
    <w:rsid w:val="6B3F5380"/>
    <w:rsid w:val="6B4007C8"/>
    <w:rsid w:val="6B400C03"/>
    <w:rsid w:val="6B402E01"/>
    <w:rsid w:val="6B410883"/>
    <w:rsid w:val="6B416685"/>
    <w:rsid w:val="6B421B88"/>
    <w:rsid w:val="6B452B0C"/>
    <w:rsid w:val="6B46058E"/>
    <w:rsid w:val="6B463546"/>
    <w:rsid w:val="6B464D0B"/>
    <w:rsid w:val="6B48020E"/>
    <w:rsid w:val="6B481F0D"/>
    <w:rsid w:val="6B483A91"/>
    <w:rsid w:val="6B486135"/>
    <w:rsid w:val="6B491513"/>
    <w:rsid w:val="6B4A74E9"/>
    <w:rsid w:val="6B4B024C"/>
    <w:rsid w:val="6B4B4A16"/>
    <w:rsid w:val="6B4C17C5"/>
    <w:rsid w:val="6B4C2497"/>
    <w:rsid w:val="6B4D7F19"/>
    <w:rsid w:val="6B4E2D3E"/>
    <w:rsid w:val="6B4F38DD"/>
    <w:rsid w:val="6B514C91"/>
    <w:rsid w:val="6B51691F"/>
    <w:rsid w:val="6B5243A0"/>
    <w:rsid w:val="6B525830"/>
    <w:rsid w:val="6B54608E"/>
    <w:rsid w:val="6B546F6D"/>
    <w:rsid w:val="6B555325"/>
    <w:rsid w:val="6B56437F"/>
    <w:rsid w:val="6B570828"/>
    <w:rsid w:val="6B570EC0"/>
    <w:rsid w:val="6B581C23"/>
    <w:rsid w:val="6B5862AA"/>
    <w:rsid w:val="6B593D2B"/>
    <w:rsid w:val="6B5A17AD"/>
    <w:rsid w:val="6B5A319C"/>
    <w:rsid w:val="6B5A3D3B"/>
    <w:rsid w:val="6B5A722E"/>
    <w:rsid w:val="6B5B4CB0"/>
    <w:rsid w:val="6B5C2732"/>
    <w:rsid w:val="6B5D01B3"/>
    <w:rsid w:val="6B5F36B6"/>
    <w:rsid w:val="6B5F7207"/>
    <w:rsid w:val="6B601138"/>
    <w:rsid w:val="6B616BB9"/>
    <w:rsid w:val="6B62243D"/>
    <w:rsid w:val="6B627EBE"/>
    <w:rsid w:val="6B635940"/>
    <w:rsid w:val="6B644471"/>
    <w:rsid w:val="6B647753"/>
    <w:rsid w:val="6B647B3E"/>
    <w:rsid w:val="6B653436"/>
    <w:rsid w:val="6B6555BF"/>
    <w:rsid w:val="6B655F65"/>
    <w:rsid w:val="6B662AA2"/>
    <w:rsid w:val="6B663041"/>
    <w:rsid w:val="6B663FD5"/>
    <w:rsid w:val="6B6668C4"/>
    <w:rsid w:val="6B670AC3"/>
    <w:rsid w:val="6B674B73"/>
    <w:rsid w:val="6B681DC7"/>
    <w:rsid w:val="6B68554D"/>
    <w:rsid w:val="6B686544"/>
    <w:rsid w:val="6B693FC6"/>
    <w:rsid w:val="6B696C8B"/>
    <w:rsid w:val="6B697849"/>
    <w:rsid w:val="6B6A1A47"/>
    <w:rsid w:val="6B6A52CA"/>
    <w:rsid w:val="6B6B2D4C"/>
    <w:rsid w:val="6B6C0BDE"/>
    <w:rsid w:val="6B6C4F4A"/>
    <w:rsid w:val="6B6D29CC"/>
    <w:rsid w:val="6B6E231B"/>
    <w:rsid w:val="6B703894"/>
    <w:rsid w:val="6B7071D4"/>
    <w:rsid w:val="6B714C55"/>
    <w:rsid w:val="6B7226D7"/>
    <w:rsid w:val="6B726E54"/>
    <w:rsid w:val="6B731183"/>
    <w:rsid w:val="6B747DD8"/>
    <w:rsid w:val="6B75585A"/>
    <w:rsid w:val="6B757AC3"/>
    <w:rsid w:val="6B770D5D"/>
    <w:rsid w:val="6B7815F6"/>
    <w:rsid w:val="6B781BDB"/>
    <w:rsid w:val="6B7845E0"/>
    <w:rsid w:val="6B7A7AE3"/>
    <w:rsid w:val="6B7B2FE6"/>
    <w:rsid w:val="6B7C0A68"/>
    <w:rsid w:val="6B7D64E9"/>
    <w:rsid w:val="6B7E06E8"/>
    <w:rsid w:val="6B7E3F6B"/>
    <w:rsid w:val="6B7E5C45"/>
    <w:rsid w:val="6B803BEB"/>
    <w:rsid w:val="6B80746E"/>
    <w:rsid w:val="6B81166C"/>
    <w:rsid w:val="6B822971"/>
    <w:rsid w:val="6B8270EE"/>
    <w:rsid w:val="6B8312D6"/>
    <w:rsid w:val="6B834B70"/>
    <w:rsid w:val="6B8425F1"/>
    <w:rsid w:val="6B850073"/>
    <w:rsid w:val="6B8535B2"/>
    <w:rsid w:val="6B8538F6"/>
    <w:rsid w:val="6B863F8C"/>
    <w:rsid w:val="6B865AF4"/>
    <w:rsid w:val="6B873576"/>
    <w:rsid w:val="6B876DF9"/>
    <w:rsid w:val="6B880FF7"/>
    <w:rsid w:val="6B8818B6"/>
    <w:rsid w:val="6B88487B"/>
    <w:rsid w:val="6B8922FC"/>
    <w:rsid w:val="6B8A44FA"/>
    <w:rsid w:val="6B8A6C42"/>
    <w:rsid w:val="6B8A7D7E"/>
    <w:rsid w:val="6B8C3281"/>
    <w:rsid w:val="6B8C547F"/>
    <w:rsid w:val="6B8D0D02"/>
    <w:rsid w:val="6B8D2F01"/>
    <w:rsid w:val="6B8E0982"/>
    <w:rsid w:val="6B8F210E"/>
    <w:rsid w:val="6B8F4205"/>
    <w:rsid w:val="6B8F6404"/>
    <w:rsid w:val="6B903E85"/>
    <w:rsid w:val="6B927388"/>
    <w:rsid w:val="6B93068D"/>
    <w:rsid w:val="6B934E0A"/>
    <w:rsid w:val="6B94288B"/>
    <w:rsid w:val="6B94610F"/>
    <w:rsid w:val="6B94633D"/>
    <w:rsid w:val="6B95030D"/>
    <w:rsid w:val="6B953B90"/>
    <w:rsid w:val="6B961612"/>
    <w:rsid w:val="6B965D8F"/>
    <w:rsid w:val="6B967A7B"/>
    <w:rsid w:val="6B977093"/>
    <w:rsid w:val="6B980FF3"/>
    <w:rsid w:val="6B9919CE"/>
    <w:rsid w:val="6B996D13"/>
    <w:rsid w:val="6B9A256C"/>
    <w:rsid w:val="6B9A2731"/>
    <w:rsid w:val="6B9B2216"/>
    <w:rsid w:val="6B9B5A9A"/>
    <w:rsid w:val="6B9C351B"/>
    <w:rsid w:val="6B9C3CAA"/>
    <w:rsid w:val="6B9C7C98"/>
    <w:rsid w:val="6B9D0F9D"/>
    <w:rsid w:val="6B9D1D9E"/>
    <w:rsid w:val="6B9E6A1E"/>
    <w:rsid w:val="6B9F0C1C"/>
    <w:rsid w:val="6B9F5BFD"/>
    <w:rsid w:val="6B9F679B"/>
    <w:rsid w:val="6BA01F21"/>
    <w:rsid w:val="6BA0669E"/>
    <w:rsid w:val="6BA14120"/>
    <w:rsid w:val="6BA17ED9"/>
    <w:rsid w:val="6BA32EA6"/>
    <w:rsid w:val="6BA350A4"/>
    <w:rsid w:val="6BA37623"/>
    <w:rsid w:val="6BA42B26"/>
    <w:rsid w:val="6BA505A7"/>
    <w:rsid w:val="6BA563A9"/>
    <w:rsid w:val="6BA63569"/>
    <w:rsid w:val="6BA63E2B"/>
    <w:rsid w:val="6BA66029"/>
    <w:rsid w:val="6BA718AC"/>
    <w:rsid w:val="6BA8152C"/>
    <w:rsid w:val="6BA94DAF"/>
    <w:rsid w:val="6BA96FAE"/>
    <w:rsid w:val="6BAB6A35"/>
    <w:rsid w:val="6BAC75D4"/>
    <w:rsid w:val="6BAC7F32"/>
    <w:rsid w:val="6BAD2A21"/>
    <w:rsid w:val="6BAE0B4D"/>
    <w:rsid w:val="6BAE16EB"/>
    <w:rsid w:val="6BAE2195"/>
    <w:rsid w:val="6BB02C64"/>
    <w:rsid w:val="6BB06970"/>
    <w:rsid w:val="6BB17C3D"/>
    <w:rsid w:val="6BB40BC2"/>
    <w:rsid w:val="6BB4591A"/>
    <w:rsid w:val="6BB564B9"/>
    <w:rsid w:val="6BB71B46"/>
    <w:rsid w:val="6BB77A32"/>
    <w:rsid w:val="6BB875C8"/>
    <w:rsid w:val="6BB9116F"/>
    <w:rsid w:val="6BB9504A"/>
    <w:rsid w:val="6BBA1B4A"/>
    <w:rsid w:val="6BBB054D"/>
    <w:rsid w:val="6BBC3C61"/>
    <w:rsid w:val="6BBC5FCE"/>
    <w:rsid w:val="6BBD3F31"/>
    <w:rsid w:val="6BBE14D1"/>
    <w:rsid w:val="6BBF6F53"/>
    <w:rsid w:val="6BC06753"/>
    <w:rsid w:val="6BC27ED8"/>
    <w:rsid w:val="6BC333DB"/>
    <w:rsid w:val="6BC51FA8"/>
    <w:rsid w:val="6BC568DE"/>
    <w:rsid w:val="6BC6435F"/>
    <w:rsid w:val="6BC7335C"/>
    <w:rsid w:val="6BC73521"/>
    <w:rsid w:val="6BC84A99"/>
    <w:rsid w:val="6BC85664"/>
    <w:rsid w:val="6BC87862"/>
    <w:rsid w:val="6BC905D3"/>
    <w:rsid w:val="6BC952E4"/>
    <w:rsid w:val="6BCA0B67"/>
    <w:rsid w:val="6BCA2D65"/>
    <w:rsid w:val="6BCA61D7"/>
    <w:rsid w:val="6BCB07E7"/>
    <w:rsid w:val="6BCB4152"/>
    <w:rsid w:val="6BCB6A79"/>
    <w:rsid w:val="6BCB6BB1"/>
    <w:rsid w:val="6BCC1AEC"/>
    <w:rsid w:val="6BCC32A4"/>
    <w:rsid w:val="6BCC6269"/>
    <w:rsid w:val="6BCD3CEA"/>
    <w:rsid w:val="6BCD756D"/>
    <w:rsid w:val="6BCE176C"/>
    <w:rsid w:val="6BCF1867"/>
    <w:rsid w:val="6BCF2A70"/>
    <w:rsid w:val="6BD004F2"/>
    <w:rsid w:val="6BD04C6F"/>
    <w:rsid w:val="6BD126F0"/>
    <w:rsid w:val="6BD15F74"/>
    <w:rsid w:val="6BD20172"/>
    <w:rsid w:val="6BD237BA"/>
    <w:rsid w:val="6BD2397F"/>
    <w:rsid w:val="6BD239F5"/>
    <w:rsid w:val="6BD35BF3"/>
    <w:rsid w:val="6BD44EF8"/>
    <w:rsid w:val="6BD46EF8"/>
    <w:rsid w:val="6BD5497A"/>
    <w:rsid w:val="6BD8207B"/>
    <w:rsid w:val="6BD858FE"/>
    <w:rsid w:val="6BD90EEB"/>
    <w:rsid w:val="6BD915C1"/>
    <w:rsid w:val="6BD97AFD"/>
    <w:rsid w:val="6BDA09CA"/>
    <w:rsid w:val="6BDA1B01"/>
    <w:rsid w:val="6BDA1CC5"/>
    <w:rsid w:val="6BDA557E"/>
    <w:rsid w:val="6BDB3000"/>
    <w:rsid w:val="6BDB6883"/>
    <w:rsid w:val="6BDC307A"/>
    <w:rsid w:val="6BDC4305"/>
    <w:rsid w:val="6BDD3C18"/>
    <w:rsid w:val="6BDD3F84"/>
    <w:rsid w:val="6BDE1A06"/>
    <w:rsid w:val="6BDE47B7"/>
    <w:rsid w:val="6BDE7808"/>
    <w:rsid w:val="6BDF5289"/>
    <w:rsid w:val="6BDF7488"/>
    <w:rsid w:val="6BE02D0B"/>
    <w:rsid w:val="6BE1078C"/>
    <w:rsid w:val="6BE1298B"/>
    <w:rsid w:val="6BE168CF"/>
    <w:rsid w:val="6BE2040C"/>
    <w:rsid w:val="6BE2746D"/>
    <w:rsid w:val="6BE37E48"/>
    <w:rsid w:val="6BE42896"/>
    <w:rsid w:val="6BE54C14"/>
    <w:rsid w:val="6BE62AFE"/>
    <w:rsid w:val="6BE64D01"/>
    <w:rsid w:val="6BE6558D"/>
    <w:rsid w:val="6BE66E12"/>
    <w:rsid w:val="6BE70117"/>
    <w:rsid w:val="6BE73BE9"/>
    <w:rsid w:val="6BE85B99"/>
    <w:rsid w:val="6BE9361A"/>
    <w:rsid w:val="6BE97D97"/>
    <w:rsid w:val="6BEB618E"/>
    <w:rsid w:val="6BEB6B1D"/>
    <w:rsid w:val="6BED2021"/>
    <w:rsid w:val="6BED7707"/>
    <w:rsid w:val="6BEE7AA2"/>
    <w:rsid w:val="6BEF1470"/>
    <w:rsid w:val="6BEF5524"/>
    <w:rsid w:val="6BF02FA5"/>
    <w:rsid w:val="6BF10A27"/>
    <w:rsid w:val="6BF22C25"/>
    <w:rsid w:val="6BF23772"/>
    <w:rsid w:val="6BF306A7"/>
    <w:rsid w:val="6BF542DC"/>
    <w:rsid w:val="6BF56C52"/>
    <w:rsid w:val="6BF56FBD"/>
    <w:rsid w:val="6BF574DE"/>
    <w:rsid w:val="6BF65CF0"/>
    <w:rsid w:val="6BF66428"/>
    <w:rsid w:val="6BF803B2"/>
    <w:rsid w:val="6BF82A20"/>
    <w:rsid w:val="6BFA0F1A"/>
    <w:rsid w:val="6BFA10DE"/>
    <w:rsid w:val="6BFA38B5"/>
    <w:rsid w:val="6BFB1336"/>
    <w:rsid w:val="6BFB1AB8"/>
    <w:rsid w:val="6BFB1C7D"/>
    <w:rsid w:val="6BFB6DB8"/>
    <w:rsid w:val="6BFC0FB6"/>
    <w:rsid w:val="6BFD22BB"/>
    <w:rsid w:val="6BFD6A38"/>
    <w:rsid w:val="6BFE7D3C"/>
    <w:rsid w:val="6BFF1F3B"/>
    <w:rsid w:val="6BFF476F"/>
    <w:rsid w:val="6BFF57BE"/>
    <w:rsid w:val="6C003240"/>
    <w:rsid w:val="6C005EAC"/>
    <w:rsid w:val="6C01543E"/>
    <w:rsid w:val="6C016886"/>
    <w:rsid w:val="6C0233D3"/>
    <w:rsid w:val="6C026743"/>
    <w:rsid w:val="6C027260"/>
    <w:rsid w:val="6C040D59"/>
    <w:rsid w:val="6C0463C2"/>
    <w:rsid w:val="6C050161"/>
    <w:rsid w:val="6C0576C7"/>
    <w:rsid w:val="6C057FAC"/>
    <w:rsid w:val="6C065149"/>
    <w:rsid w:val="6C072AB5"/>
    <w:rsid w:val="6C084DC9"/>
    <w:rsid w:val="6C09284A"/>
    <w:rsid w:val="6C0960CD"/>
    <w:rsid w:val="6C0A4A08"/>
    <w:rsid w:val="6C0C1250"/>
    <w:rsid w:val="6C0C37CF"/>
    <w:rsid w:val="6C0C7052"/>
    <w:rsid w:val="6C0C7CB9"/>
    <w:rsid w:val="6C0D11B2"/>
    <w:rsid w:val="6C0D4AD4"/>
    <w:rsid w:val="6C0D76BF"/>
    <w:rsid w:val="6C0F0C37"/>
    <w:rsid w:val="6C0F7FD7"/>
    <w:rsid w:val="6C1121B0"/>
    <w:rsid w:val="6C1156D8"/>
    <w:rsid w:val="6C1175BA"/>
    <w:rsid w:val="6C120F5B"/>
    <w:rsid w:val="6C122F13"/>
    <w:rsid w:val="6C12315A"/>
    <w:rsid w:val="6C123C0C"/>
    <w:rsid w:val="6C123DC2"/>
    <w:rsid w:val="6C133015"/>
    <w:rsid w:val="6C1369DD"/>
    <w:rsid w:val="6C14445E"/>
    <w:rsid w:val="6C14665D"/>
    <w:rsid w:val="6C1653E3"/>
    <w:rsid w:val="6C1765A4"/>
    <w:rsid w:val="6C1808E6"/>
    <w:rsid w:val="6C1A3DE9"/>
    <w:rsid w:val="6C1B186B"/>
    <w:rsid w:val="6C1C260E"/>
    <w:rsid w:val="6C1C27D3"/>
    <w:rsid w:val="6C1C72EC"/>
    <w:rsid w:val="6C1D4D6E"/>
    <w:rsid w:val="6C1E3D4C"/>
    <w:rsid w:val="6C1F48EA"/>
    <w:rsid w:val="6C2052C5"/>
    <w:rsid w:val="6C213774"/>
    <w:rsid w:val="6C2152D1"/>
    <w:rsid w:val="6C2211F6"/>
    <w:rsid w:val="6C2341B9"/>
    <w:rsid w:val="6C236C77"/>
    <w:rsid w:val="6C26132F"/>
    <w:rsid w:val="6C27567D"/>
    <w:rsid w:val="6C284B77"/>
    <w:rsid w:val="6C2945EC"/>
    <w:rsid w:val="6C2A4B84"/>
    <w:rsid w:val="6C2A6602"/>
    <w:rsid w:val="6C2B4084"/>
    <w:rsid w:val="6C2C1B05"/>
    <w:rsid w:val="6C2C7587"/>
    <w:rsid w:val="6C2D1816"/>
    <w:rsid w:val="6C2E7676"/>
    <w:rsid w:val="6C2F0D7C"/>
    <w:rsid w:val="6C303D8F"/>
    <w:rsid w:val="6C305F8D"/>
    <w:rsid w:val="6C307AAE"/>
    <w:rsid w:val="6C311952"/>
    <w:rsid w:val="6C327292"/>
    <w:rsid w:val="6C332ECB"/>
    <w:rsid w:val="6C340216"/>
    <w:rsid w:val="6C344993"/>
    <w:rsid w:val="6C354444"/>
    <w:rsid w:val="6C354FE2"/>
    <w:rsid w:val="6C355C98"/>
    <w:rsid w:val="6C36371A"/>
    <w:rsid w:val="6C367E96"/>
    <w:rsid w:val="6C37119B"/>
    <w:rsid w:val="6C3A04AE"/>
    <w:rsid w:val="6C3A2120"/>
    <w:rsid w:val="6C3B104D"/>
    <w:rsid w:val="6C3B431E"/>
    <w:rsid w:val="6C3C1BEC"/>
    <w:rsid w:val="6C3C1DA0"/>
    <w:rsid w:val="6C3C5623"/>
    <w:rsid w:val="6C3D278A"/>
    <w:rsid w:val="6C3D30A4"/>
    <w:rsid w:val="6C3E52A3"/>
    <w:rsid w:val="6C3F1329"/>
    <w:rsid w:val="6C3F2D24"/>
    <w:rsid w:val="6C3F65A7"/>
    <w:rsid w:val="6C4007A6"/>
    <w:rsid w:val="6C404029"/>
    <w:rsid w:val="6C41527C"/>
    <w:rsid w:val="6C416227"/>
    <w:rsid w:val="6C42752C"/>
    <w:rsid w:val="6C43172A"/>
    <w:rsid w:val="6C434FAE"/>
    <w:rsid w:val="6C442A2F"/>
    <w:rsid w:val="6C444C2E"/>
    <w:rsid w:val="6C447F32"/>
    <w:rsid w:val="6C4526AF"/>
    <w:rsid w:val="6C460131"/>
    <w:rsid w:val="6C4614AB"/>
    <w:rsid w:val="6C475BB2"/>
    <w:rsid w:val="6C481435"/>
    <w:rsid w:val="6C483634"/>
    <w:rsid w:val="6C4910B5"/>
    <w:rsid w:val="6C4A6B37"/>
    <w:rsid w:val="6C4B23BA"/>
    <w:rsid w:val="6C4B45B8"/>
    <w:rsid w:val="6C4C203A"/>
    <w:rsid w:val="6C4C7E3C"/>
    <w:rsid w:val="6C4D3CBC"/>
    <w:rsid w:val="6C4D6279"/>
    <w:rsid w:val="6C4D7ABB"/>
    <w:rsid w:val="6C4E0DC0"/>
    <w:rsid w:val="6C4E553D"/>
    <w:rsid w:val="6C4F2FBF"/>
    <w:rsid w:val="6C4F762D"/>
    <w:rsid w:val="6C5001CC"/>
    <w:rsid w:val="6C5042C3"/>
    <w:rsid w:val="6C5164C2"/>
    <w:rsid w:val="6C523F43"/>
    <w:rsid w:val="6C5319C5"/>
    <w:rsid w:val="6C535248"/>
    <w:rsid w:val="6C547446"/>
    <w:rsid w:val="6C562949"/>
    <w:rsid w:val="6C5661CD"/>
    <w:rsid w:val="6C5703CB"/>
    <w:rsid w:val="6C573C4E"/>
    <w:rsid w:val="6C5A7C87"/>
    <w:rsid w:val="6C5B2654"/>
    <w:rsid w:val="6C5B6DD1"/>
    <w:rsid w:val="6C5C00D6"/>
    <w:rsid w:val="6C5C22D4"/>
    <w:rsid w:val="6C5C4853"/>
    <w:rsid w:val="6C5C5DC2"/>
    <w:rsid w:val="6C5C664E"/>
    <w:rsid w:val="6C5E35D9"/>
    <w:rsid w:val="6C5E57D7"/>
    <w:rsid w:val="6C5F105B"/>
    <w:rsid w:val="6C5F3259"/>
    <w:rsid w:val="6C600CDA"/>
    <w:rsid w:val="6C606ADC"/>
    <w:rsid w:val="6C6153F8"/>
    <w:rsid w:val="6C621FDF"/>
    <w:rsid w:val="6C6241DE"/>
    <w:rsid w:val="6C636C38"/>
    <w:rsid w:val="6C637A61"/>
    <w:rsid w:val="6C642F64"/>
    <w:rsid w:val="6C6454E2"/>
    <w:rsid w:val="6C6476E1"/>
    <w:rsid w:val="6C6509E5"/>
    <w:rsid w:val="6C655162"/>
    <w:rsid w:val="6C6608C4"/>
    <w:rsid w:val="6C666467"/>
    <w:rsid w:val="6C670665"/>
    <w:rsid w:val="6C673EE9"/>
    <w:rsid w:val="6C6860E7"/>
    <w:rsid w:val="6C691A23"/>
    <w:rsid w:val="6C693B68"/>
    <w:rsid w:val="6C6A15EA"/>
    <w:rsid w:val="6C6A4E6D"/>
    <w:rsid w:val="6C6B0755"/>
    <w:rsid w:val="6C6B28EF"/>
    <w:rsid w:val="6C6C0370"/>
    <w:rsid w:val="6C6C4AF3"/>
    <w:rsid w:val="6C6C7746"/>
    <w:rsid w:val="6C6D256F"/>
    <w:rsid w:val="6C6E6C0B"/>
    <w:rsid w:val="6C6E7FF0"/>
    <w:rsid w:val="6C6F12F5"/>
    <w:rsid w:val="6C700348"/>
    <w:rsid w:val="6C706D77"/>
    <w:rsid w:val="6C710D22"/>
    <w:rsid w:val="6C710F75"/>
    <w:rsid w:val="6C7147F8"/>
    <w:rsid w:val="6C73229B"/>
    <w:rsid w:val="6C737CFB"/>
    <w:rsid w:val="6C74577D"/>
    <w:rsid w:val="6C7531FE"/>
    <w:rsid w:val="6C753814"/>
    <w:rsid w:val="6C764577"/>
    <w:rsid w:val="6C783B29"/>
    <w:rsid w:val="6C784183"/>
    <w:rsid w:val="6C786381"/>
    <w:rsid w:val="6C7A1884"/>
    <w:rsid w:val="6C7B05E2"/>
    <w:rsid w:val="6C7D1B5B"/>
    <w:rsid w:val="6C7D608C"/>
    <w:rsid w:val="6C7E3B0E"/>
    <w:rsid w:val="6C7F158F"/>
    <w:rsid w:val="6C7F30D3"/>
    <w:rsid w:val="6C7F3298"/>
    <w:rsid w:val="6C807011"/>
    <w:rsid w:val="6C814811"/>
    <w:rsid w:val="6C814A92"/>
    <w:rsid w:val="6C822514"/>
    <w:rsid w:val="6C832C74"/>
    <w:rsid w:val="6C837F96"/>
    <w:rsid w:val="6C846764"/>
    <w:rsid w:val="6C860F1A"/>
    <w:rsid w:val="6C866672"/>
    <w:rsid w:val="6C866827"/>
    <w:rsid w:val="6C867EA1"/>
    <w:rsid w:val="6C870A40"/>
    <w:rsid w:val="6C8753A4"/>
    <w:rsid w:val="6C87699C"/>
    <w:rsid w:val="6C88441D"/>
    <w:rsid w:val="6C8847AD"/>
    <w:rsid w:val="6C892993"/>
    <w:rsid w:val="6C8A6C2E"/>
    <w:rsid w:val="6C8B53A2"/>
    <w:rsid w:val="6C8E61E8"/>
    <w:rsid w:val="6C8F3DA8"/>
    <w:rsid w:val="6C90182A"/>
    <w:rsid w:val="6C907761"/>
    <w:rsid w:val="6C9172AB"/>
    <w:rsid w:val="6C920E9E"/>
    <w:rsid w:val="6C924D2D"/>
    <w:rsid w:val="6C931878"/>
    <w:rsid w:val="6C9327AE"/>
    <w:rsid w:val="6C942417"/>
    <w:rsid w:val="6C943AB3"/>
    <w:rsid w:val="6C954150"/>
    <w:rsid w:val="6C955CB1"/>
    <w:rsid w:val="6C966FB6"/>
    <w:rsid w:val="6C967F0D"/>
    <w:rsid w:val="6C974A38"/>
    <w:rsid w:val="6C9824B9"/>
    <w:rsid w:val="6C985AA7"/>
    <w:rsid w:val="6C997F3B"/>
    <w:rsid w:val="6C9A59BC"/>
    <w:rsid w:val="6C9C30BE"/>
    <w:rsid w:val="6C9D0B3F"/>
    <w:rsid w:val="6C9D43C3"/>
    <w:rsid w:val="6C9D6941"/>
    <w:rsid w:val="6C9E1E44"/>
    <w:rsid w:val="6C9E65C1"/>
    <w:rsid w:val="6C9F78C6"/>
    <w:rsid w:val="6CA01AC4"/>
    <w:rsid w:val="6CA05347"/>
    <w:rsid w:val="6CA17546"/>
    <w:rsid w:val="6CA2084A"/>
    <w:rsid w:val="6CA247C8"/>
    <w:rsid w:val="6CA24FC7"/>
    <w:rsid w:val="6CA32A49"/>
    <w:rsid w:val="6CA33B4D"/>
    <w:rsid w:val="6CA362CC"/>
    <w:rsid w:val="6CA404CA"/>
    <w:rsid w:val="6CA43D4D"/>
    <w:rsid w:val="6CA468E0"/>
    <w:rsid w:val="6CA517CF"/>
    <w:rsid w:val="6CA55F4C"/>
    <w:rsid w:val="6CA6001D"/>
    <w:rsid w:val="6CA639CD"/>
    <w:rsid w:val="6CA709F7"/>
    <w:rsid w:val="6CA7144F"/>
    <w:rsid w:val="6CA74CD2"/>
    <w:rsid w:val="6CA82754"/>
    <w:rsid w:val="6CA91F70"/>
    <w:rsid w:val="6CA94952"/>
    <w:rsid w:val="6CAA23D4"/>
    <w:rsid w:val="6CAA5C57"/>
    <w:rsid w:val="6CAB36D8"/>
    <w:rsid w:val="6CAC47AA"/>
    <w:rsid w:val="6CAD3358"/>
    <w:rsid w:val="6CAD6BDB"/>
    <w:rsid w:val="6CAE465D"/>
    <w:rsid w:val="6CAE685B"/>
    <w:rsid w:val="6CAF20DF"/>
    <w:rsid w:val="6CAF42DD"/>
    <w:rsid w:val="6CB155E2"/>
    <w:rsid w:val="6CB177E0"/>
    <w:rsid w:val="6CB23868"/>
    <w:rsid w:val="6CB25261"/>
    <w:rsid w:val="6CB30AE5"/>
    <w:rsid w:val="6CB33D8F"/>
    <w:rsid w:val="6CB40765"/>
    <w:rsid w:val="6CB43BD9"/>
    <w:rsid w:val="6CB46566"/>
    <w:rsid w:val="6CB51A69"/>
    <w:rsid w:val="6CB53FE8"/>
    <w:rsid w:val="6CB561E6"/>
    <w:rsid w:val="6CB63C68"/>
    <w:rsid w:val="6CB674EB"/>
    <w:rsid w:val="6CB716E9"/>
    <w:rsid w:val="6CB74F6C"/>
    <w:rsid w:val="6CB829EE"/>
    <w:rsid w:val="6CB8716B"/>
    <w:rsid w:val="6CBA6439"/>
    <w:rsid w:val="6CBB3973"/>
    <w:rsid w:val="6CBB6FD8"/>
    <w:rsid w:val="6CBC5B71"/>
    <w:rsid w:val="6CBC7B76"/>
    <w:rsid w:val="6CBD0715"/>
    <w:rsid w:val="6CBD35F3"/>
    <w:rsid w:val="6CBE10EF"/>
    <w:rsid w:val="6CBE12B4"/>
    <w:rsid w:val="6CBE48F7"/>
    <w:rsid w:val="6CBF1AC9"/>
    <w:rsid w:val="6CC04577"/>
    <w:rsid w:val="6CC11FF9"/>
    <w:rsid w:val="6CC13DA5"/>
    <w:rsid w:val="6CC1587C"/>
    <w:rsid w:val="6CC24944"/>
    <w:rsid w:val="6CC268D7"/>
    <w:rsid w:val="6CC354FC"/>
    <w:rsid w:val="6CC45CF8"/>
    <w:rsid w:val="6CC56480"/>
    <w:rsid w:val="6CC67436"/>
    <w:rsid w:val="6CC71984"/>
    <w:rsid w:val="6CC77FD4"/>
    <w:rsid w:val="6CC809AF"/>
    <w:rsid w:val="6CC85207"/>
    <w:rsid w:val="6CC92C88"/>
    <w:rsid w:val="6CC94E87"/>
    <w:rsid w:val="6CCA070A"/>
    <w:rsid w:val="6CCA2908"/>
    <w:rsid w:val="6CCB038A"/>
    <w:rsid w:val="6CCB618B"/>
    <w:rsid w:val="6CCC30F0"/>
    <w:rsid w:val="6CCD04EB"/>
    <w:rsid w:val="6CCD388D"/>
    <w:rsid w:val="6CCD7110"/>
    <w:rsid w:val="6CCE4B92"/>
    <w:rsid w:val="6CCE55B8"/>
    <w:rsid w:val="6CCF2613"/>
    <w:rsid w:val="6CD00095"/>
    <w:rsid w:val="6CD04811"/>
    <w:rsid w:val="6CD12293"/>
    <w:rsid w:val="6CD17894"/>
    <w:rsid w:val="6CD23598"/>
    <w:rsid w:val="6CD30C48"/>
    <w:rsid w:val="6CD31019"/>
    <w:rsid w:val="6CD35796"/>
    <w:rsid w:val="6CD52386"/>
    <w:rsid w:val="6CD5451D"/>
    <w:rsid w:val="6CD738FF"/>
    <w:rsid w:val="6CD92F23"/>
    <w:rsid w:val="6CD9769F"/>
    <w:rsid w:val="6CDA09A4"/>
    <w:rsid w:val="6CDA5121"/>
    <w:rsid w:val="6CDA5BDB"/>
    <w:rsid w:val="6CDB5F08"/>
    <w:rsid w:val="6CDD3B27"/>
    <w:rsid w:val="6CDD49A9"/>
    <w:rsid w:val="6CDD60A6"/>
    <w:rsid w:val="6CDE10A7"/>
    <w:rsid w:val="6CDE73AA"/>
    <w:rsid w:val="6CDF3526"/>
    <w:rsid w:val="6CDF702A"/>
    <w:rsid w:val="6CE027E4"/>
    <w:rsid w:val="6CE04AAC"/>
    <w:rsid w:val="6CE1032F"/>
    <w:rsid w:val="6CE25DB1"/>
    <w:rsid w:val="6CE269DF"/>
    <w:rsid w:val="6CE33832"/>
    <w:rsid w:val="6CE412B4"/>
    <w:rsid w:val="6CE547B7"/>
    <w:rsid w:val="6CE62238"/>
    <w:rsid w:val="6CE6684F"/>
    <w:rsid w:val="6CE8573C"/>
    <w:rsid w:val="6CE931BD"/>
    <w:rsid w:val="6CEA0C3F"/>
    <w:rsid w:val="6CEA20A3"/>
    <w:rsid w:val="6CEB66C0"/>
    <w:rsid w:val="6CEC4142"/>
    <w:rsid w:val="6CED1BC3"/>
    <w:rsid w:val="6CED6224"/>
    <w:rsid w:val="6CEE4A35"/>
    <w:rsid w:val="6CEE52C1"/>
    <w:rsid w:val="6CF0610E"/>
    <w:rsid w:val="6CF062D3"/>
    <w:rsid w:val="6CF105C9"/>
    <w:rsid w:val="6CF157F9"/>
    <w:rsid w:val="6CF2784B"/>
    <w:rsid w:val="6CF30226"/>
    <w:rsid w:val="6CF33ACD"/>
    <w:rsid w:val="6CF40DC4"/>
    <w:rsid w:val="6CF62502"/>
    <w:rsid w:val="6CF724D3"/>
    <w:rsid w:val="6CF87F54"/>
    <w:rsid w:val="6CFA2479"/>
    <w:rsid w:val="6CFB475C"/>
    <w:rsid w:val="6CFC21DE"/>
    <w:rsid w:val="6CFC695A"/>
    <w:rsid w:val="6CFD43DC"/>
    <w:rsid w:val="6CFD7212"/>
    <w:rsid w:val="6CFD7C5F"/>
    <w:rsid w:val="6CFD7CAA"/>
    <w:rsid w:val="6CFE3029"/>
    <w:rsid w:val="6CFE56E1"/>
    <w:rsid w:val="6CFF5361"/>
    <w:rsid w:val="6D002DE2"/>
    <w:rsid w:val="6D016666"/>
    <w:rsid w:val="6D0240E7"/>
    <w:rsid w:val="6D033ED9"/>
    <w:rsid w:val="6D0417E8"/>
    <w:rsid w:val="6D0475EA"/>
    <w:rsid w:val="6D05506C"/>
    <w:rsid w:val="6D05726A"/>
    <w:rsid w:val="6D062AED"/>
    <w:rsid w:val="6D064CEC"/>
    <w:rsid w:val="6D0669CA"/>
    <w:rsid w:val="6D07276D"/>
    <w:rsid w:val="6D075FF0"/>
    <w:rsid w:val="6D076131"/>
    <w:rsid w:val="6D0801EF"/>
    <w:rsid w:val="6D083A72"/>
    <w:rsid w:val="6D09091E"/>
    <w:rsid w:val="6D0931DE"/>
    <w:rsid w:val="6D093C1F"/>
    <w:rsid w:val="6D095C70"/>
    <w:rsid w:val="6D0A1681"/>
    <w:rsid w:val="6D0A2B07"/>
    <w:rsid w:val="6D0A2E73"/>
    <w:rsid w:val="6D0A36F2"/>
    <w:rsid w:val="6D0A6F75"/>
    <w:rsid w:val="6D0B1173"/>
    <w:rsid w:val="6D0B14CF"/>
    <w:rsid w:val="6D0B1684"/>
    <w:rsid w:val="6D0B49F7"/>
    <w:rsid w:val="6D0D3798"/>
    <w:rsid w:val="6D0E20F8"/>
    <w:rsid w:val="6D0E597B"/>
    <w:rsid w:val="6D0F33FD"/>
    <w:rsid w:val="6D0F7B79"/>
    <w:rsid w:val="6D1055FB"/>
    <w:rsid w:val="6D1142D1"/>
    <w:rsid w:val="6D1160C5"/>
    <w:rsid w:val="6D116900"/>
    <w:rsid w:val="6D120AFE"/>
    <w:rsid w:val="6D124381"/>
    <w:rsid w:val="6D127803"/>
    <w:rsid w:val="6D131E03"/>
    <w:rsid w:val="6D140F40"/>
    <w:rsid w:val="6D144001"/>
    <w:rsid w:val="6D147885"/>
    <w:rsid w:val="6D164F86"/>
    <w:rsid w:val="6D172A07"/>
    <w:rsid w:val="6D175EDC"/>
    <w:rsid w:val="6D18386D"/>
    <w:rsid w:val="6D18628B"/>
    <w:rsid w:val="6D192AFE"/>
    <w:rsid w:val="6D193D0C"/>
    <w:rsid w:val="6D19440C"/>
    <w:rsid w:val="6D194538"/>
    <w:rsid w:val="6D195F0B"/>
    <w:rsid w:val="6D1A319F"/>
    <w:rsid w:val="6D1C4C91"/>
    <w:rsid w:val="6D1C60F5"/>
    <w:rsid w:val="6D1C6524"/>
    <w:rsid w:val="6D1C66E8"/>
    <w:rsid w:val="6D1D4911"/>
    <w:rsid w:val="6D1E0194"/>
    <w:rsid w:val="6D1E2392"/>
    <w:rsid w:val="6D1E5C16"/>
    <w:rsid w:val="6D1F3697"/>
    <w:rsid w:val="6D1F7E14"/>
    <w:rsid w:val="6D201119"/>
    <w:rsid w:val="6D213317"/>
    <w:rsid w:val="6D216B9A"/>
    <w:rsid w:val="6D23209D"/>
    <w:rsid w:val="6D233E90"/>
    <w:rsid w:val="6D241DD6"/>
    <w:rsid w:val="6D24429C"/>
    <w:rsid w:val="6D247B1F"/>
    <w:rsid w:val="6D26086E"/>
    <w:rsid w:val="6D263022"/>
    <w:rsid w:val="6D2630EF"/>
    <w:rsid w:val="6D26779F"/>
    <w:rsid w:val="6D276982"/>
    <w:rsid w:val="6D282CA2"/>
    <w:rsid w:val="6D286525"/>
    <w:rsid w:val="6D2900BF"/>
    <w:rsid w:val="6D290723"/>
    <w:rsid w:val="6D293FA7"/>
    <w:rsid w:val="6D2A1A28"/>
    <w:rsid w:val="6D2A25C0"/>
    <w:rsid w:val="6D2C16A8"/>
    <w:rsid w:val="6D2D29AD"/>
    <w:rsid w:val="6D2E042E"/>
    <w:rsid w:val="6D2E358B"/>
    <w:rsid w:val="6D2E4BAB"/>
    <w:rsid w:val="6D2F00AE"/>
    <w:rsid w:val="6D303931"/>
    <w:rsid w:val="6D305B30"/>
    <w:rsid w:val="6D3135B1"/>
    <w:rsid w:val="6D321033"/>
    <w:rsid w:val="6D336AB4"/>
    <w:rsid w:val="6D350D33"/>
    <w:rsid w:val="6D351FB7"/>
    <w:rsid w:val="6D357DB9"/>
    <w:rsid w:val="6D360E1C"/>
    <w:rsid w:val="6D36133C"/>
    <w:rsid w:val="6D3632BC"/>
    <w:rsid w:val="6D36583B"/>
    <w:rsid w:val="6D370D3E"/>
    <w:rsid w:val="6D377250"/>
    <w:rsid w:val="6D382F3C"/>
    <w:rsid w:val="6D3867BF"/>
    <w:rsid w:val="6D3909BE"/>
    <w:rsid w:val="6D394241"/>
    <w:rsid w:val="6D3A1CC2"/>
    <w:rsid w:val="6D3A43C4"/>
    <w:rsid w:val="6D3A643F"/>
    <w:rsid w:val="6D3C1942"/>
    <w:rsid w:val="6D3C57B3"/>
    <w:rsid w:val="6D3C6CAD"/>
    <w:rsid w:val="6D3D707A"/>
    <w:rsid w:val="6D3D73C4"/>
    <w:rsid w:val="6D3E4E45"/>
    <w:rsid w:val="6D3E7A54"/>
    <w:rsid w:val="6D3F614A"/>
    <w:rsid w:val="6D400349"/>
    <w:rsid w:val="6D4078A1"/>
    <w:rsid w:val="6D41164D"/>
    <w:rsid w:val="6D411B6C"/>
    <w:rsid w:val="6D4228CF"/>
    <w:rsid w:val="6D42384C"/>
    <w:rsid w:val="6D4270CF"/>
    <w:rsid w:val="6D4312CD"/>
    <w:rsid w:val="6D4332A9"/>
    <w:rsid w:val="6D4348C6"/>
    <w:rsid w:val="6D434DE7"/>
    <w:rsid w:val="6D4425D2"/>
    <w:rsid w:val="6D446D4F"/>
    <w:rsid w:val="6D450054"/>
    <w:rsid w:val="6D452F22"/>
    <w:rsid w:val="6D4547D0"/>
    <w:rsid w:val="6D454822"/>
    <w:rsid w:val="6D462252"/>
    <w:rsid w:val="6D4653C0"/>
    <w:rsid w:val="6D465AD5"/>
    <w:rsid w:val="6D467CD3"/>
    <w:rsid w:val="6D473557"/>
    <w:rsid w:val="6D480FD8"/>
    <w:rsid w:val="6D486AFE"/>
    <w:rsid w:val="6D4A0A51"/>
    <w:rsid w:val="6D4A44DB"/>
    <w:rsid w:val="6D4B1F5D"/>
    <w:rsid w:val="6D4D2B68"/>
    <w:rsid w:val="6D4D5460"/>
    <w:rsid w:val="6D4E0963"/>
    <w:rsid w:val="6D4E3543"/>
    <w:rsid w:val="6D4F40E1"/>
    <w:rsid w:val="6D4F63E5"/>
    <w:rsid w:val="6D5118E8"/>
    <w:rsid w:val="6D527369"/>
    <w:rsid w:val="6D534DEB"/>
    <w:rsid w:val="6D536141"/>
    <w:rsid w:val="6D536D97"/>
    <w:rsid w:val="6D54286C"/>
    <w:rsid w:val="6D560DCE"/>
    <w:rsid w:val="6D565D6F"/>
    <w:rsid w:val="6D5737C1"/>
    <w:rsid w:val="6D590A0C"/>
    <w:rsid w:val="6D596CF4"/>
    <w:rsid w:val="6D5A4776"/>
    <w:rsid w:val="6D5B50DE"/>
    <w:rsid w:val="6D5D56FA"/>
    <w:rsid w:val="6D5E317C"/>
    <w:rsid w:val="6D5F0E02"/>
    <w:rsid w:val="6D601F02"/>
    <w:rsid w:val="6D60667F"/>
    <w:rsid w:val="6D614100"/>
    <w:rsid w:val="6D627650"/>
    <w:rsid w:val="6D632886"/>
    <w:rsid w:val="6D632E87"/>
    <w:rsid w:val="6D652B07"/>
    <w:rsid w:val="6D65638A"/>
    <w:rsid w:val="6D663E0B"/>
    <w:rsid w:val="6D67188D"/>
    <w:rsid w:val="6D673A8B"/>
    <w:rsid w:val="6D68150D"/>
    <w:rsid w:val="6D686AB5"/>
    <w:rsid w:val="6D68730F"/>
    <w:rsid w:val="6D694D90"/>
    <w:rsid w:val="6D696F8E"/>
    <w:rsid w:val="6D6B0293"/>
    <w:rsid w:val="6D6B0BCD"/>
    <w:rsid w:val="6D6C5D15"/>
    <w:rsid w:val="6D6D2146"/>
    <w:rsid w:val="6D6D3796"/>
    <w:rsid w:val="6D6D5995"/>
    <w:rsid w:val="6D6E2CE4"/>
    <w:rsid w:val="6D6E3416"/>
    <w:rsid w:val="6D6E6C99"/>
    <w:rsid w:val="6D6F0E98"/>
    <w:rsid w:val="6D6F36BE"/>
    <w:rsid w:val="6D6F471B"/>
    <w:rsid w:val="6D71190D"/>
    <w:rsid w:val="6D721E1C"/>
    <w:rsid w:val="6D7256A0"/>
    <w:rsid w:val="6D740BA3"/>
    <w:rsid w:val="6D7478EE"/>
    <w:rsid w:val="6D752DA1"/>
    <w:rsid w:val="6D756624"/>
    <w:rsid w:val="6D760823"/>
    <w:rsid w:val="6D783D26"/>
    <w:rsid w:val="6D7917A7"/>
    <w:rsid w:val="6D792F7E"/>
    <w:rsid w:val="6D79502A"/>
    <w:rsid w:val="6D7A7229"/>
    <w:rsid w:val="6D7B052E"/>
    <w:rsid w:val="6D7B4CAA"/>
    <w:rsid w:val="6D7C4ED1"/>
    <w:rsid w:val="6D7C5FAF"/>
    <w:rsid w:val="6D7D01AD"/>
    <w:rsid w:val="6D7D3A31"/>
    <w:rsid w:val="6D7E14B2"/>
    <w:rsid w:val="6D7F1132"/>
    <w:rsid w:val="6D7F6F34"/>
    <w:rsid w:val="6D821C9F"/>
    <w:rsid w:val="6D8220B7"/>
    <w:rsid w:val="6D827EB8"/>
    <w:rsid w:val="6D83593A"/>
    <w:rsid w:val="6D8455BA"/>
    <w:rsid w:val="6D850E3D"/>
    <w:rsid w:val="6D860ABD"/>
    <w:rsid w:val="6D8754F4"/>
    <w:rsid w:val="6D87653E"/>
    <w:rsid w:val="6D883FC0"/>
    <w:rsid w:val="6D887843"/>
    <w:rsid w:val="6D891A42"/>
    <w:rsid w:val="6D8B4F45"/>
    <w:rsid w:val="6D8C09C0"/>
    <w:rsid w:val="6D8C29C6"/>
    <w:rsid w:val="6D8D0448"/>
    <w:rsid w:val="6D8D1723"/>
    <w:rsid w:val="6D8D3CCB"/>
    <w:rsid w:val="6D8E174D"/>
    <w:rsid w:val="6D8E5EC9"/>
    <w:rsid w:val="6D8F394B"/>
    <w:rsid w:val="6D8F71CE"/>
    <w:rsid w:val="6D920153"/>
    <w:rsid w:val="6D9248D0"/>
    <w:rsid w:val="6D932351"/>
    <w:rsid w:val="6D93423A"/>
    <w:rsid w:val="6D935BD4"/>
    <w:rsid w:val="6D936168"/>
    <w:rsid w:val="6D943656"/>
    <w:rsid w:val="6D946ECB"/>
    <w:rsid w:val="6D947DD3"/>
    <w:rsid w:val="6D9510D7"/>
    <w:rsid w:val="6D955854"/>
    <w:rsid w:val="6D96027F"/>
    <w:rsid w:val="6D9632D6"/>
    <w:rsid w:val="6D966B59"/>
    <w:rsid w:val="6D970E1E"/>
    <w:rsid w:val="6D98205C"/>
    <w:rsid w:val="6D98425A"/>
    <w:rsid w:val="6D991CDC"/>
    <w:rsid w:val="6D997ADE"/>
    <w:rsid w:val="6D9B21BC"/>
    <w:rsid w:val="6D9B2FE1"/>
    <w:rsid w:val="6D9C0A62"/>
    <w:rsid w:val="6D9C0B83"/>
    <w:rsid w:val="6D9C2C61"/>
    <w:rsid w:val="6D9C44AE"/>
    <w:rsid w:val="6D9D06E2"/>
    <w:rsid w:val="6D9D0818"/>
    <w:rsid w:val="6D9D5BEC"/>
    <w:rsid w:val="6D9E3F65"/>
    <w:rsid w:val="6D9E6164"/>
    <w:rsid w:val="6D9E7208"/>
    <w:rsid w:val="6D9F7164"/>
    <w:rsid w:val="6DA04EEA"/>
    <w:rsid w:val="6DA07D03"/>
    <w:rsid w:val="6DA170E8"/>
    <w:rsid w:val="6DA2127C"/>
    <w:rsid w:val="6DA24B6A"/>
    <w:rsid w:val="6DA25FB5"/>
    <w:rsid w:val="6DA31E1B"/>
    <w:rsid w:val="6DA55AEF"/>
    <w:rsid w:val="6DA66DF3"/>
    <w:rsid w:val="6DA74875"/>
    <w:rsid w:val="6DA7490C"/>
    <w:rsid w:val="6DA86A73"/>
    <w:rsid w:val="6DA944F5"/>
    <w:rsid w:val="6DAA3F57"/>
    <w:rsid w:val="6DAA57FA"/>
    <w:rsid w:val="6DAA73FE"/>
    <w:rsid w:val="6DAB327B"/>
    <w:rsid w:val="6DAC0B3C"/>
    <w:rsid w:val="6DAC0CFD"/>
    <w:rsid w:val="6DAC5479"/>
    <w:rsid w:val="6DAD677E"/>
    <w:rsid w:val="6DAE4200"/>
    <w:rsid w:val="6DAF2C53"/>
    <w:rsid w:val="6DB037F2"/>
    <w:rsid w:val="6DB07703"/>
    <w:rsid w:val="6DB141CC"/>
    <w:rsid w:val="6DB15184"/>
    <w:rsid w:val="6DB34098"/>
    <w:rsid w:val="6DB35909"/>
    <w:rsid w:val="6DB46109"/>
    <w:rsid w:val="6DB462E4"/>
    <w:rsid w:val="6DB545B6"/>
    <w:rsid w:val="6DB606E6"/>
    <w:rsid w:val="6DB6785C"/>
    <w:rsid w:val="6DB70DD5"/>
    <w:rsid w:val="6DB74B0F"/>
    <w:rsid w:val="6DB7708E"/>
    <w:rsid w:val="6DB90012"/>
    <w:rsid w:val="6DB91992"/>
    <w:rsid w:val="6DB9234E"/>
    <w:rsid w:val="6DBA52B1"/>
    <w:rsid w:val="6DBA7147"/>
    <w:rsid w:val="6DBB3515"/>
    <w:rsid w:val="6DBB3A8B"/>
    <w:rsid w:val="6DBC0F97"/>
    <w:rsid w:val="6DBC462A"/>
    <w:rsid w:val="6DBD6A19"/>
    <w:rsid w:val="6DBE449A"/>
    <w:rsid w:val="6DBE5BA3"/>
    <w:rsid w:val="6DBF6742"/>
    <w:rsid w:val="6DC22EA0"/>
    <w:rsid w:val="6DC41DD2"/>
    <w:rsid w:val="6DC527AC"/>
    <w:rsid w:val="6DC53E25"/>
    <w:rsid w:val="6DC61432"/>
    <w:rsid w:val="6DC615E8"/>
    <w:rsid w:val="6DC6202A"/>
    <w:rsid w:val="6DC6512A"/>
    <w:rsid w:val="6DC710C7"/>
    <w:rsid w:val="6DC87C44"/>
    <w:rsid w:val="6DC87FAF"/>
    <w:rsid w:val="6DC96001"/>
    <w:rsid w:val="6DCB15B1"/>
    <w:rsid w:val="6DCB757A"/>
    <w:rsid w:val="6DCC37B0"/>
    <w:rsid w:val="6DCD0AF3"/>
    <w:rsid w:val="6DCD1231"/>
    <w:rsid w:val="6DCD4AB5"/>
    <w:rsid w:val="6DCE1692"/>
    <w:rsid w:val="6DCE2536"/>
    <w:rsid w:val="6DCF4734"/>
    <w:rsid w:val="6DCF7FB8"/>
    <w:rsid w:val="6DD05A39"/>
    <w:rsid w:val="6DD134BB"/>
    <w:rsid w:val="6DD135E5"/>
    <w:rsid w:val="6DD156B9"/>
    <w:rsid w:val="6DD4443F"/>
    <w:rsid w:val="6DD464A7"/>
    <w:rsid w:val="6DD51EC1"/>
    <w:rsid w:val="6DD540BF"/>
    <w:rsid w:val="6DD56C75"/>
    <w:rsid w:val="6DD62421"/>
    <w:rsid w:val="6DD67943"/>
    <w:rsid w:val="6DD679D8"/>
    <w:rsid w:val="6DD703B2"/>
    <w:rsid w:val="6DD71B95"/>
    <w:rsid w:val="6DD72E46"/>
    <w:rsid w:val="6DD753C4"/>
    <w:rsid w:val="6DD775C2"/>
    <w:rsid w:val="6DD808C7"/>
    <w:rsid w:val="6DD80F51"/>
    <w:rsid w:val="6DD91AF0"/>
    <w:rsid w:val="6DD96349"/>
    <w:rsid w:val="6DDA0547"/>
    <w:rsid w:val="6DDA3DCA"/>
    <w:rsid w:val="6DDC3C07"/>
    <w:rsid w:val="6DDC4648"/>
    <w:rsid w:val="6DDD4D4F"/>
    <w:rsid w:val="6DDE6F4D"/>
    <w:rsid w:val="6DDF49CF"/>
    <w:rsid w:val="6DE02450"/>
    <w:rsid w:val="6DE02FB4"/>
    <w:rsid w:val="6DE05CD4"/>
    <w:rsid w:val="6DE066F9"/>
    <w:rsid w:val="6DE07298"/>
    <w:rsid w:val="6DE13755"/>
    <w:rsid w:val="6DE17ED2"/>
    <w:rsid w:val="6DE25953"/>
    <w:rsid w:val="6DE333D5"/>
    <w:rsid w:val="6DE36081"/>
    <w:rsid w:val="6DE446DA"/>
    <w:rsid w:val="6DE5215B"/>
    <w:rsid w:val="6DE52764"/>
    <w:rsid w:val="6DE54893"/>
    <w:rsid w:val="6DE67BDD"/>
    <w:rsid w:val="6DE71DDB"/>
    <w:rsid w:val="6DE73CDD"/>
    <w:rsid w:val="6DE830E0"/>
    <w:rsid w:val="6DE852DE"/>
    <w:rsid w:val="6DE8785D"/>
    <w:rsid w:val="6DE92D60"/>
    <w:rsid w:val="6DE9541A"/>
    <w:rsid w:val="6DEA07E1"/>
    <w:rsid w:val="6DEA5DF4"/>
    <w:rsid w:val="6DEA65E3"/>
    <w:rsid w:val="6DEB4065"/>
    <w:rsid w:val="6DEB6993"/>
    <w:rsid w:val="6DEC1AE6"/>
    <w:rsid w:val="6DED1766"/>
    <w:rsid w:val="6DED7568"/>
    <w:rsid w:val="6DEE0AAA"/>
    <w:rsid w:val="6DEE71E8"/>
    <w:rsid w:val="6DEF114A"/>
    <w:rsid w:val="6DEF4C69"/>
    <w:rsid w:val="6DF004EC"/>
    <w:rsid w:val="6DF139EF"/>
    <w:rsid w:val="6DF206A9"/>
    <w:rsid w:val="6DF21471"/>
    <w:rsid w:val="6DF2413B"/>
    <w:rsid w:val="6DF36EF3"/>
    <w:rsid w:val="6DF456B4"/>
    <w:rsid w:val="6DF45878"/>
    <w:rsid w:val="6DF46D05"/>
    <w:rsid w:val="6DF56417"/>
    <w:rsid w:val="6DF645F4"/>
    <w:rsid w:val="6DF72075"/>
    <w:rsid w:val="6DF758F9"/>
    <w:rsid w:val="6DF80F7B"/>
    <w:rsid w:val="6DF83A97"/>
    <w:rsid w:val="6DF90DFC"/>
    <w:rsid w:val="6DFA18E3"/>
    <w:rsid w:val="6DFA1AA7"/>
    <w:rsid w:val="6DFA687D"/>
    <w:rsid w:val="6DFB3020"/>
    <w:rsid w:val="6DFC1D81"/>
    <w:rsid w:val="6DFD3F7F"/>
    <w:rsid w:val="6DFD7802"/>
    <w:rsid w:val="6DFE1A00"/>
    <w:rsid w:val="6DFE3277"/>
    <w:rsid w:val="6DFE5284"/>
    <w:rsid w:val="6DFF5CD6"/>
    <w:rsid w:val="6E000787"/>
    <w:rsid w:val="6E002985"/>
    <w:rsid w:val="6E010407"/>
    <w:rsid w:val="6E027DEE"/>
    <w:rsid w:val="6E030604"/>
    <w:rsid w:val="6E03170B"/>
    <w:rsid w:val="6E036D5A"/>
    <w:rsid w:val="6E056E0D"/>
    <w:rsid w:val="6E062690"/>
    <w:rsid w:val="6E06488E"/>
    <w:rsid w:val="6E070112"/>
    <w:rsid w:val="6E072310"/>
    <w:rsid w:val="6E087D91"/>
    <w:rsid w:val="6E091096"/>
    <w:rsid w:val="6E0950DD"/>
    <w:rsid w:val="6E095596"/>
    <w:rsid w:val="6E0A3294"/>
    <w:rsid w:val="6E0A5F70"/>
    <w:rsid w:val="6E0A6B18"/>
    <w:rsid w:val="6E0B0D16"/>
    <w:rsid w:val="6E0B4599"/>
    <w:rsid w:val="6E0C201B"/>
    <w:rsid w:val="6E0C76AD"/>
    <w:rsid w:val="6E0D4219"/>
    <w:rsid w:val="6E0E1C9B"/>
    <w:rsid w:val="6E0E551E"/>
    <w:rsid w:val="6E0F2F9F"/>
    <w:rsid w:val="6E0F52F8"/>
    <w:rsid w:val="6E0F771C"/>
    <w:rsid w:val="6E10519E"/>
    <w:rsid w:val="6E112C1F"/>
    <w:rsid w:val="6E1164A3"/>
    <w:rsid w:val="6E136122"/>
    <w:rsid w:val="6E147427"/>
    <w:rsid w:val="6E155830"/>
    <w:rsid w:val="6E16292A"/>
    <w:rsid w:val="6E1663CE"/>
    <w:rsid w:val="6E173FF3"/>
    <w:rsid w:val="6E1A1331"/>
    <w:rsid w:val="6E1B2439"/>
    <w:rsid w:val="6E1B25FD"/>
    <w:rsid w:val="6E1B6DB2"/>
    <w:rsid w:val="6E1E69BD"/>
    <w:rsid w:val="6E1E7093"/>
    <w:rsid w:val="6E1E7D37"/>
    <w:rsid w:val="6E1F57B8"/>
    <w:rsid w:val="6E1F5C10"/>
    <w:rsid w:val="6E1F6131"/>
    <w:rsid w:val="6E20323A"/>
    <w:rsid w:val="6E216668"/>
    <w:rsid w:val="6E21673D"/>
    <w:rsid w:val="6E227042"/>
    <w:rsid w:val="6E231C40"/>
    <w:rsid w:val="6E240780"/>
    <w:rsid w:val="6E241BF1"/>
    <w:rsid w:val="6E255143"/>
    <w:rsid w:val="6E262897"/>
    <w:rsid w:val="6E262BC5"/>
    <w:rsid w:val="6E286C5B"/>
    <w:rsid w:val="6E291739"/>
    <w:rsid w:val="6E293B49"/>
    <w:rsid w:val="6E2949AF"/>
    <w:rsid w:val="6E2A554D"/>
    <w:rsid w:val="6E2C1505"/>
    <w:rsid w:val="6E2D2550"/>
    <w:rsid w:val="6E2D5DD3"/>
    <w:rsid w:val="6E2E3854"/>
    <w:rsid w:val="6E2E7FD1"/>
    <w:rsid w:val="6E2F0A19"/>
    <w:rsid w:val="6E2F12D6"/>
    <w:rsid w:val="6E2F5A53"/>
    <w:rsid w:val="6E3034D4"/>
    <w:rsid w:val="6E3147D9"/>
    <w:rsid w:val="6E32225B"/>
    <w:rsid w:val="6E322CF5"/>
    <w:rsid w:val="6E33426E"/>
    <w:rsid w:val="6E337CDC"/>
    <w:rsid w:val="6E3603E6"/>
    <w:rsid w:val="6E360C61"/>
    <w:rsid w:val="6E365B71"/>
    <w:rsid w:val="6E372E5F"/>
    <w:rsid w:val="6E376D60"/>
    <w:rsid w:val="6E3808E1"/>
    <w:rsid w:val="6E384164"/>
    <w:rsid w:val="6E3902D9"/>
    <w:rsid w:val="6E393DE4"/>
    <w:rsid w:val="6E3A1865"/>
    <w:rsid w:val="6E3A7667"/>
    <w:rsid w:val="6E3B1A16"/>
    <w:rsid w:val="6E3B360C"/>
    <w:rsid w:val="6E3B50E8"/>
    <w:rsid w:val="6E3C26AA"/>
    <w:rsid w:val="6E3C2B6A"/>
    <w:rsid w:val="6E3C2BCA"/>
    <w:rsid w:val="6E3D05EC"/>
    <w:rsid w:val="6E3D27EA"/>
    <w:rsid w:val="6E3E3B2E"/>
    <w:rsid w:val="6E3F4508"/>
    <w:rsid w:val="6E40376F"/>
    <w:rsid w:val="6E4111F0"/>
    <w:rsid w:val="6E424E4A"/>
    <w:rsid w:val="6E426C72"/>
    <w:rsid w:val="6E437F76"/>
    <w:rsid w:val="6E4512D6"/>
    <w:rsid w:val="6E45347A"/>
    <w:rsid w:val="6E457BF6"/>
    <w:rsid w:val="6E460EFB"/>
    <w:rsid w:val="6E465678"/>
    <w:rsid w:val="6E480B7B"/>
    <w:rsid w:val="6E4831CC"/>
    <w:rsid w:val="6E483229"/>
    <w:rsid w:val="6E491E80"/>
    <w:rsid w:val="6E4965FC"/>
    <w:rsid w:val="6E4A407E"/>
    <w:rsid w:val="6E4A53A7"/>
    <w:rsid w:val="6E4A5DE9"/>
    <w:rsid w:val="6E4B1B00"/>
    <w:rsid w:val="6E4B5383"/>
    <w:rsid w:val="6E4C2A0A"/>
    <w:rsid w:val="6E4C2E04"/>
    <w:rsid w:val="6E4D6055"/>
    <w:rsid w:val="6E4D6EE2"/>
    <w:rsid w:val="6E4E2A84"/>
    <w:rsid w:val="6E4F3D89"/>
    <w:rsid w:val="6E4F40BD"/>
    <w:rsid w:val="6E51148A"/>
    <w:rsid w:val="6E514CED"/>
    <w:rsid w:val="6E526F0C"/>
    <w:rsid w:val="6E53278F"/>
    <w:rsid w:val="6E53323C"/>
    <w:rsid w:val="6E53498E"/>
    <w:rsid w:val="6E540211"/>
    <w:rsid w:val="6E555C92"/>
    <w:rsid w:val="6E563714"/>
    <w:rsid w:val="6E565963"/>
    <w:rsid w:val="6E573394"/>
    <w:rsid w:val="6E580E15"/>
    <w:rsid w:val="6E584699"/>
    <w:rsid w:val="6E586C17"/>
    <w:rsid w:val="6E586EDC"/>
    <w:rsid w:val="6E5978B6"/>
    <w:rsid w:val="6E5A4318"/>
    <w:rsid w:val="6E5A7B9C"/>
    <w:rsid w:val="6E5B0E2F"/>
    <w:rsid w:val="6E5B1D9A"/>
    <w:rsid w:val="6E5C256C"/>
    <w:rsid w:val="6E5C309F"/>
    <w:rsid w:val="6E5C781B"/>
    <w:rsid w:val="6E5D0B20"/>
    <w:rsid w:val="6E5D2F46"/>
    <w:rsid w:val="6E5D529D"/>
    <w:rsid w:val="6E5E2D1F"/>
    <w:rsid w:val="6E5E3AE5"/>
    <w:rsid w:val="6E601AA5"/>
    <w:rsid w:val="6E615BFD"/>
    <w:rsid w:val="6E616BF4"/>
    <w:rsid w:val="6E617526"/>
    <w:rsid w:val="6E624FA8"/>
    <w:rsid w:val="6E632A2A"/>
    <w:rsid w:val="6E6371A6"/>
    <w:rsid w:val="6E6404AB"/>
    <w:rsid w:val="6E644C28"/>
    <w:rsid w:val="6E647D53"/>
    <w:rsid w:val="6E6526A9"/>
    <w:rsid w:val="6E66012B"/>
    <w:rsid w:val="6E6639AE"/>
    <w:rsid w:val="6E671430"/>
    <w:rsid w:val="6E672BEE"/>
    <w:rsid w:val="6E67773D"/>
    <w:rsid w:val="6E684B6A"/>
    <w:rsid w:val="6E6910B0"/>
    <w:rsid w:val="6E694933"/>
    <w:rsid w:val="6E696B31"/>
    <w:rsid w:val="6E6A23B4"/>
    <w:rsid w:val="6E6A45B3"/>
    <w:rsid w:val="6E6B2034"/>
    <w:rsid w:val="6E6B7E36"/>
    <w:rsid w:val="6E6C58B8"/>
    <w:rsid w:val="6E6C7AB6"/>
    <w:rsid w:val="6E6D5537"/>
    <w:rsid w:val="6E6D6A35"/>
    <w:rsid w:val="6E6E2FB9"/>
    <w:rsid w:val="6E6F0A3A"/>
    <w:rsid w:val="6E7064BC"/>
    <w:rsid w:val="6E7219BF"/>
    <w:rsid w:val="6E725242"/>
    <w:rsid w:val="6E732C64"/>
    <w:rsid w:val="6E732CC4"/>
    <w:rsid w:val="6E737441"/>
    <w:rsid w:val="6E744EC2"/>
    <w:rsid w:val="6E754EAA"/>
    <w:rsid w:val="6E7561C7"/>
    <w:rsid w:val="6E7603C5"/>
    <w:rsid w:val="6E7640FD"/>
    <w:rsid w:val="6E76461E"/>
    <w:rsid w:val="6E764D7C"/>
    <w:rsid w:val="6E7716CA"/>
    <w:rsid w:val="6E786E93"/>
    <w:rsid w:val="6E79134A"/>
    <w:rsid w:val="6E797A32"/>
    <w:rsid w:val="6E7B00D0"/>
    <w:rsid w:val="6E7B0DE6"/>
    <w:rsid w:val="6E7B0FAB"/>
    <w:rsid w:val="6E7C1985"/>
    <w:rsid w:val="6E7C1B49"/>
    <w:rsid w:val="6E7E1055"/>
    <w:rsid w:val="6E7F3A9C"/>
    <w:rsid w:val="6E7F5FAD"/>
    <w:rsid w:val="6E804558"/>
    <w:rsid w:val="6E810366"/>
    <w:rsid w:val="6E815015"/>
    <w:rsid w:val="6E825BB4"/>
    <w:rsid w:val="6E827A5B"/>
    <w:rsid w:val="6E842F5E"/>
    <w:rsid w:val="6E846BDC"/>
    <w:rsid w:val="6E84712D"/>
    <w:rsid w:val="6E8474D1"/>
    <w:rsid w:val="6E847687"/>
    <w:rsid w:val="6E8509E0"/>
    <w:rsid w:val="6E855CE3"/>
    <w:rsid w:val="6E857CCC"/>
    <w:rsid w:val="6E873EE3"/>
    <w:rsid w:val="6E881964"/>
    <w:rsid w:val="6E882982"/>
    <w:rsid w:val="6E8973E6"/>
    <w:rsid w:val="6E8A3EFB"/>
    <w:rsid w:val="6E8C5638"/>
    <w:rsid w:val="6E90012A"/>
    <w:rsid w:val="6E9047F2"/>
    <w:rsid w:val="6E912274"/>
    <w:rsid w:val="6E922241"/>
    <w:rsid w:val="6E927CF6"/>
    <w:rsid w:val="6E9309E1"/>
    <w:rsid w:val="6E930FFA"/>
    <w:rsid w:val="6E93126D"/>
    <w:rsid w:val="6E9431F9"/>
    <w:rsid w:val="6E946A7C"/>
    <w:rsid w:val="6E950C7A"/>
    <w:rsid w:val="6E9544FD"/>
    <w:rsid w:val="6E961F7F"/>
    <w:rsid w:val="6E97417D"/>
    <w:rsid w:val="6E977A01"/>
    <w:rsid w:val="6E981BFF"/>
    <w:rsid w:val="6E985482"/>
    <w:rsid w:val="6E992F04"/>
    <w:rsid w:val="6E997680"/>
    <w:rsid w:val="6E9A0985"/>
    <w:rsid w:val="6E9A5102"/>
    <w:rsid w:val="6E9A7825"/>
    <w:rsid w:val="6E9B6407"/>
    <w:rsid w:val="6E9C0F62"/>
    <w:rsid w:val="6E9C3E88"/>
    <w:rsid w:val="6E9E3B08"/>
    <w:rsid w:val="6E9E738B"/>
    <w:rsid w:val="6E9F4E0D"/>
    <w:rsid w:val="6EA03A54"/>
    <w:rsid w:val="6EA047B7"/>
    <w:rsid w:val="6EA0700B"/>
    <w:rsid w:val="6EA1250E"/>
    <w:rsid w:val="6EA145F3"/>
    <w:rsid w:val="6EA14A8D"/>
    <w:rsid w:val="6EA24FCD"/>
    <w:rsid w:val="6EA25D92"/>
    <w:rsid w:val="6EA27F90"/>
    <w:rsid w:val="6EA35A11"/>
    <w:rsid w:val="6EA470E4"/>
    <w:rsid w:val="6EA50F15"/>
    <w:rsid w:val="6EA64798"/>
    <w:rsid w:val="6EA66996"/>
    <w:rsid w:val="6EA711FC"/>
    <w:rsid w:val="6EA72219"/>
    <w:rsid w:val="6EAA0C20"/>
    <w:rsid w:val="6EAB2E1E"/>
    <w:rsid w:val="6EAC4123"/>
    <w:rsid w:val="6EAD1BA4"/>
    <w:rsid w:val="6EAD6321"/>
    <w:rsid w:val="6EAE7626"/>
    <w:rsid w:val="6EAF1824"/>
    <w:rsid w:val="6EAF6592"/>
    <w:rsid w:val="6EAF69A4"/>
    <w:rsid w:val="6EAF6E1E"/>
    <w:rsid w:val="6EB02B29"/>
    <w:rsid w:val="6EB05B51"/>
    <w:rsid w:val="6EB05D06"/>
    <w:rsid w:val="6EB072A6"/>
    <w:rsid w:val="6EB2602C"/>
    <w:rsid w:val="6EB321F9"/>
    <w:rsid w:val="6EB53936"/>
    <w:rsid w:val="6EB563D5"/>
    <w:rsid w:val="6EB56FB1"/>
    <w:rsid w:val="6EB64A32"/>
    <w:rsid w:val="6EB7091F"/>
    <w:rsid w:val="6EB76C30"/>
    <w:rsid w:val="6EB92134"/>
    <w:rsid w:val="6EB97BB5"/>
    <w:rsid w:val="6EBA6FC6"/>
    <w:rsid w:val="6EBB0EBA"/>
    <w:rsid w:val="6EBB30B8"/>
    <w:rsid w:val="6EBC693B"/>
    <w:rsid w:val="6EBD1966"/>
    <w:rsid w:val="6EBD65BB"/>
    <w:rsid w:val="6EBE0178"/>
    <w:rsid w:val="6EBE1E3F"/>
    <w:rsid w:val="6EBE2859"/>
    <w:rsid w:val="6EBF1ABE"/>
    <w:rsid w:val="6EC07060"/>
    <w:rsid w:val="6EC262C6"/>
    <w:rsid w:val="6EC304C5"/>
    <w:rsid w:val="6EC35B23"/>
    <w:rsid w:val="6EC35CE7"/>
    <w:rsid w:val="6EC417C9"/>
    <w:rsid w:val="6EC45F46"/>
    <w:rsid w:val="6EC539C8"/>
    <w:rsid w:val="6EC5724B"/>
    <w:rsid w:val="6EC61449"/>
    <w:rsid w:val="6EC64CCC"/>
    <w:rsid w:val="6EC67DFF"/>
    <w:rsid w:val="6EC7099E"/>
    <w:rsid w:val="6EC76ECB"/>
    <w:rsid w:val="6EC801D0"/>
    <w:rsid w:val="6EC923CE"/>
    <w:rsid w:val="6EC94415"/>
    <w:rsid w:val="6ECA28F1"/>
    <w:rsid w:val="6ECA36D3"/>
    <w:rsid w:val="6ECA7E4F"/>
    <w:rsid w:val="6ECB1154"/>
    <w:rsid w:val="6ECB402E"/>
    <w:rsid w:val="6ECC2E76"/>
    <w:rsid w:val="6ECC3352"/>
    <w:rsid w:val="6ECC3702"/>
    <w:rsid w:val="6ECD55A7"/>
    <w:rsid w:val="6ECE20D9"/>
    <w:rsid w:val="6ECE6856"/>
    <w:rsid w:val="6ED1305E"/>
    <w:rsid w:val="6ED20C37"/>
    <w:rsid w:val="6ED22CDD"/>
    <w:rsid w:val="6ED24FA9"/>
    <w:rsid w:val="6ED2525C"/>
    <w:rsid w:val="6ED36561"/>
    <w:rsid w:val="6ED421B0"/>
    <w:rsid w:val="6ED461E0"/>
    <w:rsid w:val="6ED51A64"/>
    <w:rsid w:val="6ED52D4F"/>
    <w:rsid w:val="6ED74F67"/>
    <w:rsid w:val="6ED77165"/>
    <w:rsid w:val="6ED829E8"/>
    <w:rsid w:val="6ED84BE7"/>
    <w:rsid w:val="6ED84CA2"/>
    <w:rsid w:val="6ED92668"/>
    <w:rsid w:val="6ED92677"/>
    <w:rsid w:val="6EDA00EA"/>
    <w:rsid w:val="6EDA396D"/>
    <w:rsid w:val="6EDA5EEB"/>
    <w:rsid w:val="6EDB13EF"/>
    <w:rsid w:val="6EDB5B6B"/>
    <w:rsid w:val="6EDD0ED1"/>
    <w:rsid w:val="6EDD106E"/>
    <w:rsid w:val="6EDD3AFA"/>
    <w:rsid w:val="6EDE6AF0"/>
    <w:rsid w:val="6EDF244A"/>
    <w:rsid w:val="6EDF4571"/>
    <w:rsid w:val="6EE35100"/>
    <w:rsid w:val="6EE367FB"/>
    <w:rsid w:val="6EE4427D"/>
    <w:rsid w:val="6EE51CFE"/>
    <w:rsid w:val="6EE67218"/>
    <w:rsid w:val="6EE82C83"/>
    <w:rsid w:val="6EE90351"/>
    <w:rsid w:val="6EE97C7B"/>
    <w:rsid w:val="6EEA2A6C"/>
    <w:rsid w:val="6EEA6186"/>
    <w:rsid w:val="6EEB3C07"/>
    <w:rsid w:val="6EEB67F7"/>
    <w:rsid w:val="6EED710A"/>
    <w:rsid w:val="6EF15B11"/>
    <w:rsid w:val="6EF17676"/>
    <w:rsid w:val="6EF20214"/>
    <w:rsid w:val="6EF23592"/>
    <w:rsid w:val="6EF36A95"/>
    <w:rsid w:val="6EF44517"/>
    <w:rsid w:val="6EF51F98"/>
    <w:rsid w:val="6EF67A1A"/>
    <w:rsid w:val="6EF7549B"/>
    <w:rsid w:val="6EF9099F"/>
    <w:rsid w:val="6EF90FD5"/>
    <w:rsid w:val="6EF91340"/>
    <w:rsid w:val="6EF957F8"/>
    <w:rsid w:val="6EF967A0"/>
    <w:rsid w:val="6EFA1CA3"/>
    <w:rsid w:val="6EFA6397"/>
    <w:rsid w:val="6EFA655B"/>
    <w:rsid w:val="6EFB3EA2"/>
    <w:rsid w:val="6EFB7725"/>
    <w:rsid w:val="6EFC1923"/>
    <w:rsid w:val="6EFC51A7"/>
    <w:rsid w:val="6EFC7910"/>
    <w:rsid w:val="6EFD2C28"/>
    <w:rsid w:val="6EFD73A5"/>
    <w:rsid w:val="6EFE06AA"/>
    <w:rsid w:val="6EFE4E26"/>
    <w:rsid w:val="6EFF1A27"/>
    <w:rsid w:val="6EFF612B"/>
    <w:rsid w:val="6F006616"/>
    <w:rsid w:val="6F013B3F"/>
    <w:rsid w:val="6F015DAB"/>
    <w:rsid w:val="6F02382D"/>
    <w:rsid w:val="6F0270B0"/>
    <w:rsid w:val="6F034B31"/>
    <w:rsid w:val="6F0425B3"/>
    <w:rsid w:val="6F046D30"/>
    <w:rsid w:val="6F050034"/>
    <w:rsid w:val="6F0547B1"/>
    <w:rsid w:val="6F064714"/>
    <w:rsid w:val="6F064FA0"/>
    <w:rsid w:val="6F073538"/>
    <w:rsid w:val="6F080FB9"/>
    <w:rsid w:val="6F0830DB"/>
    <w:rsid w:val="6F083446"/>
    <w:rsid w:val="6F085736"/>
    <w:rsid w:val="6F0912E7"/>
    <w:rsid w:val="6F0931B7"/>
    <w:rsid w:val="6F0A0C39"/>
    <w:rsid w:val="6F0B413C"/>
    <w:rsid w:val="6F0C1BBE"/>
    <w:rsid w:val="6F0C79BF"/>
    <w:rsid w:val="6F0D5441"/>
    <w:rsid w:val="6F0D763F"/>
    <w:rsid w:val="6F0E4B3B"/>
    <w:rsid w:val="6F0E50C1"/>
    <w:rsid w:val="6F0F2B42"/>
    <w:rsid w:val="6F0F60B4"/>
    <w:rsid w:val="6F112E17"/>
    <w:rsid w:val="6F113E47"/>
    <w:rsid w:val="6F116045"/>
    <w:rsid w:val="6F11762D"/>
    <w:rsid w:val="6F1201CC"/>
    <w:rsid w:val="6F1218C9"/>
    <w:rsid w:val="6F123AC7"/>
    <w:rsid w:val="6F12734A"/>
    <w:rsid w:val="6F134DCC"/>
    <w:rsid w:val="6F141745"/>
    <w:rsid w:val="6F146FCA"/>
    <w:rsid w:val="6F15211F"/>
    <w:rsid w:val="6F162CBE"/>
    <w:rsid w:val="6F165D50"/>
    <w:rsid w:val="6F173698"/>
    <w:rsid w:val="6F1737D2"/>
    <w:rsid w:val="6F17385C"/>
    <w:rsid w:val="6F177F4F"/>
    <w:rsid w:val="6F181253"/>
    <w:rsid w:val="6F1859D0"/>
    <w:rsid w:val="6F196CD5"/>
    <w:rsid w:val="6F1A0ED3"/>
    <w:rsid w:val="6F1A4757"/>
    <w:rsid w:val="6F1B6513"/>
    <w:rsid w:val="6F1B6955"/>
    <w:rsid w:val="6F1C43D6"/>
    <w:rsid w:val="6F1C7C5A"/>
    <w:rsid w:val="6F1D1E58"/>
    <w:rsid w:val="6F1E315D"/>
    <w:rsid w:val="6F1E78D9"/>
    <w:rsid w:val="6F1F535B"/>
    <w:rsid w:val="6F20257D"/>
    <w:rsid w:val="6F202DDD"/>
    <w:rsid w:val="6F206660"/>
    <w:rsid w:val="6F212F57"/>
    <w:rsid w:val="6F21311C"/>
    <w:rsid w:val="6F2140E1"/>
    <w:rsid w:val="6F221B63"/>
    <w:rsid w:val="6F225983"/>
    <w:rsid w:val="6F2262E0"/>
    <w:rsid w:val="6F2317E3"/>
    <w:rsid w:val="6F231A39"/>
    <w:rsid w:val="6F2375E4"/>
    <w:rsid w:val="6F245233"/>
    <w:rsid w:val="6F247264"/>
    <w:rsid w:val="6F252AE8"/>
    <w:rsid w:val="6F254CE6"/>
    <w:rsid w:val="6F275FEB"/>
    <w:rsid w:val="6F277186"/>
    <w:rsid w:val="6F285C6B"/>
    <w:rsid w:val="6F287D25"/>
    <w:rsid w:val="6F287EEA"/>
    <w:rsid w:val="6F2914EE"/>
    <w:rsid w:val="6F2A49F1"/>
    <w:rsid w:val="6F2B6BEF"/>
    <w:rsid w:val="6F2C4671"/>
    <w:rsid w:val="6F2D20F2"/>
    <w:rsid w:val="6F2D5976"/>
    <w:rsid w:val="6F2E33F7"/>
    <w:rsid w:val="6F2E492E"/>
    <w:rsid w:val="6F2E7B74"/>
    <w:rsid w:val="6F2F0E79"/>
    <w:rsid w:val="6F2F55F5"/>
    <w:rsid w:val="6F3068FA"/>
    <w:rsid w:val="6F314061"/>
    <w:rsid w:val="6F321DFD"/>
    <w:rsid w:val="6F3237D5"/>
    <w:rsid w:val="6F323B40"/>
    <w:rsid w:val="6F333FFC"/>
    <w:rsid w:val="6F340B5E"/>
    <w:rsid w:val="6F34285A"/>
    <w:rsid w:val="6F352D82"/>
    <w:rsid w:val="6F3574FF"/>
    <w:rsid w:val="6F360803"/>
    <w:rsid w:val="6F3620D6"/>
    <w:rsid w:val="6F364F80"/>
    <w:rsid w:val="6F376285"/>
    <w:rsid w:val="6F380483"/>
    <w:rsid w:val="6F391788"/>
    <w:rsid w:val="6F394F51"/>
    <w:rsid w:val="6F395F05"/>
    <w:rsid w:val="6F3A1408"/>
    <w:rsid w:val="6F3A3986"/>
    <w:rsid w:val="6F3B6E8A"/>
    <w:rsid w:val="6F3C270D"/>
    <w:rsid w:val="6F3D018E"/>
    <w:rsid w:val="6F3D238D"/>
    <w:rsid w:val="6F3E041D"/>
    <w:rsid w:val="6F3E5C10"/>
    <w:rsid w:val="6F3F3691"/>
    <w:rsid w:val="6F3F5890"/>
    <w:rsid w:val="6F401113"/>
    <w:rsid w:val="6F403311"/>
    <w:rsid w:val="6F40683E"/>
    <w:rsid w:val="6F414E9A"/>
    <w:rsid w:val="6F416B95"/>
    <w:rsid w:val="6F422098"/>
    <w:rsid w:val="6F424616"/>
    <w:rsid w:val="6F426814"/>
    <w:rsid w:val="6F434296"/>
    <w:rsid w:val="6F437B19"/>
    <w:rsid w:val="6F441D17"/>
    <w:rsid w:val="6F44464C"/>
    <w:rsid w:val="6F44559B"/>
    <w:rsid w:val="6F455D89"/>
    <w:rsid w:val="6F457799"/>
    <w:rsid w:val="6F460A9E"/>
    <w:rsid w:val="6F465BC5"/>
    <w:rsid w:val="6F47651F"/>
    <w:rsid w:val="6F483FA1"/>
    <w:rsid w:val="6F485C3A"/>
    <w:rsid w:val="6F487CDD"/>
    <w:rsid w:val="6F491A22"/>
    <w:rsid w:val="6F4A74A4"/>
    <w:rsid w:val="6F4B1DF4"/>
    <w:rsid w:val="6F4B1FB9"/>
    <w:rsid w:val="6F4B4F26"/>
    <w:rsid w:val="6F4C29A7"/>
    <w:rsid w:val="6F4D336D"/>
    <w:rsid w:val="6F4D3531"/>
    <w:rsid w:val="6F4E5EAA"/>
    <w:rsid w:val="6F4F392C"/>
    <w:rsid w:val="6F4F4AAA"/>
    <w:rsid w:val="6F5013AD"/>
    <w:rsid w:val="6F505649"/>
    <w:rsid w:val="6F516023"/>
    <w:rsid w:val="6F5161E8"/>
    <w:rsid w:val="6F5248B0"/>
    <w:rsid w:val="6F526BC2"/>
    <w:rsid w:val="6F532332"/>
    <w:rsid w:val="6F54013B"/>
    <w:rsid w:val="6F540CD9"/>
    <w:rsid w:val="6F547DB4"/>
    <w:rsid w:val="6F5516B4"/>
    <w:rsid w:val="6F555835"/>
    <w:rsid w:val="6F570D38"/>
    <w:rsid w:val="6F583990"/>
    <w:rsid w:val="6F5867BA"/>
    <w:rsid w:val="6F59423B"/>
    <w:rsid w:val="6F5A0461"/>
    <w:rsid w:val="6F5A1CBD"/>
    <w:rsid w:val="6F5A4F08"/>
    <w:rsid w:val="6F5B5AA7"/>
    <w:rsid w:val="6F5C62BD"/>
    <w:rsid w:val="6F5D6E5C"/>
    <w:rsid w:val="6F5D7020"/>
    <w:rsid w:val="6F5E6145"/>
    <w:rsid w:val="6F5F19C8"/>
    <w:rsid w:val="6F611B12"/>
    <w:rsid w:val="6F6126B0"/>
    <w:rsid w:val="6F614ECB"/>
    <w:rsid w:val="6F62294C"/>
    <w:rsid w:val="6F624B4B"/>
    <w:rsid w:val="6F6325CC"/>
    <w:rsid w:val="6F64004E"/>
    <w:rsid w:val="6F6438D1"/>
    <w:rsid w:val="6F644604"/>
    <w:rsid w:val="6F663551"/>
    <w:rsid w:val="6F66605F"/>
    <w:rsid w:val="6F670FD3"/>
    <w:rsid w:val="6F674856"/>
    <w:rsid w:val="6F6768E0"/>
    <w:rsid w:val="6F6944D6"/>
    <w:rsid w:val="6F6A0833"/>
    <w:rsid w:val="6F6A57DA"/>
    <w:rsid w:val="6F6B325C"/>
    <w:rsid w:val="6F6B79D9"/>
    <w:rsid w:val="6F6C0CDE"/>
    <w:rsid w:val="6F6C1F70"/>
    <w:rsid w:val="6F6C5073"/>
    <w:rsid w:val="6F6D2B0F"/>
    <w:rsid w:val="6F6D2EDC"/>
    <w:rsid w:val="6F6D4110"/>
    <w:rsid w:val="6F6D43E1"/>
    <w:rsid w:val="6F6E41E1"/>
    <w:rsid w:val="6F6F4A62"/>
    <w:rsid w:val="6F6F63DF"/>
    <w:rsid w:val="6F703E60"/>
    <w:rsid w:val="6F7076E4"/>
    <w:rsid w:val="6F7118E2"/>
    <w:rsid w:val="6F715FDB"/>
    <w:rsid w:val="6F71619F"/>
    <w:rsid w:val="6F722B2F"/>
    <w:rsid w:val="6F722BE7"/>
    <w:rsid w:val="6F730668"/>
    <w:rsid w:val="6F732867"/>
    <w:rsid w:val="6F737718"/>
    <w:rsid w:val="6F7402E8"/>
    <w:rsid w:val="6F7460EA"/>
    <w:rsid w:val="6F753B6B"/>
    <w:rsid w:val="6F755D6A"/>
    <w:rsid w:val="6F76166B"/>
    <w:rsid w:val="6F76182F"/>
    <w:rsid w:val="6F7637EB"/>
    <w:rsid w:val="6F77126D"/>
    <w:rsid w:val="6F7731EC"/>
    <w:rsid w:val="6F77706F"/>
    <w:rsid w:val="6F784AF0"/>
    <w:rsid w:val="6F786CEE"/>
    <w:rsid w:val="6F792572"/>
    <w:rsid w:val="6F7A4321"/>
    <w:rsid w:val="6F7A732F"/>
    <w:rsid w:val="6F7A769A"/>
    <w:rsid w:val="6F7A7FF3"/>
    <w:rsid w:val="6F7B34F6"/>
    <w:rsid w:val="6F7B4EC0"/>
    <w:rsid w:val="6F7B5A75"/>
    <w:rsid w:val="6F7C0F78"/>
    <w:rsid w:val="6F7C56F5"/>
    <w:rsid w:val="6F7D3176"/>
    <w:rsid w:val="6F7D69F9"/>
    <w:rsid w:val="6F7E2A99"/>
    <w:rsid w:val="6F8040FB"/>
    <w:rsid w:val="6F80797E"/>
    <w:rsid w:val="6F811B7C"/>
    <w:rsid w:val="6F811C8E"/>
    <w:rsid w:val="6F8275FE"/>
    <w:rsid w:val="6F830903"/>
    <w:rsid w:val="6F83507F"/>
    <w:rsid w:val="6F842B01"/>
    <w:rsid w:val="6F846384"/>
    <w:rsid w:val="6F877309"/>
    <w:rsid w:val="6F880319"/>
    <w:rsid w:val="6F881507"/>
    <w:rsid w:val="6F8821E3"/>
    <w:rsid w:val="6F891436"/>
    <w:rsid w:val="6F891CC2"/>
    <w:rsid w:val="6F896F89"/>
    <w:rsid w:val="6F897436"/>
    <w:rsid w:val="6F8A028E"/>
    <w:rsid w:val="6F8A4A0A"/>
    <w:rsid w:val="6F8B5D0F"/>
    <w:rsid w:val="6F8B7F0D"/>
    <w:rsid w:val="6F8C3791"/>
    <w:rsid w:val="6F8C598F"/>
    <w:rsid w:val="6F8D3411"/>
    <w:rsid w:val="6F8E0E92"/>
    <w:rsid w:val="6F902197"/>
    <w:rsid w:val="6F91664F"/>
    <w:rsid w:val="6F92569A"/>
    <w:rsid w:val="6F930B9D"/>
    <w:rsid w:val="6F93311C"/>
    <w:rsid w:val="6F93531A"/>
    <w:rsid w:val="6F936CF5"/>
    <w:rsid w:val="6F942D9B"/>
    <w:rsid w:val="6F94661F"/>
    <w:rsid w:val="6F9540A0"/>
    <w:rsid w:val="6F955419"/>
    <w:rsid w:val="6F961B22"/>
    <w:rsid w:val="6F96629E"/>
    <w:rsid w:val="6F9717E7"/>
    <w:rsid w:val="6F973D20"/>
    <w:rsid w:val="6F977B45"/>
    <w:rsid w:val="6F9817A2"/>
    <w:rsid w:val="6F9821C1"/>
    <w:rsid w:val="6F982D60"/>
    <w:rsid w:val="6F985025"/>
    <w:rsid w:val="6F992AA6"/>
    <w:rsid w:val="6F992CB0"/>
    <w:rsid w:val="6F997223"/>
    <w:rsid w:val="6F9A0528"/>
    <w:rsid w:val="6F9A1F04"/>
    <w:rsid w:val="6F9A4CA5"/>
    <w:rsid w:val="6F9C01A8"/>
    <w:rsid w:val="6F9C3A2B"/>
    <w:rsid w:val="6F9C5852"/>
    <w:rsid w:val="6F9D14AD"/>
    <w:rsid w:val="6F9D5C29"/>
    <w:rsid w:val="6F9D63F0"/>
    <w:rsid w:val="6F9E36AB"/>
    <w:rsid w:val="6F9E6F8F"/>
    <w:rsid w:val="6F9F49B0"/>
    <w:rsid w:val="6FA02431"/>
    <w:rsid w:val="6FA17EB3"/>
    <w:rsid w:val="6FA21C45"/>
    <w:rsid w:val="6FA220B1"/>
    <w:rsid w:val="6FA25934"/>
    <w:rsid w:val="6FA43036"/>
    <w:rsid w:val="6FA568B9"/>
    <w:rsid w:val="6FA6433B"/>
    <w:rsid w:val="6FA64737"/>
    <w:rsid w:val="6FA66085"/>
    <w:rsid w:val="6FA71DBC"/>
    <w:rsid w:val="6FA73FBA"/>
    <w:rsid w:val="6FA75111"/>
    <w:rsid w:val="6FA81A3C"/>
    <w:rsid w:val="6FA84A4C"/>
    <w:rsid w:val="6FA8684E"/>
    <w:rsid w:val="6FA91648"/>
    <w:rsid w:val="6FA97229"/>
    <w:rsid w:val="6FAB07C2"/>
    <w:rsid w:val="6FAB29C1"/>
    <w:rsid w:val="6FAB6244"/>
    <w:rsid w:val="6FAE71C8"/>
    <w:rsid w:val="6FAF4C4A"/>
    <w:rsid w:val="6FB026CC"/>
    <w:rsid w:val="6FB05B5D"/>
    <w:rsid w:val="6FB1014D"/>
    <w:rsid w:val="6FB25734"/>
    <w:rsid w:val="6FB3610E"/>
    <w:rsid w:val="6FB410D2"/>
    <w:rsid w:val="6FB47687"/>
    <w:rsid w:val="6FB4784B"/>
    <w:rsid w:val="6FB50061"/>
    <w:rsid w:val="6FB57FD6"/>
    <w:rsid w:val="6FB767E8"/>
    <w:rsid w:val="6FB82179"/>
    <w:rsid w:val="6FB87AD8"/>
    <w:rsid w:val="6FBA2FDB"/>
    <w:rsid w:val="6FBA531A"/>
    <w:rsid w:val="6FBB0A5D"/>
    <w:rsid w:val="6FBB4290"/>
    <w:rsid w:val="6FBB4455"/>
    <w:rsid w:val="6FBC4FF3"/>
    <w:rsid w:val="6FC12966"/>
    <w:rsid w:val="6FC203E7"/>
    <w:rsid w:val="6FC35E69"/>
    <w:rsid w:val="6FC42292"/>
    <w:rsid w:val="6FC53B50"/>
    <w:rsid w:val="6FC6486F"/>
    <w:rsid w:val="6FC648B3"/>
    <w:rsid w:val="6FC700F2"/>
    <w:rsid w:val="6FC722F1"/>
    <w:rsid w:val="6FC85B74"/>
    <w:rsid w:val="6FC87D72"/>
    <w:rsid w:val="6FC935F6"/>
    <w:rsid w:val="6FC95729"/>
    <w:rsid w:val="6FC957F4"/>
    <w:rsid w:val="6FCA3275"/>
    <w:rsid w:val="6FCB0CF7"/>
    <w:rsid w:val="6FCB457A"/>
    <w:rsid w:val="6FCB7D7F"/>
    <w:rsid w:val="6FCC1FFC"/>
    <w:rsid w:val="6FCD12F8"/>
    <w:rsid w:val="6FCD14BC"/>
    <w:rsid w:val="6FCD7A7D"/>
    <w:rsid w:val="6FCE54FF"/>
    <w:rsid w:val="6FCF2F80"/>
    <w:rsid w:val="6FCF4CB4"/>
    <w:rsid w:val="6FCF76FD"/>
    <w:rsid w:val="6FD00A02"/>
    <w:rsid w:val="6FD0340F"/>
    <w:rsid w:val="6FD03FAE"/>
    <w:rsid w:val="6FD12C00"/>
    <w:rsid w:val="6FD16484"/>
    <w:rsid w:val="6FD20682"/>
    <w:rsid w:val="6FD23F05"/>
    <w:rsid w:val="6FD24C25"/>
    <w:rsid w:val="6FD31987"/>
    <w:rsid w:val="6FD32C38"/>
    <w:rsid w:val="6FD36103"/>
    <w:rsid w:val="6FD43B85"/>
    <w:rsid w:val="6FD47408"/>
    <w:rsid w:val="6FD54E8A"/>
    <w:rsid w:val="6FD601DD"/>
    <w:rsid w:val="6FD6290B"/>
    <w:rsid w:val="6FD70BB7"/>
    <w:rsid w:val="6FD74B0A"/>
    <w:rsid w:val="6FD81756"/>
    <w:rsid w:val="6FD8258B"/>
    <w:rsid w:val="6FD85E0E"/>
    <w:rsid w:val="6FD93890"/>
    <w:rsid w:val="6FDA5A8E"/>
    <w:rsid w:val="6FDB386D"/>
    <w:rsid w:val="6FDB6D93"/>
    <w:rsid w:val="6FDC0F91"/>
    <w:rsid w:val="6FDC6A13"/>
    <w:rsid w:val="6FDD2296"/>
    <w:rsid w:val="6FDD5985"/>
    <w:rsid w:val="6FDE1F16"/>
    <w:rsid w:val="6FDF5799"/>
    <w:rsid w:val="6FDF7997"/>
    <w:rsid w:val="6FE07C0D"/>
    <w:rsid w:val="6FE10477"/>
    <w:rsid w:val="6FE10C9C"/>
    <w:rsid w:val="6FE12E9B"/>
    <w:rsid w:val="6FE16B76"/>
    <w:rsid w:val="6FE2671E"/>
    <w:rsid w:val="6FE31255"/>
    <w:rsid w:val="6FE3419F"/>
    <w:rsid w:val="6FE4258E"/>
    <w:rsid w:val="6FE42753"/>
    <w:rsid w:val="6FE43E1F"/>
    <w:rsid w:val="6FE55124"/>
    <w:rsid w:val="6FE67322"/>
    <w:rsid w:val="6FE70627"/>
    <w:rsid w:val="6FE82825"/>
    <w:rsid w:val="6FE860A9"/>
    <w:rsid w:val="6FE93B2A"/>
    <w:rsid w:val="6FE95DE3"/>
    <w:rsid w:val="6FEA5D29"/>
    <w:rsid w:val="6FEA6982"/>
    <w:rsid w:val="6FEC122C"/>
    <w:rsid w:val="6FEC4AAF"/>
    <w:rsid w:val="6FED1473"/>
    <w:rsid w:val="6FED2530"/>
    <w:rsid w:val="6FED6CAD"/>
    <w:rsid w:val="6FEE1E4E"/>
    <w:rsid w:val="6FEE472F"/>
    <w:rsid w:val="6FEF21B0"/>
    <w:rsid w:val="6FEF29EC"/>
    <w:rsid w:val="6FEF5A34"/>
    <w:rsid w:val="6FF005A6"/>
    <w:rsid w:val="6FF00E32"/>
    <w:rsid w:val="6FF0119D"/>
    <w:rsid w:val="6FF033C7"/>
    <w:rsid w:val="6FF10F37"/>
    <w:rsid w:val="6FF1412A"/>
    <w:rsid w:val="6FF156B3"/>
    <w:rsid w:val="6FF24B04"/>
    <w:rsid w:val="6FF269B8"/>
    <w:rsid w:val="6FF3443A"/>
    <w:rsid w:val="6FF51B3B"/>
    <w:rsid w:val="6FF5793D"/>
    <w:rsid w:val="6FF675BD"/>
    <w:rsid w:val="6FF675F6"/>
    <w:rsid w:val="6FF72E40"/>
    <w:rsid w:val="6FF7503E"/>
    <w:rsid w:val="6FF808C2"/>
    <w:rsid w:val="6FF818D2"/>
    <w:rsid w:val="6FF82AC0"/>
    <w:rsid w:val="6FF9170D"/>
    <w:rsid w:val="6FFA2C86"/>
    <w:rsid w:val="6FFA3DC5"/>
    <w:rsid w:val="6FFA5FC3"/>
    <w:rsid w:val="6FFB3A44"/>
    <w:rsid w:val="6FFC14C6"/>
    <w:rsid w:val="6FFC4D49"/>
    <w:rsid w:val="6FFC5590"/>
    <w:rsid w:val="6FFC72C8"/>
    <w:rsid w:val="6FFD4F62"/>
    <w:rsid w:val="6FFE024C"/>
    <w:rsid w:val="6FFE5B01"/>
    <w:rsid w:val="6FFF244B"/>
    <w:rsid w:val="6FFF24F7"/>
    <w:rsid w:val="6FFF5CCE"/>
    <w:rsid w:val="6FFF64DB"/>
    <w:rsid w:val="70001FD7"/>
    <w:rsid w:val="70017A54"/>
    <w:rsid w:val="700233CF"/>
    <w:rsid w:val="70026C53"/>
    <w:rsid w:val="70030E51"/>
    <w:rsid w:val="700346D4"/>
    <w:rsid w:val="70042156"/>
    <w:rsid w:val="70052546"/>
    <w:rsid w:val="70061DD5"/>
    <w:rsid w:val="70077857"/>
    <w:rsid w:val="700852D9"/>
    <w:rsid w:val="700853C0"/>
    <w:rsid w:val="70092D5A"/>
    <w:rsid w:val="700965DD"/>
    <w:rsid w:val="700A07DC"/>
    <w:rsid w:val="700A6775"/>
    <w:rsid w:val="700B1AE0"/>
    <w:rsid w:val="700B51B0"/>
    <w:rsid w:val="700B7313"/>
    <w:rsid w:val="700C1760"/>
    <w:rsid w:val="700C3CDF"/>
    <w:rsid w:val="700C6B99"/>
    <w:rsid w:val="700C7562"/>
    <w:rsid w:val="700E142B"/>
    <w:rsid w:val="700E2A65"/>
    <w:rsid w:val="700E4C63"/>
    <w:rsid w:val="700F04E7"/>
    <w:rsid w:val="700F1FCA"/>
    <w:rsid w:val="700F26E5"/>
    <w:rsid w:val="70100167"/>
    <w:rsid w:val="70105F68"/>
    <w:rsid w:val="7012146B"/>
    <w:rsid w:val="701240E1"/>
    <w:rsid w:val="70136EED"/>
    <w:rsid w:val="701423F0"/>
    <w:rsid w:val="701461F9"/>
    <w:rsid w:val="70157E72"/>
    <w:rsid w:val="70173375"/>
    <w:rsid w:val="70180DF6"/>
    <w:rsid w:val="70191889"/>
    <w:rsid w:val="70196878"/>
    <w:rsid w:val="701A100B"/>
    <w:rsid w:val="701A42F9"/>
    <w:rsid w:val="701C6DDB"/>
    <w:rsid w:val="701C77FC"/>
    <w:rsid w:val="701E4F19"/>
    <w:rsid w:val="701F0781"/>
    <w:rsid w:val="70206492"/>
    <w:rsid w:val="70206657"/>
    <w:rsid w:val="70221706"/>
    <w:rsid w:val="70231EBB"/>
    <w:rsid w:val="70244C09"/>
    <w:rsid w:val="70275B8D"/>
    <w:rsid w:val="7028360F"/>
    <w:rsid w:val="70291091"/>
    <w:rsid w:val="7029347D"/>
    <w:rsid w:val="702A1C8F"/>
    <w:rsid w:val="702A6B12"/>
    <w:rsid w:val="702B7E17"/>
    <w:rsid w:val="702C5898"/>
    <w:rsid w:val="702C72CB"/>
    <w:rsid w:val="702C748F"/>
    <w:rsid w:val="702C7A97"/>
    <w:rsid w:val="702E0D9C"/>
    <w:rsid w:val="702F0A1B"/>
    <w:rsid w:val="702F13E2"/>
    <w:rsid w:val="702F681D"/>
    <w:rsid w:val="70301F1E"/>
    <w:rsid w:val="70311D20"/>
    <w:rsid w:val="70324670"/>
    <w:rsid w:val="703277A2"/>
    <w:rsid w:val="70330580"/>
    <w:rsid w:val="70334C37"/>
    <w:rsid w:val="70335223"/>
    <w:rsid w:val="70342CA5"/>
    <w:rsid w:val="70344EA3"/>
    <w:rsid w:val="70352925"/>
    <w:rsid w:val="70355FEC"/>
    <w:rsid w:val="703561B0"/>
    <w:rsid w:val="70375E28"/>
    <w:rsid w:val="7039132B"/>
    <w:rsid w:val="703B482E"/>
    <w:rsid w:val="703C22B0"/>
    <w:rsid w:val="703C2F7E"/>
    <w:rsid w:val="703C5B33"/>
    <w:rsid w:val="703D35B4"/>
    <w:rsid w:val="703D3958"/>
    <w:rsid w:val="703D7D31"/>
    <w:rsid w:val="703E1036"/>
    <w:rsid w:val="703E4ED1"/>
    <w:rsid w:val="703E57B3"/>
    <w:rsid w:val="703F3234"/>
    <w:rsid w:val="703F6AB7"/>
    <w:rsid w:val="7040660E"/>
    <w:rsid w:val="704241B9"/>
    <w:rsid w:val="70431C3A"/>
    <w:rsid w:val="70442F3F"/>
    <w:rsid w:val="704476BC"/>
    <w:rsid w:val="704509C1"/>
    <w:rsid w:val="70452BBF"/>
    <w:rsid w:val="704600CC"/>
    <w:rsid w:val="70460641"/>
    <w:rsid w:val="70466442"/>
    <w:rsid w:val="70473EC4"/>
    <w:rsid w:val="704760C2"/>
    <w:rsid w:val="70483B44"/>
    <w:rsid w:val="70486572"/>
    <w:rsid w:val="704973C7"/>
    <w:rsid w:val="704A4E48"/>
    <w:rsid w:val="704A532F"/>
    <w:rsid w:val="704A5ECE"/>
    <w:rsid w:val="704A7047"/>
    <w:rsid w:val="704B28CA"/>
    <w:rsid w:val="704B4AC8"/>
    <w:rsid w:val="704C034C"/>
    <w:rsid w:val="704C254A"/>
    <w:rsid w:val="704C6791"/>
    <w:rsid w:val="704D384F"/>
    <w:rsid w:val="704D4B8F"/>
    <w:rsid w:val="704D5DCD"/>
    <w:rsid w:val="704D7E21"/>
    <w:rsid w:val="704D7FCB"/>
    <w:rsid w:val="704D7FE5"/>
    <w:rsid w:val="70501F38"/>
    <w:rsid w:val="705169D2"/>
    <w:rsid w:val="70523676"/>
    <w:rsid w:val="70524453"/>
    <w:rsid w:val="70527CD6"/>
    <w:rsid w:val="70534050"/>
    <w:rsid w:val="70534214"/>
    <w:rsid w:val="70544A2A"/>
    <w:rsid w:val="70544BEF"/>
    <w:rsid w:val="70547956"/>
    <w:rsid w:val="70550C5B"/>
    <w:rsid w:val="70560D4F"/>
    <w:rsid w:val="70562E59"/>
    <w:rsid w:val="70565D8E"/>
    <w:rsid w:val="705708DB"/>
    <w:rsid w:val="7057415E"/>
    <w:rsid w:val="70576B42"/>
    <w:rsid w:val="70576D06"/>
    <w:rsid w:val="70577FA3"/>
    <w:rsid w:val="7058027F"/>
    <w:rsid w:val="7058635C"/>
    <w:rsid w:val="705878A5"/>
    <w:rsid w:val="705A1860"/>
    <w:rsid w:val="705A19BC"/>
    <w:rsid w:val="705A50E3"/>
    <w:rsid w:val="705B2B64"/>
    <w:rsid w:val="705B72E1"/>
    <w:rsid w:val="705C2F35"/>
    <w:rsid w:val="705C4D63"/>
    <w:rsid w:val="705D27E4"/>
    <w:rsid w:val="705F504D"/>
    <w:rsid w:val="706011EA"/>
    <w:rsid w:val="70606FEC"/>
    <w:rsid w:val="706165C6"/>
    <w:rsid w:val="70616C6C"/>
    <w:rsid w:val="706224EF"/>
    <w:rsid w:val="706246EE"/>
    <w:rsid w:val="70637B3F"/>
    <w:rsid w:val="706436E2"/>
    <w:rsid w:val="70643898"/>
    <w:rsid w:val="706459F2"/>
    <w:rsid w:val="70650EF5"/>
    <w:rsid w:val="7065127C"/>
    <w:rsid w:val="70652780"/>
    <w:rsid w:val="70655672"/>
    <w:rsid w:val="706731CF"/>
    <w:rsid w:val="70681E7A"/>
    <w:rsid w:val="70694078"/>
    <w:rsid w:val="70694748"/>
    <w:rsid w:val="706A1AFA"/>
    <w:rsid w:val="706A537D"/>
    <w:rsid w:val="706B2DFF"/>
    <w:rsid w:val="706B757B"/>
    <w:rsid w:val="706C685F"/>
    <w:rsid w:val="706C6A24"/>
    <w:rsid w:val="706D1DD0"/>
    <w:rsid w:val="706D2A7F"/>
    <w:rsid w:val="706D6302"/>
    <w:rsid w:val="706E3D83"/>
    <w:rsid w:val="706F0977"/>
    <w:rsid w:val="706F5F82"/>
    <w:rsid w:val="70703A03"/>
    <w:rsid w:val="70707286"/>
    <w:rsid w:val="7072278A"/>
    <w:rsid w:val="70733469"/>
    <w:rsid w:val="70734988"/>
    <w:rsid w:val="70744BA6"/>
    <w:rsid w:val="7075370E"/>
    <w:rsid w:val="7076338E"/>
    <w:rsid w:val="70770E10"/>
    <w:rsid w:val="70776C11"/>
    <w:rsid w:val="70787698"/>
    <w:rsid w:val="70790236"/>
    <w:rsid w:val="70792114"/>
    <w:rsid w:val="707B1384"/>
    <w:rsid w:val="707B5618"/>
    <w:rsid w:val="707C3099"/>
    <w:rsid w:val="707D0B1B"/>
    <w:rsid w:val="707E38C7"/>
    <w:rsid w:val="707E401E"/>
    <w:rsid w:val="708017B4"/>
    <w:rsid w:val="70807521"/>
    <w:rsid w:val="7082657D"/>
    <w:rsid w:val="7082773A"/>
    <w:rsid w:val="708366E0"/>
    <w:rsid w:val="70837AF6"/>
    <w:rsid w:val="70856B87"/>
    <w:rsid w:val="7086142A"/>
    <w:rsid w:val="70872684"/>
    <w:rsid w:val="708923AF"/>
    <w:rsid w:val="708A48C4"/>
    <w:rsid w:val="708A7E30"/>
    <w:rsid w:val="708B2619"/>
    <w:rsid w:val="708C3333"/>
    <w:rsid w:val="708D0DB5"/>
    <w:rsid w:val="708E6837"/>
    <w:rsid w:val="708F42B8"/>
    <w:rsid w:val="709177BB"/>
    <w:rsid w:val="70920AC0"/>
    <w:rsid w:val="70932CBE"/>
    <w:rsid w:val="709335E5"/>
    <w:rsid w:val="70936542"/>
    <w:rsid w:val="70943FC3"/>
    <w:rsid w:val="70944183"/>
    <w:rsid w:val="70951A45"/>
    <w:rsid w:val="70953C43"/>
    <w:rsid w:val="70954D22"/>
    <w:rsid w:val="709616C4"/>
    <w:rsid w:val="709829C9"/>
    <w:rsid w:val="70984BC8"/>
    <w:rsid w:val="7099044B"/>
    <w:rsid w:val="70992649"/>
    <w:rsid w:val="709A00CB"/>
    <w:rsid w:val="709B394E"/>
    <w:rsid w:val="709C13CF"/>
    <w:rsid w:val="709C24CA"/>
    <w:rsid w:val="709D0801"/>
    <w:rsid w:val="709D104F"/>
    <w:rsid w:val="709D48D3"/>
    <w:rsid w:val="709D6098"/>
    <w:rsid w:val="709D6403"/>
    <w:rsid w:val="709D6E51"/>
    <w:rsid w:val="709E2354"/>
    <w:rsid w:val="709E4C15"/>
    <w:rsid w:val="709E4DCA"/>
    <w:rsid w:val="709E6AD1"/>
    <w:rsid w:val="70A32C51"/>
    <w:rsid w:val="70A32F59"/>
    <w:rsid w:val="70A367DC"/>
    <w:rsid w:val="70A370D3"/>
    <w:rsid w:val="70A409DA"/>
    <w:rsid w:val="70A4425D"/>
    <w:rsid w:val="70A51CDF"/>
    <w:rsid w:val="70A7195F"/>
    <w:rsid w:val="70A751E2"/>
    <w:rsid w:val="70A82C64"/>
    <w:rsid w:val="70A906E5"/>
    <w:rsid w:val="70A94E62"/>
    <w:rsid w:val="70AA3EA1"/>
    <w:rsid w:val="70AA6167"/>
    <w:rsid w:val="70AB3BE8"/>
    <w:rsid w:val="70AD3868"/>
    <w:rsid w:val="70AE00A1"/>
    <w:rsid w:val="70AE6645"/>
    <w:rsid w:val="70AE6D6B"/>
    <w:rsid w:val="70AF25EE"/>
    <w:rsid w:val="70B00AAA"/>
    <w:rsid w:val="70B15AF2"/>
    <w:rsid w:val="70B331F3"/>
    <w:rsid w:val="70B40C75"/>
    <w:rsid w:val="70B46A76"/>
    <w:rsid w:val="70B566F6"/>
    <w:rsid w:val="70B56BD1"/>
    <w:rsid w:val="70B64178"/>
    <w:rsid w:val="70B64B15"/>
    <w:rsid w:val="70B64CD9"/>
    <w:rsid w:val="70B71BF9"/>
    <w:rsid w:val="70B82EFE"/>
    <w:rsid w:val="70B8767B"/>
    <w:rsid w:val="70B90980"/>
    <w:rsid w:val="70B950FC"/>
    <w:rsid w:val="70BA036A"/>
    <w:rsid w:val="70BB05FF"/>
    <w:rsid w:val="70BB0F08"/>
    <w:rsid w:val="70BB1D85"/>
    <w:rsid w:val="70BB1F3A"/>
    <w:rsid w:val="70BC0902"/>
    <w:rsid w:val="70BC1904"/>
    <w:rsid w:val="70BD3B02"/>
    <w:rsid w:val="70BF2889"/>
    <w:rsid w:val="70BF7006"/>
    <w:rsid w:val="70C04599"/>
    <w:rsid w:val="70C1323B"/>
    <w:rsid w:val="70C15D8C"/>
    <w:rsid w:val="70C2380D"/>
    <w:rsid w:val="70C27F8A"/>
    <w:rsid w:val="70C4348D"/>
    <w:rsid w:val="70C4708B"/>
    <w:rsid w:val="70C50F0F"/>
    <w:rsid w:val="70C54792"/>
    <w:rsid w:val="70C57A65"/>
    <w:rsid w:val="70C57C29"/>
    <w:rsid w:val="70C62214"/>
    <w:rsid w:val="70C64412"/>
    <w:rsid w:val="70C66990"/>
    <w:rsid w:val="70C71B7C"/>
    <w:rsid w:val="70C71D41"/>
    <w:rsid w:val="70C828DF"/>
    <w:rsid w:val="70C85717"/>
    <w:rsid w:val="70C87915"/>
    <w:rsid w:val="70C94717"/>
    <w:rsid w:val="70C95397"/>
    <w:rsid w:val="70CA0C1A"/>
    <w:rsid w:val="70CB3C56"/>
    <w:rsid w:val="70CB786E"/>
    <w:rsid w:val="70CC631B"/>
    <w:rsid w:val="70CD3D9D"/>
    <w:rsid w:val="70CD5F70"/>
    <w:rsid w:val="70CE50A2"/>
    <w:rsid w:val="70CE7620"/>
    <w:rsid w:val="70CF72A0"/>
    <w:rsid w:val="70D00087"/>
    <w:rsid w:val="70D005A5"/>
    <w:rsid w:val="70D021EC"/>
    <w:rsid w:val="70D07EC3"/>
    <w:rsid w:val="70D11A3C"/>
    <w:rsid w:val="70D127A3"/>
    <w:rsid w:val="70D20225"/>
    <w:rsid w:val="70D2143C"/>
    <w:rsid w:val="70D21600"/>
    <w:rsid w:val="70D23AA8"/>
    <w:rsid w:val="70D31529"/>
    <w:rsid w:val="70D35CA6"/>
    <w:rsid w:val="70D46FAB"/>
    <w:rsid w:val="70D511A9"/>
    <w:rsid w:val="70D527EE"/>
    <w:rsid w:val="70D54A2C"/>
    <w:rsid w:val="70D66C2B"/>
    <w:rsid w:val="70D746AC"/>
    <w:rsid w:val="70D7566B"/>
    <w:rsid w:val="70D8212E"/>
    <w:rsid w:val="70D859B1"/>
    <w:rsid w:val="70D8620A"/>
    <w:rsid w:val="70D958BC"/>
    <w:rsid w:val="70D97BAF"/>
    <w:rsid w:val="70DA0EB4"/>
    <w:rsid w:val="70DA7947"/>
    <w:rsid w:val="70DB30B2"/>
    <w:rsid w:val="70DB45E1"/>
    <w:rsid w:val="70DB7FCB"/>
    <w:rsid w:val="70DC0B34"/>
    <w:rsid w:val="70DC43B7"/>
    <w:rsid w:val="70DE2439"/>
    <w:rsid w:val="70DF533C"/>
    <w:rsid w:val="70E1083F"/>
    <w:rsid w:val="70E1634E"/>
    <w:rsid w:val="70E262C1"/>
    <w:rsid w:val="70E33D42"/>
    <w:rsid w:val="70E364A3"/>
    <w:rsid w:val="70E417C4"/>
    <w:rsid w:val="70E42345"/>
    <w:rsid w:val="70E47206"/>
    <w:rsid w:val="70E701CA"/>
    <w:rsid w:val="70E71E94"/>
    <w:rsid w:val="70E81B34"/>
    <w:rsid w:val="70E85C4B"/>
    <w:rsid w:val="70E872EC"/>
    <w:rsid w:val="70E87B78"/>
    <w:rsid w:val="70E936CD"/>
    <w:rsid w:val="70EA114F"/>
    <w:rsid w:val="70EB3C4B"/>
    <w:rsid w:val="70EB3E10"/>
    <w:rsid w:val="70EB6BD0"/>
    <w:rsid w:val="70EC28BD"/>
    <w:rsid w:val="70ED20D3"/>
    <w:rsid w:val="70EE7B55"/>
    <w:rsid w:val="70EF55D6"/>
    <w:rsid w:val="70EF6902"/>
    <w:rsid w:val="70F03058"/>
    <w:rsid w:val="70F10A19"/>
    <w:rsid w:val="70F10AD9"/>
    <w:rsid w:val="70F215B8"/>
    <w:rsid w:val="70F2655B"/>
    <w:rsid w:val="70F33FDC"/>
    <w:rsid w:val="70F42B31"/>
    <w:rsid w:val="70F4421A"/>
    <w:rsid w:val="70F44A85"/>
    <w:rsid w:val="70F574E0"/>
    <w:rsid w:val="70F62BE1"/>
    <w:rsid w:val="70F6426E"/>
    <w:rsid w:val="70F64F61"/>
    <w:rsid w:val="70F80464"/>
    <w:rsid w:val="70F83CE8"/>
    <w:rsid w:val="70F91769"/>
    <w:rsid w:val="70F961C1"/>
    <w:rsid w:val="70FA3967"/>
    <w:rsid w:val="70FA6D60"/>
    <w:rsid w:val="70FA71EB"/>
    <w:rsid w:val="70FB4C6C"/>
    <w:rsid w:val="70FC26EE"/>
    <w:rsid w:val="70FD016F"/>
    <w:rsid w:val="70FD48EC"/>
    <w:rsid w:val="70FE1851"/>
    <w:rsid w:val="70FE236E"/>
    <w:rsid w:val="70FE5BF1"/>
    <w:rsid w:val="70FE7DEF"/>
    <w:rsid w:val="710010F4"/>
    <w:rsid w:val="710032F2"/>
    <w:rsid w:val="71003969"/>
    <w:rsid w:val="71010D74"/>
    <w:rsid w:val="71014508"/>
    <w:rsid w:val="71016B75"/>
    <w:rsid w:val="710226DE"/>
    <w:rsid w:val="710245F7"/>
    <w:rsid w:val="71032079"/>
    <w:rsid w:val="71035A81"/>
    <w:rsid w:val="71041CF8"/>
    <w:rsid w:val="7104661F"/>
    <w:rsid w:val="71047AFA"/>
    <w:rsid w:val="71060A7F"/>
    <w:rsid w:val="710651FB"/>
    <w:rsid w:val="71070737"/>
    <w:rsid w:val="710806FF"/>
    <w:rsid w:val="71081111"/>
    <w:rsid w:val="71091A03"/>
    <w:rsid w:val="71091CB0"/>
    <w:rsid w:val="710A284E"/>
    <w:rsid w:val="710A33ED"/>
    <w:rsid w:val="710A3700"/>
    <w:rsid w:val="710A3C02"/>
    <w:rsid w:val="710B4F07"/>
    <w:rsid w:val="710C4966"/>
    <w:rsid w:val="710C7105"/>
    <w:rsid w:val="710D040A"/>
    <w:rsid w:val="710E2608"/>
    <w:rsid w:val="710E5E8B"/>
    <w:rsid w:val="710F0089"/>
    <w:rsid w:val="710F390D"/>
    <w:rsid w:val="710F6A7D"/>
    <w:rsid w:val="7110138E"/>
    <w:rsid w:val="71105B0B"/>
    <w:rsid w:val="71117FF6"/>
    <w:rsid w:val="71132313"/>
    <w:rsid w:val="71136C39"/>
    <w:rsid w:val="71146718"/>
    <w:rsid w:val="71151F93"/>
    <w:rsid w:val="71155816"/>
    <w:rsid w:val="71163298"/>
    <w:rsid w:val="71163687"/>
    <w:rsid w:val="71167A14"/>
    <w:rsid w:val="71170D19"/>
    <w:rsid w:val="71172F17"/>
    <w:rsid w:val="71174061"/>
    <w:rsid w:val="71184DC4"/>
    <w:rsid w:val="7119579E"/>
    <w:rsid w:val="7119641A"/>
    <w:rsid w:val="711A1C9E"/>
    <w:rsid w:val="711A3E9C"/>
    <w:rsid w:val="711B191E"/>
    <w:rsid w:val="711C47FF"/>
    <w:rsid w:val="711C51A1"/>
    <w:rsid w:val="711C739F"/>
    <w:rsid w:val="711D2C22"/>
    <w:rsid w:val="711E28A2"/>
    <w:rsid w:val="711E6125"/>
    <w:rsid w:val="711F0324"/>
    <w:rsid w:val="711F3BA7"/>
    <w:rsid w:val="71201629"/>
    <w:rsid w:val="71211AEC"/>
    <w:rsid w:val="71213827"/>
    <w:rsid w:val="71213920"/>
    <w:rsid w:val="712170AA"/>
    <w:rsid w:val="712244BF"/>
    <w:rsid w:val="71224B2C"/>
    <w:rsid w:val="71236D2A"/>
    <w:rsid w:val="7124002F"/>
    <w:rsid w:val="712447AC"/>
    <w:rsid w:val="71245A38"/>
    <w:rsid w:val="71245BFC"/>
    <w:rsid w:val="7125222D"/>
    <w:rsid w:val="71255AB0"/>
    <w:rsid w:val="712617F2"/>
    <w:rsid w:val="71263532"/>
    <w:rsid w:val="71270FB3"/>
    <w:rsid w:val="712831B2"/>
    <w:rsid w:val="71290C33"/>
    <w:rsid w:val="712958E1"/>
    <w:rsid w:val="712A1F38"/>
    <w:rsid w:val="712A2806"/>
    <w:rsid w:val="712A66B5"/>
    <w:rsid w:val="712B4136"/>
    <w:rsid w:val="712B79BA"/>
    <w:rsid w:val="712C1BB8"/>
    <w:rsid w:val="712C3F43"/>
    <w:rsid w:val="712C543B"/>
    <w:rsid w:val="712D2EBD"/>
    <w:rsid w:val="712D491D"/>
    <w:rsid w:val="712E093E"/>
    <w:rsid w:val="712E53E1"/>
    <w:rsid w:val="712E54BC"/>
    <w:rsid w:val="712E5597"/>
    <w:rsid w:val="712F4EC1"/>
    <w:rsid w:val="71303A3D"/>
    <w:rsid w:val="71303E41"/>
    <w:rsid w:val="71306040"/>
    <w:rsid w:val="71321543"/>
    <w:rsid w:val="71327344"/>
    <w:rsid w:val="71330B4C"/>
    <w:rsid w:val="71334DC6"/>
    <w:rsid w:val="71341527"/>
    <w:rsid w:val="71342848"/>
    <w:rsid w:val="71344A46"/>
    <w:rsid w:val="713502C9"/>
    <w:rsid w:val="71352A9F"/>
    <w:rsid w:val="71352C64"/>
    <w:rsid w:val="71365D4B"/>
    <w:rsid w:val="7137124E"/>
    <w:rsid w:val="713737CC"/>
    <w:rsid w:val="71386CCF"/>
    <w:rsid w:val="71390ECE"/>
    <w:rsid w:val="7139262C"/>
    <w:rsid w:val="71394751"/>
    <w:rsid w:val="71395756"/>
    <w:rsid w:val="713A21D2"/>
    <w:rsid w:val="713A6130"/>
    <w:rsid w:val="713B43D1"/>
    <w:rsid w:val="713B7C54"/>
    <w:rsid w:val="713D3157"/>
    <w:rsid w:val="713D78D4"/>
    <w:rsid w:val="713E5355"/>
    <w:rsid w:val="713F1985"/>
    <w:rsid w:val="713F2DD7"/>
    <w:rsid w:val="713F546E"/>
    <w:rsid w:val="713F665A"/>
    <w:rsid w:val="714040DC"/>
    <w:rsid w:val="71411B5D"/>
    <w:rsid w:val="714205EC"/>
    <w:rsid w:val="7142463B"/>
    <w:rsid w:val="714275DF"/>
    <w:rsid w:val="71435060"/>
    <w:rsid w:val="7144725F"/>
    <w:rsid w:val="7145658E"/>
    <w:rsid w:val="71465FE5"/>
    <w:rsid w:val="7146712D"/>
    <w:rsid w:val="7146797E"/>
    <w:rsid w:val="71473A67"/>
    <w:rsid w:val="71477CCB"/>
    <w:rsid w:val="714814E8"/>
    <w:rsid w:val="71491080"/>
    <w:rsid w:val="71491244"/>
    <w:rsid w:val="714B246D"/>
    <w:rsid w:val="714C1284"/>
    <w:rsid w:val="714C17A4"/>
    <w:rsid w:val="714D5970"/>
    <w:rsid w:val="714E33F1"/>
    <w:rsid w:val="714E78E0"/>
    <w:rsid w:val="714F0E73"/>
    <w:rsid w:val="714F5473"/>
    <w:rsid w:val="714F68F5"/>
    <w:rsid w:val="71511DF8"/>
    <w:rsid w:val="71527879"/>
    <w:rsid w:val="71527F65"/>
    <w:rsid w:val="715352FB"/>
    <w:rsid w:val="71542D7C"/>
    <w:rsid w:val="7155456C"/>
    <w:rsid w:val="71581782"/>
    <w:rsid w:val="71584194"/>
    <w:rsid w:val="715A570D"/>
    <w:rsid w:val="715A58D2"/>
    <w:rsid w:val="715B2707"/>
    <w:rsid w:val="715B2E69"/>
    <w:rsid w:val="715B338A"/>
    <w:rsid w:val="715B3540"/>
    <w:rsid w:val="715B5300"/>
    <w:rsid w:val="715C0189"/>
    <w:rsid w:val="715D03C3"/>
    <w:rsid w:val="715D5C0A"/>
    <w:rsid w:val="715E0F62"/>
    <w:rsid w:val="715E368C"/>
    <w:rsid w:val="715F193C"/>
    <w:rsid w:val="71602316"/>
    <w:rsid w:val="71602412"/>
    <w:rsid w:val="71614610"/>
    <w:rsid w:val="71617E94"/>
    <w:rsid w:val="71622092"/>
    <w:rsid w:val="71623A54"/>
    <w:rsid w:val="71625915"/>
    <w:rsid w:val="71633397"/>
    <w:rsid w:val="71637B14"/>
    <w:rsid w:val="71640E18"/>
    <w:rsid w:val="71644FCD"/>
    <w:rsid w:val="7165689A"/>
    <w:rsid w:val="71660A98"/>
    <w:rsid w:val="7166431B"/>
    <w:rsid w:val="71673F9B"/>
    <w:rsid w:val="7167651A"/>
    <w:rsid w:val="716772A9"/>
    <w:rsid w:val="7168781F"/>
    <w:rsid w:val="71687ABE"/>
    <w:rsid w:val="71695B67"/>
    <w:rsid w:val="716A11FC"/>
    <w:rsid w:val="716A2D22"/>
    <w:rsid w:val="716A4F20"/>
    <w:rsid w:val="716B400E"/>
    <w:rsid w:val="716D3CA6"/>
    <w:rsid w:val="716D5EA5"/>
    <w:rsid w:val="716E1728"/>
    <w:rsid w:val="716E3926"/>
    <w:rsid w:val="716F13A8"/>
    <w:rsid w:val="716F71A9"/>
    <w:rsid w:val="717026AC"/>
    <w:rsid w:val="71706E29"/>
    <w:rsid w:val="7171012E"/>
    <w:rsid w:val="71710D3D"/>
    <w:rsid w:val="717148AB"/>
    <w:rsid w:val="71727542"/>
    <w:rsid w:val="717300E1"/>
    <w:rsid w:val="71733631"/>
    <w:rsid w:val="71737DAE"/>
    <w:rsid w:val="71760D33"/>
    <w:rsid w:val="71762034"/>
    <w:rsid w:val="717645B6"/>
    <w:rsid w:val="71775D29"/>
    <w:rsid w:val="717767B4"/>
    <w:rsid w:val="71784236"/>
    <w:rsid w:val="71784310"/>
    <w:rsid w:val="71787AB9"/>
    <w:rsid w:val="71791CB7"/>
    <w:rsid w:val="7179774D"/>
    <w:rsid w:val="717A163C"/>
    <w:rsid w:val="717A2FBC"/>
    <w:rsid w:val="717A7739"/>
    <w:rsid w:val="717B0A3E"/>
    <w:rsid w:val="717B51BA"/>
    <w:rsid w:val="717C2C3C"/>
    <w:rsid w:val="717D3F41"/>
    <w:rsid w:val="717E613F"/>
    <w:rsid w:val="717E6A9E"/>
    <w:rsid w:val="717F3BC0"/>
    <w:rsid w:val="71804EC5"/>
    <w:rsid w:val="718203C8"/>
    <w:rsid w:val="71833BD0"/>
    <w:rsid w:val="71835E4A"/>
    <w:rsid w:val="718438CB"/>
    <w:rsid w:val="71845ACA"/>
    <w:rsid w:val="7185354B"/>
    <w:rsid w:val="71855149"/>
    <w:rsid w:val="71860FCD"/>
    <w:rsid w:val="718722D2"/>
    <w:rsid w:val="71874850"/>
    <w:rsid w:val="718764FD"/>
    <w:rsid w:val="718766C1"/>
    <w:rsid w:val="71876A4E"/>
    <w:rsid w:val="71880AA7"/>
    <w:rsid w:val="718844D0"/>
    <w:rsid w:val="718907D9"/>
    <w:rsid w:val="71891F52"/>
    <w:rsid w:val="718A3256"/>
    <w:rsid w:val="718B5455"/>
    <w:rsid w:val="718C28F0"/>
    <w:rsid w:val="718D0958"/>
    <w:rsid w:val="718D32CB"/>
    <w:rsid w:val="718D41DB"/>
    <w:rsid w:val="718E63D9"/>
    <w:rsid w:val="718F3E5B"/>
    <w:rsid w:val="718F76DE"/>
    <w:rsid w:val="719018DC"/>
    <w:rsid w:val="71920663"/>
    <w:rsid w:val="71924DDF"/>
    <w:rsid w:val="71926B20"/>
    <w:rsid w:val="71932861"/>
    <w:rsid w:val="719360E4"/>
    <w:rsid w:val="71945B8B"/>
    <w:rsid w:val="719515E7"/>
    <w:rsid w:val="71951611"/>
    <w:rsid w:val="71954A73"/>
    <w:rsid w:val="71955D64"/>
    <w:rsid w:val="71961FEC"/>
    <w:rsid w:val="719637E6"/>
    <w:rsid w:val="71967069"/>
    <w:rsid w:val="71972F19"/>
    <w:rsid w:val="719730CF"/>
    <w:rsid w:val="71976CE9"/>
    <w:rsid w:val="7198256C"/>
    <w:rsid w:val="719921EC"/>
    <w:rsid w:val="71994103"/>
    <w:rsid w:val="71997FEE"/>
    <w:rsid w:val="719A4CA2"/>
    <w:rsid w:val="719A7C6D"/>
    <w:rsid w:val="719B34F1"/>
    <w:rsid w:val="719B567C"/>
    <w:rsid w:val="719B5840"/>
    <w:rsid w:val="719D69F4"/>
    <w:rsid w:val="719D6DB9"/>
    <w:rsid w:val="719E6674"/>
    <w:rsid w:val="719E7958"/>
    <w:rsid w:val="719F0332"/>
    <w:rsid w:val="719F04F7"/>
    <w:rsid w:val="719F7978"/>
    <w:rsid w:val="71A00ED1"/>
    <w:rsid w:val="71A01B77"/>
    <w:rsid w:val="71A12E7C"/>
    <w:rsid w:val="71A175F8"/>
    <w:rsid w:val="71A208FD"/>
    <w:rsid w:val="71A2244A"/>
    <w:rsid w:val="71A2507A"/>
    <w:rsid w:val="71A32AFB"/>
    <w:rsid w:val="71A32E24"/>
    <w:rsid w:val="71A33B87"/>
    <w:rsid w:val="71A3637F"/>
    <w:rsid w:val="71A4709A"/>
    <w:rsid w:val="71A63A80"/>
    <w:rsid w:val="71A67303"/>
    <w:rsid w:val="71A71502"/>
    <w:rsid w:val="71A82806"/>
    <w:rsid w:val="71A86F83"/>
    <w:rsid w:val="71A94A05"/>
    <w:rsid w:val="71A97BF2"/>
    <w:rsid w:val="71AA2486"/>
    <w:rsid w:val="71AA5D09"/>
    <w:rsid w:val="71AB132F"/>
    <w:rsid w:val="71AE3282"/>
    <w:rsid w:val="71AE3447"/>
    <w:rsid w:val="71AE4710"/>
    <w:rsid w:val="71B047FB"/>
    <w:rsid w:val="71B15694"/>
    <w:rsid w:val="71B21877"/>
    <w:rsid w:val="71B46619"/>
    <w:rsid w:val="71B47ED3"/>
    <w:rsid w:val="71B61B1C"/>
    <w:rsid w:val="71B8501F"/>
    <w:rsid w:val="71B90522"/>
    <w:rsid w:val="71BB3A25"/>
    <w:rsid w:val="71BB4C59"/>
    <w:rsid w:val="71BD6F28"/>
    <w:rsid w:val="71BE49AA"/>
    <w:rsid w:val="71C00E88"/>
    <w:rsid w:val="71C233B0"/>
    <w:rsid w:val="71C32FA0"/>
    <w:rsid w:val="71C346B5"/>
    <w:rsid w:val="71C4417B"/>
    <w:rsid w:val="71C468B3"/>
    <w:rsid w:val="71C54335"/>
    <w:rsid w:val="71C61DB6"/>
    <w:rsid w:val="71C730BB"/>
    <w:rsid w:val="71C852BA"/>
    <w:rsid w:val="71C92D3B"/>
    <w:rsid w:val="71C965BE"/>
    <w:rsid w:val="71C971CF"/>
    <w:rsid w:val="71CA07BD"/>
    <w:rsid w:val="71CA4040"/>
    <w:rsid w:val="71CA7BA9"/>
    <w:rsid w:val="71CB12E6"/>
    <w:rsid w:val="71CB1AC1"/>
    <w:rsid w:val="71CB623E"/>
    <w:rsid w:val="71CD285F"/>
    <w:rsid w:val="71CD4FC5"/>
    <w:rsid w:val="71CE2A46"/>
    <w:rsid w:val="71CE71C3"/>
    <w:rsid w:val="71CF04C8"/>
    <w:rsid w:val="71CF4C44"/>
    <w:rsid w:val="71D00147"/>
    <w:rsid w:val="71D05F49"/>
    <w:rsid w:val="71D15351"/>
    <w:rsid w:val="71D15BC9"/>
    <w:rsid w:val="71D25EF0"/>
    <w:rsid w:val="71D260B4"/>
    <w:rsid w:val="71D27F8A"/>
    <w:rsid w:val="71D4494F"/>
    <w:rsid w:val="71D46B4E"/>
    <w:rsid w:val="71D523D1"/>
    <w:rsid w:val="71D545CF"/>
    <w:rsid w:val="71D609E2"/>
    <w:rsid w:val="71D62051"/>
    <w:rsid w:val="71D67E52"/>
    <w:rsid w:val="71D758D4"/>
    <w:rsid w:val="71D77AD2"/>
    <w:rsid w:val="71D83356"/>
    <w:rsid w:val="71D85554"/>
    <w:rsid w:val="71D96859"/>
    <w:rsid w:val="71D97FC7"/>
    <w:rsid w:val="71DA0A57"/>
    <w:rsid w:val="71DA42DA"/>
    <w:rsid w:val="71DA53F3"/>
    <w:rsid w:val="71DA68ED"/>
    <w:rsid w:val="71DB1D5C"/>
    <w:rsid w:val="71DE2CE0"/>
    <w:rsid w:val="71DF0762"/>
    <w:rsid w:val="71E00465"/>
    <w:rsid w:val="71E02960"/>
    <w:rsid w:val="71E13C65"/>
    <w:rsid w:val="71E338E5"/>
    <w:rsid w:val="71E4311C"/>
    <w:rsid w:val="71E44BEA"/>
    <w:rsid w:val="71E56DE8"/>
    <w:rsid w:val="71E644D0"/>
    <w:rsid w:val="71E64695"/>
    <w:rsid w:val="71E6486A"/>
    <w:rsid w:val="71E835F0"/>
    <w:rsid w:val="71E93270"/>
    <w:rsid w:val="71ED21B3"/>
    <w:rsid w:val="71EE29DB"/>
    <w:rsid w:val="71EE76F7"/>
    <w:rsid w:val="71EF2F7B"/>
    <w:rsid w:val="71EF5179"/>
    <w:rsid w:val="71F009FC"/>
    <w:rsid w:val="71F02BFB"/>
    <w:rsid w:val="71F0647E"/>
    <w:rsid w:val="71F1067C"/>
    <w:rsid w:val="71F21981"/>
    <w:rsid w:val="71F254CD"/>
    <w:rsid w:val="71F41601"/>
    <w:rsid w:val="71F44E84"/>
    <w:rsid w:val="71F52906"/>
    <w:rsid w:val="71F57082"/>
    <w:rsid w:val="71F57420"/>
    <w:rsid w:val="71F60387"/>
    <w:rsid w:val="71F64B04"/>
    <w:rsid w:val="71F6680B"/>
    <w:rsid w:val="71F72585"/>
    <w:rsid w:val="71F75E09"/>
    <w:rsid w:val="71FA3814"/>
    <w:rsid w:val="71FA6D8D"/>
    <w:rsid w:val="71FB0F8C"/>
    <w:rsid w:val="71FB41EE"/>
    <w:rsid w:val="71FB480F"/>
    <w:rsid w:val="71FC2290"/>
    <w:rsid w:val="71FC4BC8"/>
    <w:rsid w:val="71FD3357"/>
    <w:rsid w:val="71FD448F"/>
    <w:rsid w:val="71FE1F10"/>
    <w:rsid w:val="71FE5794"/>
    <w:rsid w:val="71FE6305"/>
    <w:rsid w:val="71FF3215"/>
    <w:rsid w:val="71FF6CE0"/>
    <w:rsid w:val="71FF7992"/>
    <w:rsid w:val="72002E95"/>
    <w:rsid w:val="72005413"/>
    <w:rsid w:val="72007A43"/>
    <w:rsid w:val="7201041D"/>
    <w:rsid w:val="7202419A"/>
    <w:rsid w:val="72026398"/>
    <w:rsid w:val="72031996"/>
    <w:rsid w:val="72031C1B"/>
    <w:rsid w:val="72033E1A"/>
    <w:rsid w:val="7204189B"/>
    <w:rsid w:val="7205511E"/>
    <w:rsid w:val="72062BA0"/>
    <w:rsid w:val="72064D9E"/>
    <w:rsid w:val="72075026"/>
    <w:rsid w:val="720802A1"/>
    <w:rsid w:val="72083B25"/>
    <w:rsid w:val="72097BAE"/>
    <w:rsid w:val="720A37A4"/>
    <w:rsid w:val="720A7028"/>
    <w:rsid w:val="720B4AA9"/>
    <w:rsid w:val="720B597F"/>
    <w:rsid w:val="720B7CDC"/>
    <w:rsid w:val="720C6CA8"/>
    <w:rsid w:val="72103F0B"/>
    <w:rsid w:val="721148E6"/>
    <w:rsid w:val="721169B3"/>
    <w:rsid w:val="72124434"/>
    <w:rsid w:val="72125484"/>
    <w:rsid w:val="72131EB6"/>
    <w:rsid w:val="72133A79"/>
    <w:rsid w:val="721359C2"/>
    <w:rsid w:val="72135E5F"/>
    <w:rsid w:val="72147937"/>
    <w:rsid w:val="721553B9"/>
    <w:rsid w:val="72162E3A"/>
    <w:rsid w:val="721708BC"/>
    <w:rsid w:val="721814EF"/>
    <w:rsid w:val="7218206E"/>
    <w:rsid w:val="72190F08"/>
    <w:rsid w:val="72193DBF"/>
    <w:rsid w:val="721A1840"/>
    <w:rsid w:val="721B37CB"/>
    <w:rsid w:val="721C4D44"/>
    <w:rsid w:val="721E6481"/>
    <w:rsid w:val="721F5CC8"/>
    <w:rsid w:val="72201684"/>
    <w:rsid w:val="72216C4D"/>
    <w:rsid w:val="72230C49"/>
    <w:rsid w:val="7223194D"/>
    <w:rsid w:val="72232150"/>
    <w:rsid w:val="72267AC5"/>
    <w:rsid w:val="72273C06"/>
    <w:rsid w:val="722978DD"/>
    <w:rsid w:val="722A535E"/>
    <w:rsid w:val="722B2DE0"/>
    <w:rsid w:val="722B755C"/>
    <w:rsid w:val="722C0861"/>
    <w:rsid w:val="722C7282"/>
    <w:rsid w:val="722E04E1"/>
    <w:rsid w:val="722E1DAB"/>
    <w:rsid w:val="722E3D64"/>
    <w:rsid w:val="722F1A94"/>
    <w:rsid w:val="722F5F63"/>
    <w:rsid w:val="72303324"/>
    <w:rsid w:val="72307267"/>
    <w:rsid w:val="72307D3F"/>
    <w:rsid w:val="72313EC3"/>
    <w:rsid w:val="72314CE9"/>
    <w:rsid w:val="7232276A"/>
    <w:rsid w:val="72324A62"/>
    <w:rsid w:val="723301EC"/>
    <w:rsid w:val="72335600"/>
    <w:rsid w:val="72345C6E"/>
    <w:rsid w:val="72346FDB"/>
    <w:rsid w:val="72350776"/>
    <w:rsid w:val="7235130F"/>
    <w:rsid w:val="72355EC3"/>
    <w:rsid w:val="72357E6C"/>
    <w:rsid w:val="72361171"/>
    <w:rsid w:val="723700F2"/>
    <w:rsid w:val="72384674"/>
    <w:rsid w:val="723920F5"/>
    <w:rsid w:val="7239220A"/>
    <w:rsid w:val="723942F4"/>
    <w:rsid w:val="72396872"/>
    <w:rsid w:val="723A1D75"/>
    <w:rsid w:val="723A2DA8"/>
    <w:rsid w:val="723B3782"/>
    <w:rsid w:val="723D0AFC"/>
    <w:rsid w:val="723E077B"/>
    <w:rsid w:val="72414F83"/>
    <w:rsid w:val="72422A05"/>
    <w:rsid w:val="72427182"/>
    <w:rsid w:val="72434C03"/>
    <w:rsid w:val="72436D2C"/>
    <w:rsid w:val="72450106"/>
    <w:rsid w:val="72456EB1"/>
    <w:rsid w:val="7245721D"/>
    <w:rsid w:val="7246140B"/>
    <w:rsid w:val="72463042"/>
    <w:rsid w:val="72465B88"/>
    <w:rsid w:val="72473609"/>
    <w:rsid w:val="72473A1C"/>
    <w:rsid w:val="72476E8D"/>
    <w:rsid w:val="7248490E"/>
    <w:rsid w:val="724B5893"/>
    <w:rsid w:val="724C3314"/>
    <w:rsid w:val="724C7A91"/>
    <w:rsid w:val="724C7C4B"/>
    <w:rsid w:val="724D0D96"/>
    <w:rsid w:val="724E1389"/>
    <w:rsid w:val="724E2F94"/>
    <w:rsid w:val="724E6817"/>
    <w:rsid w:val="724F0A16"/>
    <w:rsid w:val="72501D1B"/>
    <w:rsid w:val="72506497"/>
    <w:rsid w:val="72513F19"/>
    <w:rsid w:val="7251779C"/>
    <w:rsid w:val="7252403F"/>
    <w:rsid w:val="7252521E"/>
    <w:rsid w:val="7252741C"/>
    <w:rsid w:val="72540721"/>
    <w:rsid w:val="7254291F"/>
    <w:rsid w:val="725453F3"/>
    <w:rsid w:val="725517B3"/>
    <w:rsid w:val="72553024"/>
    <w:rsid w:val="725561A2"/>
    <w:rsid w:val="72556B31"/>
    <w:rsid w:val="7256750B"/>
    <w:rsid w:val="725716A5"/>
    <w:rsid w:val="72580A84"/>
    <w:rsid w:val="7259262A"/>
    <w:rsid w:val="72596DA7"/>
    <w:rsid w:val="725C373A"/>
    <w:rsid w:val="725D1030"/>
    <w:rsid w:val="725D57AD"/>
    <w:rsid w:val="725E322F"/>
    <w:rsid w:val="725F0CB0"/>
    <w:rsid w:val="72601FB5"/>
    <w:rsid w:val="7260565A"/>
    <w:rsid w:val="726063F0"/>
    <w:rsid w:val="72606732"/>
    <w:rsid w:val="72621C35"/>
    <w:rsid w:val="72630EE2"/>
    <w:rsid w:val="726376B6"/>
    <w:rsid w:val="726409BB"/>
    <w:rsid w:val="72652BB9"/>
    <w:rsid w:val="7265643D"/>
    <w:rsid w:val="72662FF9"/>
    <w:rsid w:val="726631BE"/>
    <w:rsid w:val="72663EBE"/>
    <w:rsid w:val="72671940"/>
    <w:rsid w:val="72683B3E"/>
    <w:rsid w:val="72684737"/>
    <w:rsid w:val="72694E43"/>
    <w:rsid w:val="72695111"/>
    <w:rsid w:val="72697041"/>
    <w:rsid w:val="726A4AC3"/>
    <w:rsid w:val="726B0346"/>
    <w:rsid w:val="726B2544"/>
    <w:rsid w:val="726C5DC7"/>
    <w:rsid w:val="726C7FC6"/>
    <w:rsid w:val="726D5A47"/>
    <w:rsid w:val="726D7DC7"/>
    <w:rsid w:val="726E12CB"/>
    <w:rsid w:val="726F7E37"/>
    <w:rsid w:val="72701EDF"/>
    <w:rsid w:val="72702A7D"/>
    <w:rsid w:val="727047CE"/>
    <w:rsid w:val="727177C1"/>
    <w:rsid w:val="72721ECF"/>
    <w:rsid w:val="72723293"/>
    <w:rsid w:val="72723FF6"/>
    <w:rsid w:val="7274320D"/>
    <w:rsid w:val="727453D2"/>
    <w:rsid w:val="72752E54"/>
    <w:rsid w:val="7278765C"/>
    <w:rsid w:val="727A15DA"/>
    <w:rsid w:val="727A2B5F"/>
    <w:rsid w:val="727B40A7"/>
    <w:rsid w:val="727C2D17"/>
    <w:rsid w:val="727D3AE3"/>
    <w:rsid w:val="727E1565"/>
    <w:rsid w:val="727F6FE6"/>
    <w:rsid w:val="72804A68"/>
    <w:rsid w:val="728124EA"/>
    <w:rsid w:val="72816F46"/>
    <w:rsid w:val="72827920"/>
    <w:rsid w:val="72827F6B"/>
    <w:rsid w:val="728359ED"/>
    <w:rsid w:val="7284346E"/>
    <w:rsid w:val="72850EF0"/>
    <w:rsid w:val="72866971"/>
    <w:rsid w:val="72881E74"/>
    <w:rsid w:val="72883B4F"/>
    <w:rsid w:val="728978F6"/>
    <w:rsid w:val="728C4A86"/>
    <w:rsid w:val="728C6641"/>
    <w:rsid w:val="728D3D7E"/>
    <w:rsid w:val="728E0759"/>
    <w:rsid w:val="728E17FF"/>
    <w:rsid w:val="728E2D77"/>
    <w:rsid w:val="728F12F7"/>
    <w:rsid w:val="728F14BC"/>
    <w:rsid w:val="728F7281"/>
    <w:rsid w:val="72901CD2"/>
    <w:rsid w:val="72901E96"/>
    <w:rsid w:val="72902B04"/>
    <w:rsid w:val="72904D02"/>
    <w:rsid w:val="72910586"/>
    <w:rsid w:val="72912870"/>
    <w:rsid w:val="72916007"/>
    <w:rsid w:val="72917C65"/>
    <w:rsid w:val="72921914"/>
    <w:rsid w:val="7293150A"/>
    <w:rsid w:val="72933DE9"/>
    <w:rsid w:val="72935C87"/>
    <w:rsid w:val="72943709"/>
    <w:rsid w:val="72944B4C"/>
    <w:rsid w:val="7295118A"/>
    <w:rsid w:val="72977F10"/>
    <w:rsid w:val="7298210F"/>
    <w:rsid w:val="72985992"/>
    <w:rsid w:val="729A0E95"/>
    <w:rsid w:val="729A5612"/>
    <w:rsid w:val="729A70AD"/>
    <w:rsid w:val="729A7784"/>
    <w:rsid w:val="729B2130"/>
    <w:rsid w:val="729B6917"/>
    <w:rsid w:val="729C4398"/>
    <w:rsid w:val="729D4CC8"/>
    <w:rsid w:val="729E0256"/>
    <w:rsid w:val="729E4018"/>
    <w:rsid w:val="729E730E"/>
    <w:rsid w:val="729F1A9A"/>
    <w:rsid w:val="729F531D"/>
    <w:rsid w:val="72A02D9E"/>
    <w:rsid w:val="72A05985"/>
    <w:rsid w:val="72A0751B"/>
    <w:rsid w:val="72A10820"/>
    <w:rsid w:val="72A16523"/>
    <w:rsid w:val="72A204A0"/>
    <w:rsid w:val="72A22A1E"/>
    <w:rsid w:val="72A262A2"/>
    <w:rsid w:val="72A35F21"/>
    <w:rsid w:val="72A57226"/>
    <w:rsid w:val="72A619EF"/>
    <w:rsid w:val="72A66EA6"/>
    <w:rsid w:val="72A7258E"/>
    <w:rsid w:val="72A72729"/>
    <w:rsid w:val="72A74928"/>
    <w:rsid w:val="72A801AB"/>
    <w:rsid w:val="72A81DAB"/>
    <w:rsid w:val="72A83B07"/>
    <w:rsid w:val="72A90E49"/>
    <w:rsid w:val="72AA36AE"/>
    <w:rsid w:val="72AA5080"/>
    <w:rsid w:val="72AA5244"/>
    <w:rsid w:val="72AA58AC"/>
    <w:rsid w:val="72AB5C1E"/>
    <w:rsid w:val="72AB5DE3"/>
    <w:rsid w:val="72AB7B7B"/>
    <w:rsid w:val="72AC4633"/>
    <w:rsid w:val="72AD20B4"/>
    <w:rsid w:val="72AE42B2"/>
    <w:rsid w:val="72AE7B36"/>
    <w:rsid w:val="72AF1D34"/>
    <w:rsid w:val="72B01473"/>
    <w:rsid w:val="72B077B6"/>
    <w:rsid w:val="72B22828"/>
    <w:rsid w:val="72B229EC"/>
    <w:rsid w:val="72B2653C"/>
    <w:rsid w:val="72B3073A"/>
    <w:rsid w:val="72B574C1"/>
    <w:rsid w:val="72B616BF"/>
    <w:rsid w:val="72B64F42"/>
    <w:rsid w:val="72B6605F"/>
    <w:rsid w:val="72B729C4"/>
    <w:rsid w:val="72B73EB2"/>
    <w:rsid w:val="72B92643"/>
    <w:rsid w:val="72B95EC7"/>
    <w:rsid w:val="72BA0D33"/>
    <w:rsid w:val="72BA3948"/>
    <w:rsid w:val="72BA5B47"/>
    <w:rsid w:val="72BD2C86"/>
    <w:rsid w:val="72BE454D"/>
    <w:rsid w:val="72BF41FF"/>
    <w:rsid w:val="72BF7DD0"/>
    <w:rsid w:val="72C00519"/>
    <w:rsid w:val="72C05852"/>
    <w:rsid w:val="72C20D55"/>
    <w:rsid w:val="72C267D6"/>
    <w:rsid w:val="72C34258"/>
    <w:rsid w:val="72C36EB5"/>
    <w:rsid w:val="72C4042E"/>
    <w:rsid w:val="72C41CD9"/>
    <w:rsid w:val="72C46456"/>
    <w:rsid w:val="72C5775B"/>
    <w:rsid w:val="72C651DC"/>
    <w:rsid w:val="72C72545"/>
    <w:rsid w:val="72C7270A"/>
    <w:rsid w:val="72C72C5E"/>
    <w:rsid w:val="72C806E0"/>
    <w:rsid w:val="72C830E4"/>
    <w:rsid w:val="72C84E5C"/>
    <w:rsid w:val="72C928DE"/>
    <w:rsid w:val="72CA035F"/>
    <w:rsid w:val="72CA3205"/>
    <w:rsid w:val="72CA3BE3"/>
    <w:rsid w:val="72CB1664"/>
    <w:rsid w:val="72CC3862"/>
    <w:rsid w:val="72CC6117"/>
    <w:rsid w:val="72CD12E4"/>
    <w:rsid w:val="72CD4B67"/>
    <w:rsid w:val="72CE6D66"/>
    <w:rsid w:val="72D0088C"/>
    <w:rsid w:val="72D05AEC"/>
    <w:rsid w:val="72D1356D"/>
    <w:rsid w:val="72D17CEA"/>
    <w:rsid w:val="72D2576C"/>
    <w:rsid w:val="72D30C6F"/>
    <w:rsid w:val="72D36A71"/>
    <w:rsid w:val="72D440E1"/>
    <w:rsid w:val="72D444F2"/>
    <w:rsid w:val="72D466F0"/>
    <w:rsid w:val="72D50275"/>
    <w:rsid w:val="72D51F74"/>
    <w:rsid w:val="72D54ABB"/>
    <w:rsid w:val="72D61BF3"/>
    <w:rsid w:val="72D67313"/>
    <w:rsid w:val="72D679F5"/>
    <w:rsid w:val="72D75477"/>
    <w:rsid w:val="72D76034"/>
    <w:rsid w:val="72D763B0"/>
    <w:rsid w:val="72D77675"/>
    <w:rsid w:val="72D82EF8"/>
    <w:rsid w:val="72D9097A"/>
    <w:rsid w:val="72D975AD"/>
    <w:rsid w:val="72DB0B26"/>
    <w:rsid w:val="72DB0CEA"/>
    <w:rsid w:val="72DB607B"/>
    <w:rsid w:val="72DC3AFD"/>
    <w:rsid w:val="72DC7380"/>
    <w:rsid w:val="72DD2263"/>
    <w:rsid w:val="72DE2883"/>
    <w:rsid w:val="72DE2C3D"/>
    <w:rsid w:val="72DF37DC"/>
    <w:rsid w:val="72E05D86"/>
    <w:rsid w:val="72E262CE"/>
    <w:rsid w:val="72E26492"/>
    <w:rsid w:val="72E3289C"/>
    <w:rsid w:val="72E32C08"/>
    <w:rsid w:val="72E41784"/>
    <w:rsid w:val="72E4478C"/>
    <w:rsid w:val="72E50D43"/>
    <w:rsid w:val="72E5220E"/>
    <w:rsid w:val="72E67C90"/>
    <w:rsid w:val="72E75711"/>
    <w:rsid w:val="72E826C1"/>
    <w:rsid w:val="72E83193"/>
    <w:rsid w:val="72EA3A76"/>
    <w:rsid w:val="72EC1B99"/>
    <w:rsid w:val="72EC5D52"/>
    <w:rsid w:val="72ED761A"/>
    <w:rsid w:val="72EF2B1D"/>
    <w:rsid w:val="72EF7CA5"/>
    <w:rsid w:val="72F113E2"/>
    <w:rsid w:val="72F21524"/>
    <w:rsid w:val="72F24EC4"/>
    <w:rsid w:val="72F25079"/>
    <w:rsid w:val="72F33A41"/>
    <w:rsid w:val="72F36FA5"/>
    <w:rsid w:val="72F44A27"/>
    <w:rsid w:val="72F64A73"/>
    <w:rsid w:val="72F65D2C"/>
    <w:rsid w:val="72F67F2A"/>
    <w:rsid w:val="72F8122F"/>
    <w:rsid w:val="72F90EAF"/>
    <w:rsid w:val="72F96B8A"/>
    <w:rsid w:val="72FA02C7"/>
    <w:rsid w:val="72FA21B3"/>
    <w:rsid w:val="72FB43B2"/>
    <w:rsid w:val="72FB7C35"/>
    <w:rsid w:val="72FC1840"/>
    <w:rsid w:val="72FC1E33"/>
    <w:rsid w:val="72FE0BBA"/>
    <w:rsid w:val="72FE2BF5"/>
    <w:rsid w:val="72FF663B"/>
    <w:rsid w:val="730040BD"/>
    <w:rsid w:val="73004332"/>
    <w:rsid w:val="73011B3E"/>
    <w:rsid w:val="73014ED1"/>
    <w:rsid w:val="73016589"/>
    <w:rsid w:val="73023D3C"/>
    <w:rsid w:val="73025992"/>
    <w:rsid w:val="730317BE"/>
    <w:rsid w:val="73042AC3"/>
    <w:rsid w:val="73047240"/>
    <w:rsid w:val="73050544"/>
    <w:rsid w:val="73055E84"/>
    <w:rsid w:val="73062743"/>
    <w:rsid w:val="730701C4"/>
    <w:rsid w:val="73070F3B"/>
    <w:rsid w:val="73073A48"/>
    <w:rsid w:val="730814C9"/>
    <w:rsid w:val="73082679"/>
    <w:rsid w:val="73085C46"/>
    <w:rsid w:val="730936C7"/>
    <w:rsid w:val="73096F4B"/>
    <w:rsid w:val="730B244E"/>
    <w:rsid w:val="730B45CC"/>
    <w:rsid w:val="730B464C"/>
    <w:rsid w:val="730B6BCA"/>
    <w:rsid w:val="730C20CE"/>
    <w:rsid w:val="730D5951"/>
    <w:rsid w:val="730D7B4F"/>
    <w:rsid w:val="730F0E54"/>
    <w:rsid w:val="730F15F2"/>
    <w:rsid w:val="731068D5"/>
    <w:rsid w:val="73114357"/>
    <w:rsid w:val="73117A99"/>
    <w:rsid w:val="73122968"/>
    <w:rsid w:val="7312785A"/>
    <w:rsid w:val="731323A8"/>
    <w:rsid w:val="731352DC"/>
    <w:rsid w:val="73140A3D"/>
    <w:rsid w:val="73142D5D"/>
    <w:rsid w:val="731474DA"/>
    <w:rsid w:val="731507DF"/>
    <w:rsid w:val="73164BEE"/>
    <w:rsid w:val="73166260"/>
    <w:rsid w:val="7317045F"/>
    <w:rsid w:val="73173CE2"/>
    <w:rsid w:val="731755C9"/>
    <w:rsid w:val="73181763"/>
    <w:rsid w:val="73184022"/>
    <w:rsid w:val="73193962"/>
    <w:rsid w:val="73196B42"/>
    <w:rsid w:val="731971E5"/>
    <w:rsid w:val="731A13E3"/>
    <w:rsid w:val="731A4C66"/>
    <w:rsid w:val="731B027F"/>
    <w:rsid w:val="731B6E65"/>
    <w:rsid w:val="731C016A"/>
    <w:rsid w:val="731D1633"/>
    <w:rsid w:val="731D3C1A"/>
    <w:rsid w:val="731D3DCF"/>
    <w:rsid w:val="731D5BEB"/>
    <w:rsid w:val="731F5D5E"/>
    <w:rsid w:val="73206B70"/>
    <w:rsid w:val="73210D6E"/>
    <w:rsid w:val="732145F1"/>
    <w:rsid w:val="73224E88"/>
    <w:rsid w:val="732267F0"/>
    <w:rsid w:val="73231CF3"/>
    <w:rsid w:val="73234271"/>
    <w:rsid w:val="73235A27"/>
    <w:rsid w:val="73252FF8"/>
    <w:rsid w:val="73257B3E"/>
    <w:rsid w:val="732706F9"/>
    <w:rsid w:val="732764FB"/>
    <w:rsid w:val="73283F7C"/>
    <w:rsid w:val="73293BFC"/>
    <w:rsid w:val="732A167E"/>
    <w:rsid w:val="732A31CF"/>
    <w:rsid w:val="732A747F"/>
    <w:rsid w:val="732B2982"/>
    <w:rsid w:val="732B3D6D"/>
    <w:rsid w:val="732B4F01"/>
    <w:rsid w:val="732B70FF"/>
    <w:rsid w:val="732D2602"/>
    <w:rsid w:val="732D52E6"/>
    <w:rsid w:val="732F5B05"/>
    <w:rsid w:val="732F669B"/>
    <w:rsid w:val="73303587"/>
    <w:rsid w:val="73306E0A"/>
    <w:rsid w:val="733073FE"/>
    <w:rsid w:val="73311008"/>
    <w:rsid w:val="7331488C"/>
    <w:rsid w:val="7331627B"/>
    <w:rsid w:val="73321515"/>
    <w:rsid w:val="7332230D"/>
    <w:rsid w:val="73326A8A"/>
    <w:rsid w:val="733428CA"/>
    <w:rsid w:val="73365490"/>
    <w:rsid w:val="73372F12"/>
    <w:rsid w:val="73376795"/>
    <w:rsid w:val="73380993"/>
    <w:rsid w:val="73384217"/>
    <w:rsid w:val="73396415"/>
    <w:rsid w:val="733A06B3"/>
    <w:rsid w:val="733A0BD4"/>
    <w:rsid w:val="733A0F3F"/>
    <w:rsid w:val="733A3E96"/>
    <w:rsid w:val="733A6CBD"/>
    <w:rsid w:val="733A771A"/>
    <w:rsid w:val="733B519B"/>
    <w:rsid w:val="733B7399"/>
    <w:rsid w:val="733B7C71"/>
    <w:rsid w:val="733C0236"/>
    <w:rsid w:val="733C2C1D"/>
    <w:rsid w:val="733C4E1B"/>
    <w:rsid w:val="733C6D0F"/>
    <w:rsid w:val="733D289D"/>
    <w:rsid w:val="733E031E"/>
    <w:rsid w:val="733F2EED"/>
    <w:rsid w:val="733F3BA1"/>
    <w:rsid w:val="734170A4"/>
    <w:rsid w:val="73424B26"/>
    <w:rsid w:val="73426D24"/>
    <w:rsid w:val="73430029"/>
    <w:rsid w:val="734325A8"/>
    <w:rsid w:val="73445AAB"/>
    <w:rsid w:val="73456F57"/>
    <w:rsid w:val="73460FAE"/>
    <w:rsid w:val="73467AF6"/>
    <w:rsid w:val="73476A2F"/>
    <w:rsid w:val="734A25E8"/>
    <w:rsid w:val="734A27AC"/>
    <w:rsid w:val="734A79B4"/>
    <w:rsid w:val="734B0AAB"/>
    <w:rsid w:val="734B5436"/>
    <w:rsid w:val="734D0939"/>
    <w:rsid w:val="734E63BA"/>
    <w:rsid w:val="735018BD"/>
    <w:rsid w:val="735073B5"/>
    <w:rsid w:val="7351733F"/>
    <w:rsid w:val="73517D90"/>
    <w:rsid w:val="73517F54"/>
    <w:rsid w:val="735314CD"/>
    <w:rsid w:val="73532842"/>
    <w:rsid w:val="735402C3"/>
    <w:rsid w:val="73541EA7"/>
    <w:rsid w:val="73552A46"/>
    <w:rsid w:val="73555D45"/>
    <w:rsid w:val="73563420"/>
    <w:rsid w:val="735635E4"/>
    <w:rsid w:val="735637C7"/>
    <w:rsid w:val="73571248"/>
    <w:rsid w:val="73574030"/>
    <w:rsid w:val="73575823"/>
    <w:rsid w:val="73575B8E"/>
    <w:rsid w:val="73586CCA"/>
    <w:rsid w:val="7359474B"/>
    <w:rsid w:val="735A21CD"/>
    <w:rsid w:val="735A60D6"/>
    <w:rsid w:val="735A6C75"/>
    <w:rsid w:val="735B56D0"/>
    <w:rsid w:val="735C01EE"/>
    <w:rsid w:val="735C3151"/>
    <w:rsid w:val="735D0D8C"/>
    <w:rsid w:val="735D69D5"/>
    <w:rsid w:val="735E4456"/>
    <w:rsid w:val="73601B58"/>
    <w:rsid w:val="73607959"/>
    <w:rsid w:val="7361387E"/>
    <w:rsid w:val="736153DB"/>
    <w:rsid w:val="736175D9"/>
    <w:rsid w:val="73624258"/>
    <w:rsid w:val="7362505B"/>
    <w:rsid w:val="736308DE"/>
    <w:rsid w:val="73632ADC"/>
    <w:rsid w:val="73636360"/>
    <w:rsid w:val="73643DE1"/>
    <w:rsid w:val="73645996"/>
    <w:rsid w:val="73645BAF"/>
    <w:rsid w:val="73651863"/>
    <w:rsid w:val="73663A61"/>
    <w:rsid w:val="736714E2"/>
    <w:rsid w:val="73674D66"/>
    <w:rsid w:val="736760CB"/>
    <w:rsid w:val="73681026"/>
    <w:rsid w:val="736827E7"/>
    <w:rsid w:val="7368538E"/>
    <w:rsid w:val="73686F64"/>
    <w:rsid w:val="736A5CEA"/>
    <w:rsid w:val="736B313E"/>
    <w:rsid w:val="736B7EE9"/>
    <w:rsid w:val="736D33EC"/>
    <w:rsid w:val="736D487B"/>
    <w:rsid w:val="736D6C6F"/>
    <w:rsid w:val="736E38D1"/>
    <w:rsid w:val="736F2172"/>
    <w:rsid w:val="736F5C2F"/>
    <w:rsid w:val="737067CE"/>
    <w:rsid w:val="73707BF4"/>
    <w:rsid w:val="73711DF2"/>
    <w:rsid w:val="7371350F"/>
    <w:rsid w:val="73730B78"/>
    <w:rsid w:val="73732D77"/>
    <w:rsid w:val="737407F8"/>
    <w:rsid w:val="737465FA"/>
    <w:rsid w:val="7376008C"/>
    <w:rsid w:val="73761AFD"/>
    <w:rsid w:val="73764465"/>
    <w:rsid w:val="73773F76"/>
    <w:rsid w:val="73785000"/>
    <w:rsid w:val="737871FE"/>
    <w:rsid w:val="73794C80"/>
    <w:rsid w:val="737954EF"/>
    <w:rsid w:val="737A0503"/>
    <w:rsid w:val="737A2701"/>
    <w:rsid w:val="737B0183"/>
    <w:rsid w:val="737B3A06"/>
    <w:rsid w:val="737B5F85"/>
    <w:rsid w:val="737C1488"/>
    <w:rsid w:val="737C5C05"/>
    <w:rsid w:val="737D6F09"/>
    <w:rsid w:val="737E498B"/>
    <w:rsid w:val="737F171E"/>
    <w:rsid w:val="737F240C"/>
    <w:rsid w:val="73800C14"/>
    <w:rsid w:val="73823391"/>
    <w:rsid w:val="73823836"/>
    <w:rsid w:val="73827B0E"/>
    <w:rsid w:val="73832869"/>
    <w:rsid w:val="73834578"/>
    <w:rsid w:val="7383558F"/>
    <w:rsid w:val="73843011"/>
    <w:rsid w:val="73846894"/>
    <w:rsid w:val="73852193"/>
    <w:rsid w:val="73866514"/>
    <w:rsid w:val="73873F96"/>
    <w:rsid w:val="73881A17"/>
    <w:rsid w:val="7388529A"/>
    <w:rsid w:val="738A1B7C"/>
    <w:rsid w:val="738B299C"/>
    <w:rsid w:val="738C041D"/>
    <w:rsid w:val="738C38E2"/>
    <w:rsid w:val="738C3CA1"/>
    <w:rsid w:val="738C5E9F"/>
    <w:rsid w:val="738D3920"/>
    <w:rsid w:val="738F3940"/>
    <w:rsid w:val="738F53D1"/>
    <w:rsid w:val="738F6E24"/>
    <w:rsid w:val="739026A7"/>
    <w:rsid w:val="73905BE7"/>
    <w:rsid w:val="73905DAB"/>
    <w:rsid w:val="73912327"/>
    <w:rsid w:val="739169EA"/>
    <w:rsid w:val="73916F0B"/>
    <w:rsid w:val="73925C3E"/>
    <w:rsid w:val="73927DA8"/>
    <w:rsid w:val="7393362B"/>
    <w:rsid w:val="7394444F"/>
    <w:rsid w:val="73950D2D"/>
    <w:rsid w:val="73951E16"/>
    <w:rsid w:val="73951FDA"/>
    <w:rsid w:val="739545B0"/>
    <w:rsid w:val="739574DD"/>
    <w:rsid w:val="739667AE"/>
    <w:rsid w:val="73974230"/>
    <w:rsid w:val="73981CB2"/>
    <w:rsid w:val="739840F2"/>
    <w:rsid w:val="73985535"/>
    <w:rsid w:val="73992FB6"/>
    <w:rsid w:val="73997733"/>
    <w:rsid w:val="739A0A38"/>
    <w:rsid w:val="739B2C36"/>
    <w:rsid w:val="739B6045"/>
    <w:rsid w:val="739B64B9"/>
    <w:rsid w:val="739B6D58"/>
    <w:rsid w:val="739C06B8"/>
    <w:rsid w:val="739C3F3B"/>
    <w:rsid w:val="739D6139"/>
    <w:rsid w:val="739F0CFB"/>
    <w:rsid w:val="739F4EC0"/>
    <w:rsid w:val="73A02941"/>
    <w:rsid w:val="73A070BE"/>
    <w:rsid w:val="73A14B3F"/>
    <w:rsid w:val="73A25E44"/>
    <w:rsid w:val="73A26A77"/>
    <w:rsid w:val="73A30043"/>
    <w:rsid w:val="73A338C6"/>
    <w:rsid w:val="73A41347"/>
    <w:rsid w:val="73A43546"/>
    <w:rsid w:val="73A45AC4"/>
    <w:rsid w:val="73A56631"/>
    <w:rsid w:val="73A66A49"/>
    <w:rsid w:val="73A87D4E"/>
    <w:rsid w:val="73A957CF"/>
    <w:rsid w:val="73AA0F95"/>
    <w:rsid w:val="73AA1159"/>
    <w:rsid w:val="73AA3251"/>
    <w:rsid w:val="73AB0CD2"/>
    <w:rsid w:val="73AC26D2"/>
    <w:rsid w:val="73AC6754"/>
    <w:rsid w:val="73AD1C57"/>
    <w:rsid w:val="73AD3C4B"/>
    <w:rsid w:val="73AF3484"/>
    <w:rsid w:val="73AF51C4"/>
    <w:rsid w:val="73AF5389"/>
    <w:rsid w:val="73B0236C"/>
    <w:rsid w:val="73B05D63"/>
    <w:rsid w:val="73B1065D"/>
    <w:rsid w:val="73B115BF"/>
    <w:rsid w:val="73B37E7A"/>
    <w:rsid w:val="73B57063"/>
    <w:rsid w:val="73B61F92"/>
    <w:rsid w:val="73B64AE5"/>
    <w:rsid w:val="73B72566"/>
    <w:rsid w:val="73B72B30"/>
    <w:rsid w:val="73B777A0"/>
    <w:rsid w:val="73BA34EB"/>
    <w:rsid w:val="73BA4A84"/>
    <w:rsid w:val="73BB0F6D"/>
    <w:rsid w:val="73BB5FFC"/>
    <w:rsid w:val="73BD5740"/>
    <w:rsid w:val="73BD773A"/>
    <w:rsid w:val="73BE0114"/>
    <w:rsid w:val="73BE1EF1"/>
    <w:rsid w:val="73BE4472"/>
    <w:rsid w:val="73BF3510"/>
    <w:rsid w:val="73BF4107"/>
    <w:rsid w:val="73C123F0"/>
    <w:rsid w:val="73C2417B"/>
    <w:rsid w:val="73C31BFC"/>
    <w:rsid w:val="73C36379"/>
    <w:rsid w:val="73C37F71"/>
    <w:rsid w:val="73C4187C"/>
    <w:rsid w:val="73C4767E"/>
    <w:rsid w:val="73C51AD5"/>
    <w:rsid w:val="73C62B81"/>
    <w:rsid w:val="73C658BC"/>
    <w:rsid w:val="73C72801"/>
    <w:rsid w:val="73C7645B"/>
    <w:rsid w:val="73C764D5"/>
    <w:rsid w:val="73C80282"/>
    <w:rsid w:val="73C86084"/>
    <w:rsid w:val="73C86FF9"/>
    <w:rsid w:val="73C90572"/>
    <w:rsid w:val="73C93B06"/>
    <w:rsid w:val="73C95D04"/>
    <w:rsid w:val="73CA1587"/>
    <w:rsid w:val="73CA4C19"/>
    <w:rsid w:val="73CC250C"/>
    <w:rsid w:val="73CC4A8A"/>
    <w:rsid w:val="73CC6C88"/>
    <w:rsid w:val="73CD3228"/>
    <w:rsid w:val="73CD620E"/>
    <w:rsid w:val="73CD7F8D"/>
    <w:rsid w:val="73CE5A0F"/>
    <w:rsid w:val="73CE6058"/>
    <w:rsid w:val="73CF3490"/>
    <w:rsid w:val="73D00F12"/>
    <w:rsid w:val="73D0568F"/>
    <w:rsid w:val="73D15EDF"/>
    <w:rsid w:val="73D24415"/>
    <w:rsid w:val="73D31E97"/>
    <w:rsid w:val="73D36613"/>
    <w:rsid w:val="73D44095"/>
    <w:rsid w:val="73D47918"/>
    <w:rsid w:val="73D51B16"/>
    <w:rsid w:val="73D53EF2"/>
    <w:rsid w:val="73D5539A"/>
    <w:rsid w:val="73D67598"/>
    <w:rsid w:val="73D75019"/>
    <w:rsid w:val="73D82A9B"/>
    <w:rsid w:val="73D9051D"/>
    <w:rsid w:val="73D93DA0"/>
    <w:rsid w:val="73D95029"/>
    <w:rsid w:val="73DA1821"/>
    <w:rsid w:val="73DA2545"/>
    <w:rsid w:val="73DA4A3B"/>
    <w:rsid w:val="73DA4BFF"/>
    <w:rsid w:val="73DB3A20"/>
    <w:rsid w:val="73DB579E"/>
    <w:rsid w:val="73DB72A3"/>
    <w:rsid w:val="73DC0F0C"/>
    <w:rsid w:val="73DC3080"/>
    <w:rsid w:val="73DC4D25"/>
    <w:rsid w:val="73DC6178"/>
    <w:rsid w:val="73DE2426"/>
    <w:rsid w:val="73DF5CA9"/>
    <w:rsid w:val="73E111AC"/>
    <w:rsid w:val="73E133AB"/>
    <w:rsid w:val="73E20E2C"/>
    <w:rsid w:val="73E2612C"/>
    <w:rsid w:val="73E26C2E"/>
    <w:rsid w:val="73E5505E"/>
    <w:rsid w:val="73E55634"/>
    <w:rsid w:val="73E67832"/>
    <w:rsid w:val="73E76412"/>
    <w:rsid w:val="73E82D35"/>
    <w:rsid w:val="73E907B7"/>
    <w:rsid w:val="73E9403A"/>
    <w:rsid w:val="73EA052A"/>
    <w:rsid w:val="73EA1ABC"/>
    <w:rsid w:val="73EA3012"/>
    <w:rsid w:val="73EB241B"/>
    <w:rsid w:val="73EB753D"/>
    <w:rsid w:val="73EF26C0"/>
    <w:rsid w:val="73EF3BBA"/>
    <w:rsid w:val="73EF5F44"/>
    <w:rsid w:val="73F00142"/>
    <w:rsid w:val="73F039C5"/>
    <w:rsid w:val="73F11447"/>
    <w:rsid w:val="73F23645"/>
    <w:rsid w:val="73F3724A"/>
    <w:rsid w:val="73F409A8"/>
    <w:rsid w:val="73F445CA"/>
    <w:rsid w:val="73F46B48"/>
    <w:rsid w:val="73F57E4D"/>
    <w:rsid w:val="73F6588F"/>
    <w:rsid w:val="73F658CE"/>
    <w:rsid w:val="73F71F01"/>
    <w:rsid w:val="73F80DD1"/>
    <w:rsid w:val="73F82A9F"/>
    <w:rsid w:val="73F85B5B"/>
    <w:rsid w:val="73F90A51"/>
    <w:rsid w:val="73F94F64"/>
    <w:rsid w:val="73F952CF"/>
    <w:rsid w:val="73FA4018"/>
    <w:rsid w:val="73FA42D5"/>
    <w:rsid w:val="73FA64D3"/>
    <w:rsid w:val="73FB1D56"/>
    <w:rsid w:val="73FB3F54"/>
    <w:rsid w:val="73FB4BB7"/>
    <w:rsid w:val="73FB4CB6"/>
    <w:rsid w:val="73FB52EC"/>
    <w:rsid w:val="73FE4ED9"/>
    <w:rsid w:val="73FE6B0A"/>
    <w:rsid w:val="73FE6CCE"/>
    <w:rsid w:val="73FF61DE"/>
    <w:rsid w:val="740003DC"/>
    <w:rsid w:val="74000DE6"/>
    <w:rsid w:val="74003C5F"/>
    <w:rsid w:val="740116E1"/>
    <w:rsid w:val="740117C0"/>
    <w:rsid w:val="74015E5E"/>
    <w:rsid w:val="74031361"/>
    <w:rsid w:val="74042666"/>
    <w:rsid w:val="740542B2"/>
    <w:rsid w:val="74054864"/>
    <w:rsid w:val="740622E5"/>
    <w:rsid w:val="74064E51"/>
    <w:rsid w:val="74065ABE"/>
    <w:rsid w:val="740735EA"/>
    <w:rsid w:val="74077D67"/>
    <w:rsid w:val="7408106C"/>
    <w:rsid w:val="7408658E"/>
    <w:rsid w:val="74096F68"/>
    <w:rsid w:val="740B06A5"/>
    <w:rsid w:val="740B676D"/>
    <w:rsid w:val="740C41EF"/>
    <w:rsid w:val="740D1C1E"/>
    <w:rsid w:val="740D1C70"/>
    <w:rsid w:val="740D27BD"/>
    <w:rsid w:val="740D54F4"/>
    <w:rsid w:val="740E5173"/>
    <w:rsid w:val="740F09F7"/>
    <w:rsid w:val="740F3D36"/>
    <w:rsid w:val="74106478"/>
    <w:rsid w:val="74113EFA"/>
    <w:rsid w:val="741152AF"/>
    <w:rsid w:val="74152900"/>
    <w:rsid w:val="7415295F"/>
    <w:rsid w:val="74161D68"/>
    <w:rsid w:val="74163C02"/>
    <w:rsid w:val="74181306"/>
    <w:rsid w:val="741D578E"/>
    <w:rsid w:val="741D60E7"/>
    <w:rsid w:val="741E320F"/>
    <w:rsid w:val="741E6C86"/>
    <w:rsid w:val="741E793C"/>
    <w:rsid w:val="741F7660"/>
    <w:rsid w:val="742001FF"/>
    <w:rsid w:val="742003C3"/>
    <w:rsid w:val="74206713"/>
    <w:rsid w:val="74214194"/>
    <w:rsid w:val="74231E91"/>
    <w:rsid w:val="74237697"/>
    <w:rsid w:val="74253CB9"/>
    <w:rsid w:val="74254390"/>
    <w:rsid w:val="7426061C"/>
    <w:rsid w:val="74283B1F"/>
    <w:rsid w:val="74294E24"/>
    <w:rsid w:val="742A7022"/>
    <w:rsid w:val="742C5DA8"/>
    <w:rsid w:val="742D1D9A"/>
    <w:rsid w:val="742D7FA7"/>
    <w:rsid w:val="742E34AA"/>
    <w:rsid w:val="742F0F2B"/>
    <w:rsid w:val="743047AF"/>
    <w:rsid w:val="743069AD"/>
    <w:rsid w:val="74312A1D"/>
    <w:rsid w:val="743146C8"/>
    <w:rsid w:val="74321EB0"/>
    <w:rsid w:val="74325266"/>
    <w:rsid w:val="7432542B"/>
    <w:rsid w:val="74327E3A"/>
    <w:rsid w:val="74336D22"/>
    <w:rsid w:val="74345C0A"/>
    <w:rsid w:val="743469A4"/>
    <w:rsid w:val="743566B8"/>
    <w:rsid w:val="743608B6"/>
    <w:rsid w:val="74367F1C"/>
    <w:rsid w:val="74371BBB"/>
    <w:rsid w:val="74376338"/>
    <w:rsid w:val="74384AB6"/>
    <w:rsid w:val="743A2B40"/>
    <w:rsid w:val="743C27BF"/>
    <w:rsid w:val="743C4B26"/>
    <w:rsid w:val="743D3AC4"/>
    <w:rsid w:val="743E1546"/>
    <w:rsid w:val="743E609F"/>
    <w:rsid w:val="743F3744"/>
    <w:rsid w:val="743F6E02"/>
    <w:rsid w:val="743F6FC7"/>
    <w:rsid w:val="744011C6"/>
    <w:rsid w:val="74404A49"/>
    <w:rsid w:val="74411194"/>
    <w:rsid w:val="744124CA"/>
    <w:rsid w:val="74416C47"/>
    <w:rsid w:val="74420E29"/>
    <w:rsid w:val="744246C9"/>
    <w:rsid w:val="7443214A"/>
    <w:rsid w:val="74432492"/>
    <w:rsid w:val="74450ED1"/>
    <w:rsid w:val="744530CF"/>
    <w:rsid w:val="74453847"/>
    <w:rsid w:val="74453A0B"/>
    <w:rsid w:val="74460B51"/>
    <w:rsid w:val="74466952"/>
    <w:rsid w:val="744743D4"/>
    <w:rsid w:val="74484054"/>
    <w:rsid w:val="744A7557"/>
    <w:rsid w:val="744B2DDA"/>
    <w:rsid w:val="744B4FD8"/>
    <w:rsid w:val="744B7C3A"/>
    <w:rsid w:val="744C085C"/>
    <w:rsid w:val="744D04DB"/>
    <w:rsid w:val="744D3D5F"/>
    <w:rsid w:val="744D62DD"/>
    <w:rsid w:val="744E1D52"/>
    <w:rsid w:val="744E5F5D"/>
    <w:rsid w:val="744F39DE"/>
    <w:rsid w:val="744F471E"/>
    <w:rsid w:val="74503106"/>
    <w:rsid w:val="745032CB"/>
    <w:rsid w:val="74504CE3"/>
    <w:rsid w:val="74524963"/>
    <w:rsid w:val="745323E5"/>
    <w:rsid w:val="74535F81"/>
    <w:rsid w:val="745436E9"/>
    <w:rsid w:val="74547E66"/>
    <w:rsid w:val="745558E8"/>
    <w:rsid w:val="745574FA"/>
    <w:rsid w:val="74563369"/>
    <w:rsid w:val="74567ED4"/>
    <w:rsid w:val="74570DEB"/>
    <w:rsid w:val="74581611"/>
    <w:rsid w:val="745820F0"/>
    <w:rsid w:val="7458686C"/>
    <w:rsid w:val="74597B71"/>
    <w:rsid w:val="745A1D70"/>
    <w:rsid w:val="745B3564"/>
    <w:rsid w:val="745B77F1"/>
    <w:rsid w:val="745C0AF6"/>
    <w:rsid w:val="745D0776"/>
    <w:rsid w:val="745D2CF4"/>
    <w:rsid w:val="745E3944"/>
    <w:rsid w:val="745E61F7"/>
    <w:rsid w:val="745E64BA"/>
    <w:rsid w:val="745F3C79"/>
    <w:rsid w:val="745F4E81"/>
    <w:rsid w:val="745F5C2E"/>
    <w:rsid w:val="745F6056"/>
    <w:rsid w:val="746074FC"/>
    <w:rsid w:val="74607793"/>
    <w:rsid w:val="74610332"/>
    <w:rsid w:val="7461717C"/>
    <w:rsid w:val="74624BFD"/>
    <w:rsid w:val="74630481"/>
    <w:rsid w:val="74646C25"/>
    <w:rsid w:val="74652E24"/>
    <w:rsid w:val="74652FE8"/>
    <w:rsid w:val="74655B82"/>
    <w:rsid w:val="74663604"/>
    <w:rsid w:val="74666E87"/>
    <w:rsid w:val="74671085"/>
    <w:rsid w:val="7467439D"/>
    <w:rsid w:val="7468238A"/>
    <w:rsid w:val="74682796"/>
    <w:rsid w:val="74684F3B"/>
    <w:rsid w:val="74694588"/>
    <w:rsid w:val="74697E0C"/>
    <w:rsid w:val="746A200A"/>
    <w:rsid w:val="746A4FA7"/>
    <w:rsid w:val="746A588D"/>
    <w:rsid w:val="746A64B4"/>
    <w:rsid w:val="746B330F"/>
    <w:rsid w:val="746C0D90"/>
    <w:rsid w:val="746C7BF2"/>
    <w:rsid w:val="746D040B"/>
    <w:rsid w:val="746D116A"/>
    <w:rsid w:val="746D6812"/>
    <w:rsid w:val="746E0A10"/>
    <w:rsid w:val="746E1B45"/>
    <w:rsid w:val="74707796"/>
    <w:rsid w:val="74711995"/>
    <w:rsid w:val="74715218"/>
    <w:rsid w:val="74745D74"/>
    <w:rsid w:val="74753C1E"/>
    <w:rsid w:val="747616A0"/>
    <w:rsid w:val="74777121"/>
    <w:rsid w:val="74777E8B"/>
    <w:rsid w:val="74784BA3"/>
    <w:rsid w:val="747A2167"/>
    <w:rsid w:val="747B5B27"/>
    <w:rsid w:val="747B7C0F"/>
    <w:rsid w:val="747C35A9"/>
    <w:rsid w:val="747E452E"/>
    <w:rsid w:val="747E6AAC"/>
    <w:rsid w:val="74806BAC"/>
    <w:rsid w:val="74807A31"/>
    <w:rsid w:val="748309B5"/>
    <w:rsid w:val="74841A27"/>
    <w:rsid w:val="74852E4A"/>
    <w:rsid w:val="74853EB9"/>
    <w:rsid w:val="74862FA0"/>
    <w:rsid w:val="748773BC"/>
    <w:rsid w:val="74884E3D"/>
    <w:rsid w:val="748928BF"/>
    <w:rsid w:val="74894EF3"/>
    <w:rsid w:val="74895A91"/>
    <w:rsid w:val="748A4EA4"/>
    <w:rsid w:val="748B3D8C"/>
    <w:rsid w:val="748B40F7"/>
    <w:rsid w:val="748B5DC2"/>
    <w:rsid w:val="748C3843"/>
    <w:rsid w:val="748D12C5"/>
    <w:rsid w:val="748E25CA"/>
    <w:rsid w:val="748F004B"/>
    <w:rsid w:val="748F1AFC"/>
    <w:rsid w:val="748F1CC1"/>
    <w:rsid w:val="74905ACD"/>
    <w:rsid w:val="74917CCB"/>
    <w:rsid w:val="74920FD0"/>
    <w:rsid w:val="749347B2"/>
    <w:rsid w:val="74936A51"/>
    <w:rsid w:val="749566D1"/>
    <w:rsid w:val="74961BD4"/>
    <w:rsid w:val="74964153"/>
    <w:rsid w:val="74967468"/>
    <w:rsid w:val="74970007"/>
    <w:rsid w:val="74977656"/>
    <w:rsid w:val="74980BA6"/>
    <w:rsid w:val="74982ED9"/>
    <w:rsid w:val="74983A1F"/>
    <w:rsid w:val="74987F0D"/>
    <w:rsid w:val="7499095B"/>
    <w:rsid w:val="74996A8A"/>
    <w:rsid w:val="749A14F3"/>
    <w:rsid w:val="749A1F5A"/>
    <w:rsid w:val="749A63DC"/>
    <w:rsid w:val="749B605C"/>
    <w:rsid w:val="749C18DF"/>
    <w:rsid w:val="749C2AA6"/>
    <w:rsid w:val="749C3698"/>
    <w:rsid w:val="749C3ADE"/>
    <w:rsid w:val="749D7361"/>
    <w:rsid w:val="749F02E6"/>
    <w:rsid w:val="749F4A62"/>
    <w:rsid w:val="749F4E75"/>
    <w:rsid w:val="749F55EB"/>
    <w:rsid w:val="74A024E4"/>
    <w:rsid w:val="74A137E9"/>
    <w:rsid w:val="74A16D28"/>
    <w:rsid w:val="74A17F65"/>
    <w:rsid w:val="74A2126A"/>
    <w:rsid w:val="74A27702"/>
    <w:rsid w:val="74A36CEC"/>
    <w:rsid w:val="74A40EEA"/>
    <w:rsid w:val="74A67C70"/>
    <w:rsid w:val="74A71E6F"/>
    <w:rsid w:val="74A721F0"/>
    <w:rsid w:val="74A756F2"/>
    <w:rsid w:val="74A83174"/>
    <w:rsid w:val="74A878F0"/>
    <w:rsid w:val="74A90BF5"/>
    <w:rsid w:val="74AA2DF3"/>
    <w:rsid w:val="74AA5A49"/>
    <w:rsid w:val="74AA6677"/>
    <w:rsid w:val="74AB354D"/>
    <w:rsid w:val="74AB40F8"/>
    <w:rsid w:val="74AD3D78"/>
    <w:rsid w:val="74AD75FB"/>
    <w:rsid w:val="74AE053B"/>
    <w:rsid w:val="74AE17FA"/>
    <w:rsid w:val="74AE2AF4"/>
    <w:rsid w:val="74AF129E"/>
    <w:rsid w:val="74AF2AFE"/>
    <w:rsid w:val="74AF4CFD"/>
    <w:rsid w:val="74B00580"/>
    <w:rsid w:val="74B12817"/>
    <w:rsid w:val="74B25C81"/>
    <w:rsid w:val="74B33703"/>
    <w:rsid w:val="74B41184"/>
    <w:rsid w:val="74B45308"/>
    <w:rsid w:val="74B46F86"/>
    <w:rsid w:val="74B56C06"/>
    <w:rsid w:val="74B66A46"/>
    <w:rsid w:val="74B67F0B"/>
    <w:rsid w:val="74B8340E"/>
    <w:rsid w:val="74BA1537"/>
    <w:rsid w:val="74BA308E"/>
    <w:rsid w:val="74BA6911"/>
    <w:rsid w:val="74BB7017"/>
    <w:rsid w:val="74BC1E14"/>
    <w:rsid w:val="74BC6591"/>
    <w:rsid w:val="74BD364F"/>
    <w:rsid w:val="74BD4012"/>
    <w:rsid w:val="74BD7896"/>
    <w:rsid w:val="74BE1A94"/>
    <w:rsid w:val="74BE5317"/>
    <w:rsid w:val="74BF2D99"/>
    <w:rsid w:val="74BF4BC8"/>
    <w:rsid w:val="74C0081A"/>
    <w:rsid w:val="74C04F97"/>
    <w:rsid w:val="74C12A19"/>
    <w:rsid w:val="74C2049A"/>
    <w:rsid w:val="74C30258"/>
    <w:rsid w:val="74C35F1C"/>
    <w:rsid w:val="74C37BC5"/>
    <w:rsid w:val="74C4399D"/>
    <w:rsid w:val="74C46742"/>
    <w:rsid w:val="74C47221"/>
    <w:rsid w:val="74C5141F"/>
    <w:rsid w:val="74C53226"/>
    <w:rsid w:val="74C557E0"/>
    <w:rsid w:val="74C55B4B"/>
    <w:rsid w:val="74C62370"/>
    <w:rsid w:val="74C62724"/>
    <w:rsid w:val="74C64922"/>
    <w:rsid w:val="74C701A5"/>
    <w:rsid w:val="74C723A3"/>
    <w:rsid w:val="74C72F0F"/>
    <w:rsid w:val="74C838E9"/>
    <w:rsid w:val="74C83AAD"/>
    <w:rsid w:val="74C936A8"/>
    <w:rsid w:val="74C958A7"/>
    <w:rsid w:val="74CA112A"/>
    <w:rsid w:val="74CC462D"/>
    <w:rsid w:val="74CC682B"/>
    <w:rsid w:val="74CD42AD"/>
    <w:rsid w:val="74CE06B6"/>
    <w:rsid w:val="74CE7B30"/>
    <w:rsid w:val="74CF1091"/>
    <w:rsid w:val="74D00AB5"/>
    <w:rsid w:val="74D12037"/>
    <w:rsid w:val="74D20F1F"/>
    <w:rsid w:val="74D361B6"/>
    <w:rsid w:val="74D478E6"/>
    <w:rsid w:val="74D54F3C"/>
    <w:rsid w:val="74D65E5E"/>
    <w:rsid w:val="74D6713B"/>
    <w:rsid w:val="74D70440"/>
    <w:rsid w:val="74D76839"/>
    <w:rsid w:val="74D85EC1"/>
    <w:rsid w:val="74D97F76"/>
    <w:rsid w:val="74DA0950"/>
    <w:rsid w:val="74DA5B41"/>
    <w:rsid w:val="74DC2A68"/>
    <w:rsid w:val="74DC48C7"/>
    <w:rsid w:val="74DD2349"/>
    <w:rsid w:val="74DE3FE1"/>
    <w:rsid w:val="74DE41A5"/>
    <w:rsid w:val="74DE7DCA"/>
    <w:rsid w:val="74E032CD"/>
    <w:rsid w:val="74E1294F"/>
    <w:rsid w:val="74E13026"/>
    <w:rsid w:val="74E162BD"/>
    <w:rsid w:val="74E20230"/>
    <w:rsid w:val="74E21D58"/>
    <w:rsid w:val="74E225E4"/>
    <w:rsid w:val="74E2320D"/>
    <w:rsid w:val="74E34252"/>
    <w:rsid w:val="74E37836"/>
    <w:rsid w:val="74E40210"/>
    <w:rsid w:val="74E41CD4"/>
    <w:rsid w:val="74E57755"/>
    <w:rsid w:val="74E651D7"/>
    <w:rsid w:val="74E8615B"/>
    <w:rsid w:val="74E938A0"/>
    <w:rsid w:val="74E93A65"/>
    <w:rsid w:val="74EA165E"/>
    <w:rsid w:val="74EC6556"/>
    <w:rsid w:val="74EE0065"/>
    <w:rsid w:val="74EE7ACF"/>
    <w:rsid w:val="74F03568"/>
    <w:rsid w:val="74F2294A"/>
    <w:rsid w:val="74F457F1"/>
    <w:rsid w:val="74F53273"/>
    <w:rsid w:val="74F65471"/>
    <w:rsid w:val="74F76776"/>
    <w:rsid w:val="74F8738F"/>
    <w:rsid w:val="74F900F2"/>
    <w:rsid w:val="74F963F6"/>
    <w:rsid w:val="74F97F2D"/>
    <w:rsid w:val="74FA76FB"/>
    <w:rsid w:val="74FB166B"/>
    <w:rsid w:val="74FC2045"/>
    <w:rsid w:val="74FC2BFE"/>
    <w:rsid w:val="74FD2A1F"/>
    <w:rsid w:val="74FD4DFC"/>
    <w:rsid w:val="74FE287D"/>
    <w:rsid w:val="74FE3782"/>
    <w:rsid w:val="74FF02FF"/>
    <w:rsid w:val="74FF5D81"/>
    <w:rsid w:val="75001604"/>
    <w:rsid w:val="75011284"/>
    <w:rsid w:val="75017085"/>
    <w:rsid w:val="75026D05"/>
    <w:rsid w:val="75032589"/>
    <w:rsid w:val="75036C4E"/>
    <w:rsid w:val="75036E13"/>
    <w:rsid w:val="75055A8C"/>
    <w:rsid w:val="7506570B"/>
    <w:rsid w:val="75076A10"/>
    <w:rsid w:val="75080C0F"/>
    <w:rsid w:val="75093A1C"/>
    <w:rsid w:val="750A4112"/>
    <w:rsid w:val="750A43F6"/>
    <w:rsid w:val="750A45BB"/>
    <w:rsid w:val="750A7995"/>
    <w:rsid w:val="750B5416"/>
    <w:rsid w:val="750C2CDE"/>
    <w:rsid w:val="750C7615"/>
    <w:rsid w:val="750D1087"/>
    <w:rsid w:val="750D20E7"/>
    <w:rsid w:val="750D5096"/>
    <w:rsid w:val="750E2B18"/>
    <w:rsid w:val="750F0599"/>
    <w:rsid w:val="7510189E"/>
    <w:rsid w:val="7510601B"/>
    <w:rsid w:val="75113A9C"/>
    <w:rsid w:val="7512151E"/>
    <w:rsid w:val="75121D63"/>
    <w:rsid w:val="7513273D"/>
    <w:rsid w:val="751332DC"/>
    <w:rsid w:val="751402A4"/>
    <w:rsid w:val="751524A3"/>
    <w:rsid w:val="75154854"/>
    <w:rsid w:val="75155D26"/>
    <w:rsid w:val="751637A7"/>
    <w:rsid w:val="75167F24"/>
    <w:rsid w:val="75173427"/>
    <w:rsid w:val="75180EA9"/>
    <w:rsid w:val="75186CAB"/>
    <w:rsid w:val="7519472C"/>
    <w:rsid w:val="7519692A"/>
    <w:rsid w:val="751A21AE"/>
    <w:rsid w:val="751A43AC"/>
    <w:rsid w:val="751A5150"/>
    <w:rsid w:val="751A7EE5"/>
    <w:rsid w:val="751B1E2E"/>
    <w:rsid w:val="751B4559"/>
    <w:rsid w:val="751B554A"/>
    <w:rsid w:val="751B7C2F"/>
    <w:rsid w:val="751C56B1"/>
    <w:rsid w:val="751C78AF"/>
    <w:rsid w:val="751D3132"/>
    <w:rsid w:val="751D5331"/>
    <w:rsid w:val="751E19FE"/>
    <w:rsid w:val="751E2DB2"/>
    <w:rsid w:val="751F0834"/>
    <w:rsid w:val="751F373A"/>
    <w:rsid w:val="751F6635"/>
    <w:rsid w:val="752062B5"/>
    <w:rsid w:val="75213D37"/>
    <w:rsid w:val="752175BA"/>
    <w:rsid w:val="7522503C"/>
    <w:rsid w:val="75232ABD"/>
    <w:rsid w:val="7523723A"/>
    <w:rsid w:val="7524053F"/>
    <w:rsid w:val="75244CBB"/>
    <w:rsid w:val="752477A4"/>
    <w:rsid w:val="75255FC0"/>
    <w:rsid w:val="752601BF"/>
    <w:rsid w:val="75260EE2"/>
    <w:rsid w:val="75263A42"/>
    <w:rsid w:val="752714C3"/>
    <w:rsid w:val="75271A80"/>
    <w:rsid w:val="75275C40"/>
    <w:rsid w:val="75280003"/>
    <w:rsid w:val="752836C2"/>
    <w:rsid w:val="75286F45"/>
    <w:rsid w:val="75291143"/>
    <w:rsid w:val="75292FF9"/>
    <w:rsid w:val="752949C6"/>
    <w:rsid w:val="752A39D3"/>
    <w:rsid w:val="752A62F4"/>
    <w:rsid w:val="752A6BC5"/>
    <w:rsid w:val="752B4646"/>
    <w:rsid w:val="752B7ECA"/>
    <w:rsid w:val="752C594B"/>
    <w:rsid w:val="752D33CD"/>
    <w:rsid w:val="752D7B49"/>
    <w:rsid w:val="752E7064"/>
    <w:rsid w:val="752F0ACE"/>
    <w:rsid w:val="752F7C03"/>
    <w:rsid w:val="75304351"/>
    <w:rsid w:val="75311DD3"/>
    <w:rsid w:val="753328B9"/>
    <w:rsid w:val="753374D4"/>
    <w:rsid w:val="75344F56"/>
    <w:rsid w:val="75346176"/>
    <w:rsid w:val="753507D9"/>
    <w:rsid w:val="753529D7"/>
    <w:rsid w:val="7536625B"/>
    <w:rsid w:val="75375EDA"/>
    <w:rsid w:val="7538395C"/>
    <w:rsid w:val="753913DE"/>
    <w:rsid w:val="753A26E2"/>
    <w:rsid w:val="753B0164"/>
    <w:rsid w:val="753C15DA"/>
    <w:rsid w:val="753C2362"/>
    <w:rsid w:val="753D7DE4"/>
    <w:rsid w:val="753F32E7"/>
    <w:rsid w:val="75400D68"/>
    <w:rsid w:val="75404290"/>
    <w:rsid w:val="754045EC"/>
    <w:rsid w:val="7541206D"/>
    <w:rsid w:val="754167EA"/>
    <w:rsid w:val="75435570"/>
    <w:rsid w:val="754414FE"/>
    <w:rsid w:val="754424CF"/>
    <w:rsid w:val="75450A73"/>
    <w:rsid w:val="754602FA"/>
    <w:rsid w:val="7546457C"/>
    <w:rsid w:val="75470E99"/>
    <w:rsid w:val="75473464"/>
    <w:rsid w:val="75473F77"/>
    <w:rsid w:val="754819F8"/>
    <w:rsid w:val="75492412"/>
    <w:rsid w:val="7549747A"/>
    <w:rsid w:val="754A4EFB"/>
    <w:rsid w:val="754B297D"/>
    <w:rsid w:val="754C03FE"/>
    <w:rsid w:val="754C50C8"/>
    <w:rsid w:val="754D5C67"/>
    <w:rsid w:val="754E3901"/>
    <w:rsid w:val="754F1383"/>
    <w:rsid w:val="75527D89"/>
    <w:rsid w:val="7554328C"/>
    <w:rsid w:val="755469EE"/>
    <w:rsid w:val="75550D0E"/>
    <w:rsid w:val="75552505"/>
    <w:rsid w:val="7555324A"/>
    <w:rsid w:val="75564973"/>
    <w:rsid w:val="75564988"/>
    <w:rsid w:val="75574211"/>
    <w:rsid w:val="75575526"/>
    <w:rsid w:val="75581C92"/>
    <w:rsid w:val="75585F01"/>
    <w:rsid w:val="75597714"/>
    <w:rsid w:val="755A0A19"/>
    <w:rsid w:val="755B0018"/>
    <w:rsid w:val="755C3F1C"/>
    <w:rsid w:val="755D199D"/>
    <w:rsid w:val="755D3327"/>
    <w:rsid w:val="755E36F2"/>
    <w:rsid w:val="755F4EA1"/>
    <w:rsid w:val="756036A9"/>
    <w:rsid w:val="75614083"/>
    <w:rsid w:val="75614B20"/>
    <w:rsid w:val="756225A2"/>
    <w:rsid w:val="75624DE6"/>
    <w:rsid w:val="75625E25"/>
    <w:rsid w:val="75641328"/>
    <w:rsid w:val="75645AA5"/>
    <w:rsid w:val="7564635F"/>
    <w:rsid w:val="75647671"/>
    <w:rsid w:val="75653527"/>
    <w:rsid w:val="75660FA8"/>
    <w:rsid w:val="75676A2A"/>
    <w:rsid w:val="7568182B"/>
    <w:rsid w:val="75681F2D"/>
    <w:rsid w:val="756844AB"/>
    <w:rsid w:val="75687D2E"/>
    <w:rsid w:val="756A2F68"/>
    <w:rsid w:val="756A3232"/>
    <w:rsid w:val="756C6735"/>
    <w:rsid w:val="756D41B6"/>
    <w:rsid w:val="756D63B5"/>
    <w:rsid w:val="756E5A5A"/>
    <w:rsid w:val="756F513B"/>
    <w:rsid w:val="756F76B9"/>
    <w:rsid w:val="75707339"/>
    <w:rsid w:val="75717B71"/>
    <w:rsid w:val="75720710"/>
    <w:rsid w:val="757212AF"/>
    <w:rsid w:val="757260C0"/>
    <w:rsid w:val="757302BE"/>
    <w:rsid w:val="75733B41"/>
    <w:rsid w:val="757533C6"/>
    <w:rsid w:val="75757044"/>
    <w:rsid w:val="75763F65"/>
    <w:rsid w:val="75772547"/>
    <w:rsid w:val="75795A4A"/>
    <w:rsid w:val="757A34CC"/>
    <w:rsid w:val="757B0F4D"/>
    <w:rsid w:val="757B56CA"/>
    <w:rsid w:val="757C314C"/>
    <w:rsid w:val="757D09AA"/>
    <w:rsid w:val="757D4451"/>
    <w:rsid w:val="757E170D"/>
    <w:rsid w:val="757E1ED2"/>
    <w:rsid w:val="757E664F"/>
    <w:rsid w:val="757F40D0"/>
    <w:rsid w:val="757F7954"/>
    <w:rsid w:val="75802C86"/>
    <w:rsid w:val="75803660"/>
    <w:rsid w:val="758075D4"/>
    <w:rsid w:val="75822AD7"/>
    <w:rsid w:val="75830558"/>
    <w:rsid w:val="75843DDB"/>
    <w:rsid w:val="75845FDA"/>
    <w:rsid w:val="7585185D"/>
    <w:rsid w:val="758672DF"/>
    <w:rsid w:val="75874D60"/>
    <w:rsid w:val="75876F5E"/>
    <w:rsid w:val="75880263"/>
    <w:rsid w:val="758827E2"/>
    <w:rsid w:val="75892461"/>
    <w:rsid w:val="75895CE5"/>
    <w:rsid w:val="758A2381"/>
    <w:rsid w:val="758A3766"/>
    <w:rsid w:val="758B11E8"/>
    <w:rsid w:val="758B2F20"/>
    <w:rsid w:val="758B5965"/>
    <w:rsid w:val="758C33E6"/>
    <w:rsid w:val="758C6C69"/>
    <w:rsid w:val="758D0E68"/>
    <w:rsid w:val="758D46EB"/>
    <w:rsid w:val="758F7BB5"/>
    <w:rsid w:val="75905670"/>
    <w:rsid w:val="759078B1"/>
    <w:rsid w:val="759130F1"/>
    <w:rsid w:val="75917CED"/>
    <w:rsid w:val="7592088C"/>
    <w:rsid w:val="75920B73"/>
    <w:rsid w:val="75932D71"/>
    <w:rsid w:val="759365F4"/>
    <w:rsid w:val="759407F3"/>
    <w:rsid w:val="75941E05"/>
    <w:rsid w:val="75944076"/>
    <w:rsid w:val="759529A3"/>
    <w:rsid w:val="75963CF6"/>
    <w:rsid w:val="75971777"/>
    <w:rsid w:val="75973D58"/>
    <w:rsid w:val="75982A7C"/>
    <w:rsid w:val="75984ABB"/>
    <w:rsid w:val="75984C7A"/>
    <w:rsid w:val="759871F9"/>
    <w:rsid w:val="759904FE"/>
    <w:rsid w:val="759926FC"/>
    <w:rsid w:val="75995495"/>
    <w:rsid w:val="759A017D"/>
    <w:rsid w:val="759A5F7F"/>
    <w:rsid w:val="759B75AD"/>
    <w:rsid w:val="759C1482"/>
    <w:rsid w:val="759D1102"/>
    <w:rsid w:val="759E0F0F"/>
    <w:rsid w:val="759E6B84"/>
    <w:rsid w:val="759F4605"/>
    <w:rsid w:val="75A02087"/>
    <w:rsid w:val="75A07E88"/>
    <w:rsid w:val="75A17B08"/>
    <w:rsid w:val="75A241B6"/>
    <w:rsid w:val="75A44310"/>
    <w:rsid w:val="75A51D92"/>
    <w:rsid w:val="75A5650E"/>
    <w:rsid w:val="75A67813"/>
    <w:rsid w:val="75A71A11"/>
    <w:rsid w:val="75A75295"/>
    <w:rsid w:val="75A91B22"/>
    <w:rsid w:val="75AA195E"/>
    <w:rsid w:val="75AB3C9B"/>
    <w:rsid w:val="75AC171D"/>
    <w:rsid w:val="75AD4450"/>
    <w:rsid w:val="75AD4614"/>
    <w:rsid w:val="75AD719E"/>
    <w:rsid w:val="75AF26A1"/>
    <w:rsid w:val="75B00123"/>
    <w:rsid w:val="75B06567"/>
    <w:rsid w:val="75B17106"/>
    <w:rsid w:val="75B23626"/>
    <w:rsid w:val="75B545AA"/>
    <w:rsid w:val="75B6202C"/>
    <w:rsid w:val="75B634FA"/>
    <w:rsid w:val="75B82FB1"/>
    <w:rsid w:val="75B8552F"/>
    <w:rsid w:val="75B90A32"/>
    <w:rsid w:val="75B9544D"/>
    <w:rsid w:val="75B975E7"/>
    <w:rsid w:val="75BA5FEB"/>
    <w:rsid w:val="75BA64B4"/>
    <w:rsid w:val="75BB5939"/>
    <w:rsid w:val="75BB6755"/>
    <w:rsid w:val="75BC19B7"/>
    <w:rsid w:val="75BC4BFC"/>
    <w:rsid w:val="75BC4F67"/>
    <w:rsid w:val="75BD7438"/>
    <w:rsid w:val="75BD7F3E"/>
    <w:rsid w:val="75BE0ADD"/>
    <w:rsid w:val="75BE0CA2"/>
    <w:rsid w:val="75C03C40"/>
    <w:rsid w:val="75C116C2"/>
    <w:rsid w:val="75C13CBB"/>
    <w:rsid w:val="75C20DFC"/>
    <w:rsid w:val="75C238C0"/>
    <w:rsid w:val="75C34BC5"/>
    <w:rsid w:val="75C44D0C"/>
    <w:rsid w:val="75C458AB"/>
    <w:rsid w:val="75C46DC3"/>
    <w:rsid w:val="75C54845"/>
    <w:rsid w:val="75C56449"/>
    <w:rsid w:val="75C65B4A"/>
    <w:rsid w:val="75C66E24"/>
    <w:rsid w:val="75C735CB"/>
    <w:rsid w:val="75C779C2"/>
    <w:rsid w:val="75C77D48"/>
    <w:rsid w:val="75C8104D"/>
    <w:rsid w:val="75C9324B"/>
    <w:rsid w:val="75C96ACE"/>
    <w:rsid w:val="75CA4550"/>
    <w:rsid w:val="75CB6D02"/>
    <w:rsid w:val="75CC2E8E"/>
    <w:rsid w:val="75CC7A53"/>
    <w:rsid w:val="75CD2682"/>
    <w:rsid w:val="75CE2F56"/>
    <w:rsid w:val="75CE76D3"/>
    <w:rsid w:val="75CF09D8"/>
    <w:rsid w:val="75CF16D8"/>
    <w:rsid w:val="75CF516A"/>
    <w:rsid w:val="75D00657"/>
    <w:rsid w:val="75D02BD6"/>
    <w:rsid w:val="75D06459"/>
    <w:rsid w:val="75D13EDB"/>
    <w:rsid w:val="75D2195C"/>
    <w:rsid w:val="75D315DC"/>
    <w:rsid w:val="75D373DE"/>
    <w:rsid w:val="75D37C5C"/>
    <w:rsid w:val="75D41399"/>
    <w:rsid w:val="75D6274E"/>
    <w:rsid w:val="75D77FE2"/>
    <w:rsid w:val="75D812E7"/>
    <w:rsid w:val="75D85A64"/>
    <w:rsid w:val="75DA0F67"/>
    <w:rsid w:val="75DA5404"/>
    <w:rsid w:val="75DB5FA3"/>
    <w:rsid w:val="75DB69E8"/>
    <w:rsid w:val="75DC446A"/>
    <w:rsid w:val="75DD576F"/>
    <w:rsid w:val="75DD751C"/>
    <w:rsid w:val="75DE31F0"/>
    <w:rsid w:val="75E021D2"/>
    <w:rsid w:val="75E02E70"/>
    <w:rsid w:val="75E066F3"/>
    <w:rsid w:val="75E14175"/>
    <w:rsid w:val="75E21BF7"/>
    <w:rsid w:val="75E33583"/>
    <w:rsid w:val="75E37678"/>
    <w:rsid w:val="75E41876"/>
    <w:rsid w:val="75E572F8"/>
    <w:rsid w:val="75E64D79"/>
    <w:rsid w:val="75E727FB"/>
    <w:rsid w:val="75E74393"/>
    <w:rsid w:val="75E7607E"/>
    <w:rsid w:val="75E8027D"/>
    <w:rsid w:val="75E8379C"/>
    <w:rsid w:val="75E83B00"/>
    <w:rsid w:val="75E90518"/>
    <w:rsid w:val="75E91581"/>
    <w:rsid w:val="75E94CF3"/>
    <w:rsid w:val="75E95CFE"/>
    <w:rsid w:val="75EC4704"/>
    <w:rsid w:val="75ED2186"/>
    <w:rsid w:val="75EE4748"/>
    <w:rsid w:val="75EE7C07"/>
    <w:rsid w:val="75EF348B"/>
    <w:rsid w:val="75EF3E2B"/>
    <w:rsid w:val="75EF5689"/>
    <w:rsid w:val="75F00F0C"/>
    <w:rsid w:val="75F0310B"/>
    <w:rsid w:val="75F05CC0"/>
    <w:rsid w:val="75F1698E"/>
    <w:rsid w:val="75F21E91"/>
    <w:rsid w:val="75F2660E"/>
    <w:rsid w:val="75F27075"/>
    <w:rsid w:val="75F37912"/>
    <w:rsid w:val="75F4087F"/>
    <w:rsid w:val="75F41B11"/>
    <w:rsid w:val="75F45394"/>
    <w:rsid w:val="75F5118C"/>
    <w:rsid w:val="75F52E16"/>
    <w:rsid w:val="75F57592"/>
    <w:rsid w:val="75F57767"/>
    <w:rsid w:val="75F60897"/>
    <w:rsid w:val="75F669BB"/>
    <w:rsid w:val="75F72A95"/>
    <w:rsid w:val="75F832A4"/>
    <w:rsid w:val="75F83D9A"/>
    <w:rsid w:val="75F93A28"/>
    <w:rsid w:val="75F95F98"/>
    <w:rsid w:val="75FA3A1A"/>
    <w:rsid w:val="75FA729D"/>
    <w:rsid w:val="75FB149C"/>
    <w:rsid w:val="75FC27A0"/>
    <w:rsid w:val="75FC6AF9"/>
    <w:rsid w:val="75FC6F1D"/>
    <w:rsid w:val="75FD499F"/>
    <w:rsid w:val="75FE2420"/>
    <w:rsid w:val="75FE5CA3"/>
    <w:rsid w:val="75FF3725"/>
    <w:rsid w:val="760011A7"/>
    <w:rsid w:val="76005923"/>
    <w:rsid w:val="76010E26"/>
    <w:rsid w:val="760133A5"/>
    <w:rsid w:val="76016C28"/>
    <w:rsid w:val="760246AA"/>
    <w:rsid w:val="760268A8"/>
    <w:rsid w:val="7603212B"/>
    <w:rsid w:val="76032986"/>
    <w:rsid w:val="76033702"/>
    <w:rsid w:val="760338C7"/>
    <w:rsid w:val="760416B8"/>
    <w:rsid w:val="76047BAD"/>
    <w:rsid w:val="7605562E"/>
    <w:rsid w:val="7605782D"/>
    <w:rsid w:val="76062B1F"/>
    <w:rsid w:val="760630B0"/>
    <w:rsid w:val="760659DE"/>
    <w:rsid w:val="76070B31"/>
    <w:rsid w:val="760763B8"/>
    <w:rsid w:val="760807B1"/>
    <w:rsid w:val="760865B3"/>
    <w:rsid w:val="76086F57"/>
    <w:rsid w:val="76091AB6"/>
    <w:rsid w:val="76096233"/>
    <w:rsid w:val="760A3CB4"/>
    <w:rsid w:val="760A7538"/>
    <w:rsid w:val="760B1736"/>
    <w:rsid w:val="760B4FB9"/>
    <w:rsid w:val="760C0463"/>
    <w:rsid w:val="760D1070"/>
    <w:rsid w:val="760F39BF"/>
    <w:rsid w:val="760F453B"/>
    <w:rsid w:val="76101441"/>
    <w:rsid w:val="76115AB3"/>
    <w:rsid w:val="76115C78"/>
    <w:rsid w:val="76123CE0"/>
    <w:rsid w:val="76147BCB"/>
    <w:rsid w:val="761558C9"/>
    <w:rsid w:val="7616334A"/>
    <w:rsid w:val="76170DCC"/>
    <w:rsid w:val="7618684D"/>
    <w:rsid w:val="761942CF"/>
    <w:rsid w:val="761A1D50"/>
    <w:rsid w:val="761B77D2"/>
    <w:rsid w:val="761C5254"/>
    <w:rsid w:val="761C60D6"/>
    <w:rsid w:val="761D2CD5"/>
    <w:rsid w:val="761E0757"/>
    <w:rsid w:val="76203C5A"/>
    <w:rsid w:val="7620778A"/>
    <w:rsid w:val="762116DB"/>
    <w:rsid w:val="7622503A"/>
    <w:rsid w:val="76232660"/>
    <w:rsid w:val="762400E1"/>
    <w:rsid w:val="7624387E"/>
    <w:rsid w:val="76255B63"/>
    <w:rsid w:val="76271066"/>
    <w:rsid w:val="76277537"/>
    <w:rsid w:val="762848E9"/>
    <w:rsid w:val="76286AE8"/>
    <w:rsid w:val="76294569"/>
    <w:rsid w:val="76297DEC"/>
    <w:rsid w:val="762A1FEB"/>
    <w:rsid w:val="762B0E62"/>
    <w:rsid w:val="762C1BC5"/>
    <w:rsid w:val="762C54EE"/>
    <w:rsid w:val="762D2F6F"/>
    <w:rsid w:val="762D67F3"/>
    <w:rsid w:val="762E09F1"/>
    <w:rsid w:val="762E1A47"/>
    <w:rsid w:val="762F1CF6"/>
    <w:rsid w:val="762F6473"/>
    <w:rsid w:val="763000A3"/>
    <w:rsid w:val="76300258"/>
    <w:rsid w:val="76300779"/>
    <w:rsid w:val="7630247D"/>
    <w:rsid w:val="76307777"/>
    <w:rsid w:val="76313EF4"/>
    <w:rsid w:val="76322C7A"/>
    <w:rsid w:val="763306FC"/>
    <w:rsid w:val="76334E79"/>
    <w:rsid w:val="763428FA"/>
    <w:rsid w:val="76347D47"/>
    <w:rsid w:val="7635037C"/>
    <w:rsid w:val="76350721"/>
    <w:rsid w:val="7635099D"/>
    <w:rsid w:val="76353BFF"/>
    <w:rsid w:val="76365DFD"/>
    <w:rsid w:val="76371C9A"/>
    <w:rsid w:val="7637387F"/>
    <w:rsid w:val="76381300"/>
    <w:rsid w:val="763829FD"/>
    <w:rsid w:val="76392605"/>
    <w:rsid w:val="763933D7"/>
    <w:rsid w:val="76394804"/>
    <w:rsid w:val="763B4B15"/>
    <w:rsid w:val="763B7D07"/>
    <w:rsid w:val="763C5788"/>
    <w:rsid w:val="763D100B"/>
    <w:rsid w:val="763D320A"/>
    <w:rsid w:val="763D362D"/>
    <w:rsid w:val="763D3EB9"/>
    <w:rsid w:val="763E6A68"/>
    <w:rsid w:val="763F670D"/>
    <w:rsid w:val="7640418E"/>
    <w:rsid w:val="76407FE1"/>
    <w:rsid w:val="76411C10"/>
    <w:rsid w:val="76415493"/>
    <w:rsid w:val="76417A12"/>
    <w:rsid w:val="76422F15"/>
    <w:rsid w:val="76430996"/>
    <w:rsid w:val="76432C97"/>
    <w:rsid w:val="76450616"/>
    <w:rsid w:val="7646191B"/>
    <w:rsid w:val="76473045"/>
    <w:rsid w:val="76473B19"/>
    <w:rsid w:val="7647594D"/>
    <w:rsid w:val="7647739D"/>
    <w:rsid w:val="7648159B"/>
    <w:rsid w:val="764928A0"/>
    <w:rsid w:val="7649701C"/>
    <w:rsid w:val="764A0321"/>
    <w:rsid w:val="764B043F"/>
    <w:rsid w:val="764B251F"/>
    <w:rsid w:val="764B5DA3"/>
    <w:rsid w:val="764C0E19"/>
    <w:rsid w:val="764C5E0A"/>
    <w:rsid w:val="764C6175"/>
    <w:rsid w:val="764D12A6"/>
    <w:rsid w:val="764D505D"/>
    <w:rsid w:val="764D5A23"/>
    <w:rsid w:val="764E40FB"/>
    <w:rsid w:val="764F0F26"/>
    <w:rsid w:val="7650222A"/>
    <w:rsid w:val="7650466E"/>
    <w:rsid w:val="76514429"/>
    <w:rsid w:val="76517CAC"/>
    <w:rsid w:val="76521EAA"/>
    <w:rsid w:val="7652572E"/>
    <w:rsid w:val="76536785"/>
    <w:rsid w:val="76542E2F"/>
    <w:rsid w:val="765508B1"/>
    <w:rsid w:val="765566B2"/>
    <w:rsid w:val="765606D8"/>
    <w:rsid w:val="76564134"/>
    <w:rsid w:val="76573DB4"/>
    <w:rsid w:val="765929B4"/>
    <w:rsid w:val="765950B8"/>
    <w:rsid w:val="765A338F"/>
    <w:rsid w:val="765A3553"/>
    <w:rsid w:val="765B27BA"/>
    <w:rsid w:val="765B3F2D"/>
    <w:rsid w:val="765C54A6"/>
    <w:rsid w:val="765E373E"/>
    <w:rsid w:val="765E6FC2"/>
    <w:rsid w:val="765F4A43"/>
    <w:rsid w:val="765F75BE"/>
    <w:rsid w:val="765F7782"/>
    <w:rsid w:val="76606C42"/>
    <w:rsid w:val="766146C3"/>
    <w:rsid w:val="76617F46"/>
    <w:rsid w:val="76622145"/>
    <w:rsid w:val="766259C8"/>
    <w:rsid w:val="76632274"/>
    <w:rsid w:val="76642E13"/>
    <w:rsid w:val="76645648"/>
    <w:rsid w:val="7665694D"/>
    <w:rsid w:val="76660B4B"/>
    <w:rsid w:val="766643CE"/>
    <w:rsid w:val="76671E50"/>
    <w:rsid w:val="7668404E"/>
    <w:rsid w:val="76691AD0"/>
    <w:rsid w:val="76692017"/>
    <w:rsid w:val="76695353"/>
    <w:rsid w:val="766A2009"/>
    <w:rsid w:val="766A2DD4"/>
    <w:rsid w:val="766A7551"/>
    <w:rsid w:val="766A7A1C"/>
    <w:rsid w:val="766C04D6"/>
    <w:rsid w:val="766C1E28"/>
    <w:rsid w:val="766D196F"/>
    <w:rsid w:val="766D5F57"/>
    <w:rsid w:val="766E17DB"/>
    <w:rsid w:val="766E39D9"/>
    <w:rsid w:val="766F145A"/>
    <w:rsid w:val="76703C4B"/>
    <w:rsid w:val="76704CDE"/>
    <w:rsid w:val="76706EDC"/>
    <w:rsid w:val="7671495D"/>
    <w:rsid w:val="767201E1"/>
    <w:rsid w:val="767251C4"/>
    <w:rsid w:val="76725C62"/>
    <w:rsid w:val="76735D63"/>
    <w:rsid w:val="76741165"/>
    <w:rsid w:val="76756BE7"/>
    <w:rsid w:val="76764668"/>
    <w:rsid w:val="76767E7A"/>
    <w:rsid w:val="76774ECB"/>
    <w:rsid w:val="767753EB"/>
    <w:rsid w:val="76777C07"/>
    <w:rsid w:val="767955ED"/>
    <w:rsid w:val="767B0330"/>
    <w:rsid w:val="767B0AF0"/>
    <w:rsid w:val="767D3FF3"/>
    <w:rsid w:val="767E1A75"/>
    <w:rsid w:val="767F6B9B"/>
    <w:rsid w:val="767F74F6"/>
    <w:rsid w:val="768159E6"/>
    <w:rsid w:val="7682047B"/>
    <w:rsid w:val="76835EFD"/>
    <w:rsid w:val="7684397E"/>
    <w:rsid w:val="76852DCA"/>
    <w:rsid w:val="76853969"/>
    <w:rsid w:val="7686417E"/>
    <w:rsid w:val="76874EE2"/>
    <w:rsid w:val="76882384"/>
    <w:rsid w:val="76897E06"/>
    <w:rsid w:val="768A3309"/>
    <w:rsid w:val="768A5887"/>
    <w:rsid w:val="768B0D8B"/>
    <w:rsid w:val="768C680C"/>
    <w:rsid w:val="768D208F"/>
    <w:rsid w:val="768D428E"/>
    <w:rsid w:val="768E7B11"/>
    <w:rsid w:val="768F1F0A"/>
    <w:rsid w:val="768F24C5"/>
    <w:rsid w:val="768F5592"/>
    <w:rsid w:val="76910A96"/>
    <w:rsid w:val="76920715"/>
    <w:rsid w:val="769247A1"/>
    <w:rsid w:val="76931A1A"/>
    <w:rsid w:val="76936197"/>
    <w:rsid w:val="76945B56"/>
    <w:rsid w:val="7695169A"/>
    <w:rsid w:val="76960696"/>
    <w:rsid w:val="76967E0B"/>
    <w:rsid w:val="76967E32"/>
    <w:rsid w:val="76970420"/>
    <w:rsid w:val="7698261F"/>
    <w:rsid w:val="76985EA2"/>
    <w:rsid w:val="769900A0"/>
    <w:rsid w:val="76993924"/>
    <w:rsid w:val="769A13A5"/>
    <w:rsid w:val="769A2AE8"/>
    <w:rsid w:val="769A5B22"/>
    <w:rsid w:val="769B35A3"/>
    <w:rsid w:val="769C48A8"/>
    <w:rsid w:val="769D6AA6"/>
    <w:rsid w:val="769E2319"/>
    <w:rsid w:val="769E4528"/>
    <w:rsid w:val="769F1FAA"/>
    <w:rsid w:val="769F582D"/>
    <w:rsid w:val="76A032AE"/>
    <w:rsid w:val="76A07A2B"/>
    <w:rsid w:val="76A154AD"/>
    <w:rsid w:val="76A22F2E"/>
    <w:rsid w:val="76A267B1"/>
    <w:rsid w:val="76A33700"/>
    <w:rsid w:val="76A342F7"/>
    <w:rsid w:val="76A6375C"/>
    <w:rsid w:val="76A63920"/>
    <w:rsid w:val="76A651B8"/>
    <w:rsid w:val="76A673B6"/>
    <w:rsid w:val="76A72C39"/>
    <w:rsid w:val="76A828B9"/>
    <w:rsid w:val="76A84E99"/>
    <w:rsid w:val="76A9613C"/>
    <w:rsid w:val="76AA163F"/>
    <w:rsid w:val="76AB383E"/>
    <w:rsid w:val="76AC12BF"/>
    <w:rsid w:val="76AC4B43"/>
    <w:rsid w:val="76AC798B"/>
    <w:rsid w:val="76AD25C4"/>
    <w:rsid w:val="76AD665C"/>
    <w:rsid w:val="76AD6D41"/>
    <w:rsid w:val="76AE0046"/>
    <w:rsid w:val="76AE0F04"/>
    <w:rsid w:val="76AE47C2"/>
    <w:rsid w:val="76AF2244"/>
    <w:rsid w:val="76B03549"/>
    <w:rsid w:val="76B10FCA"/>
    <w:rsid w:val="76B231C9"/>
    <w:rsid w:val="76B24759"/>
    <w:rsid w:val="76B26A4C"/>
    <w:rsid w:val="76B30C4A"/>
    <w:rsid w:val="76B344CD"/>
    <w:rsid w:val="76B34A59"/>
    <w:rsid w:val="76B35130"/>
    <w:rsid w:val="76B352F7"/>
    <w:rsid w:val="76B41F4F"/>
    <w:rsid w:val="76B44018"/>
    <w:rsid w:val="76B5414D"/>
    <w:rsid w:val="76B566AC"/>
    <w:rsid w:val="76B65452"/>
    <w:rsid w:val="76B72ED4"/>
    <w:rsid w:val="76B77650"/>
    <w:rsid w:val="76B92B53"/>
    <w:rsid w:val="76BA6056"/>
    <w:rsid w:val="76BB18DA"/>
    <w:rsid w:val="76BB3AD8"/>
    <w:rsid w:val="76BC155A"/>
    <w:rsid w:val="76BD4BB7"/>
    <w:rsid w:val="76BD4DDD"/>
    <w:rsid w:val="76BD6FDB"/>
    <w:rsid w:val="76BE4A5D"/>
    <w:rsid w:val="76BF02E0"/>
    <w:rsid w:val="76BF24DE"/>
    <w:rsid w:val="76C00F46"/>
    <w:rsid w:val="76C06CCE"/>
    <w:rsid w:val="76C137E3"/>
    <w:rsid w:val="76C159E1"/>
    <w:rsid w:val="76C20247"/>
    <w:rsid w:val="76C21265"/>
    <w:rsid w:val="76C23463"/>
    <w:rsid w:val="76C26CE6"/>
    <w:rsid w:val="76C30EE4"/>
    <w:rsid w:val="76C421E9"/>
    <w:rsid w:val="76C46966"/>
    <w:rsid w:val="76C543E8"/>
    <w:rsid w:val="76C61E69"/>
    <w:rsid w:val="76C656EC"/>
    <w:rsid w:val="76C778EB"/>
    <w:rsid w:val="76C80BEF"/>
    <w:rsid w:val="76C842B2"/>
    <w:rsid w:val="76C84476"/>
    <w:rsid w:val="76C959EF"/>
    <w:rsid w:val="76CA086F"/>
    <w:rsid w:val="76CA40F3"/>
    <w:rsid w:val="76CA582B"/>
    <w:rsid w:val="76CB1B74"/>
    <w:rsid w:val="76CB62F1"/>
    <w:rsid w:val="76CC75F6"/>
    <w:rsid w:val="76CD5077"/>
    <w:rsid w:val="76CE2AF9"/>
    <w:rsid w:val="76CE7275"/>
    <w:rsid w:val="76CF057A"/>
    <w:rsid w:val="76D02779"/>
    <w:rsid w:val="76D05FFC"/>
    <w:rsid w:val="76D101FA"/>
    <w:rsid w:val="76D13A7D"/>
    <w:rsid w:val="76D17F50"/>
    <w:rsid w:val="76D214FF"/>
    <w:rsid w:val="76D23B71"/>
    <w:rsid w:val="76D47875"/>
    <w:rsid w:val="76D54682"/>
    <w:rsid w:val="76D55C89"/>
    <w:rsid w:val="76D55E4D"/>
    <w:rsid w:val="76D62103"/>
    <w:rsid w:val="76D67F05"/>
    <w:rsid w:val="76D75987"/>
    <w:rsid w:val="76D773C6"/>
    <w:rsid w:val="76D83408"/>
    <w:rsid w:val="76D85607"/>
    <w:rsid w:val="76D87DA0"/>
    <w:rsid w:val="76D914DE"/>
    <w:rsid w:val="76DA1EB8"/>
    <w:rsid w:val="76DB2892"/>
    <w:rsid w:val="76DB438D"/>
    <w:rsid w:val="76DC7890"/>
    <w:rsid w:val="76DE2D93"/>
    <w:rsid w:val="76DE455C"/>
    <w:rsid w:val="76DE49AA"/>
    <w:rsid w:val="76DE4B6E"/>
    <w:rsid w:val="76DE70E3"/>
    <w:rsid w:val="76DF0815"/>
    <w:rsid w:val="76E05F23"/>
    <w:rsid w:val="76E06296"/>
    <w:rsid w:val="76E21799"/>
    <w:rsid w:val="76E3003A"/>
    <w:rsid w:val="76E301FF"/>
    <w:rsid w:val="76E62CF0"/>
    <w:rsid w:val="76E75C21"/>
    <w:rsid w:val="76E836A3"/>
    <w:rsid w:val="76E8442E"/>
    <w:rsid w:val="76EA57E2"/>
    <w:rsid w:val="76EB4627"/>
    <w:rsid w:val="76EB6381"/>
    <w:rsid w:val="76EB7C9B"/>
    <w:rsid w:val="76EC20A9"/>
    <w:rsid w:val="76EC70A4"/>
    <w:rsid w:val="76EC777B"/>
    <w:rsid w:val="76ED64AD"/>
    <w:rsid w:val="76ED78FA"/>
    <w:rsid w:val="76ED7ABE"/>
    <w:rsid w:val="76ED7B2A"/>
    <w:rsid w:val="76EE55AC"/>
    <w:rsid w:val="76EE58B6"/>
    <w:rsid w:val="76EF2E90"/>
    <w:rsid w:val="76F125B0"/>
    <w:rsid w:val="76F16531"/>
    <w:rsid w:val="76F23FB2"/>
    <w:rsid w:val="76F27835"/>
    <w:rsid w:val="76F27E90"/>
    <w:rsid w:val="76F31A34"/>
    <w:rsid w:val="76F352B7"/>
    <w:rsid w:val="76F374B5"/>
    <w:rsid w:val="76F44F37"/>
    <w:rsid w:val="76F507BA"/>
    <w:rsid w:val="76F529B8"/>
    <w:rsid w:val="76F6043A"/>
    <w:rsid w:val="76F6623C"/>
    <w:rsid w:val="76F73CBD"/>
    <w:rsid w:val="76F8173F"/>
    <w:rsid w:val="76F8393D"/>
    <w:rsid w:val="76F87F1C"/>
    <w:rsid w:val="76F913BE"/>
    <w:rsid w:val="76F971C0"/>
    <w:rsid w:val="76FA2478"/>
    <w:rsid w:val="76FA6E40"/>
    <w:rsid w:val="76FB0145"/>
    <w:rsid w:val="76FB0AD5"/>
    <w:rsid w:val="76FB0E40"/>
    <w:rsid w:val="76FB11AB"/>
    <w:rsid w:val="76FB16CC"/>
    <w:rsid w:val="76FC0249"/>
    <w:rsid w:val="76FC03FE"/>
    <w:rsid w:val="76FC05B4"/>
    <w:rsid w:val="76FC2343"/>
    <w:rsid w:val="76FC5BC6"/>
    <w:rsid w:val="76FE10CA"/>
    <w:rsid w:val="77000D49"/>
    <w:rsid w:val="770045CD"/>
    <w:rsid w:val="7701204E"/>
    <w:rsid w:val="77016C3D"/>
    <w:rsid w:val="7702424C"/>
    <w:rsid w:val="770301B6"/>
    <w:rsid w:val="77031CCE"/>
    <w:rsid w:val="7703663C"/>
    <w:rsid w:val="77040D55"/>
    <w:rsid w:val="77047750"/>
    <w:rsid w:val="77050A54"/>
    <w:rsid w:val="7705172F"/>
    <w:rsid w:val="770622CE"/>
    <w:rsid w:val="77062C53"/>
    <w:rsid w:val="770664D6"/>
    <w:rsid w:val="770706D4"/>
    <w:rsid w:val="770819D9"/>
    <w:rsid w:val="77083846"/>
    <w:rsid w:val="77086156"/>
    <w:rsid w:val="7709745B"/>
    <w:rsid w:val="770A1659"/>
    <w:rsid w:val="770A4F84"/>
    <w:rsid w:val="770B295E"/>
    <w:rsid w:val="770B70DA"/>
    <w:rsid w:val="770C64FD"/>
    <w:rsid w:val="770D005F"/>
    <w:rsid w:val="770D5E61"/>
    <w:rsid w:val="770E5AE1"/>
    <w:rsid w:val="770E67F6"/>
    <w:rsid w:val="77100FE4"/>
    <w:rsid w:val="77114867"/>
    <w:rsid w:val="77116A65"/>
    <w:rsid w:val="77116D11"/>
    <w:rsid w:val="771244E7"/>
    <w:rsid w:val="771357EC"/>
    <w:rsid w:val="7714326D"/>
    <w:rsid w:val="771479EA"/>
    <w:rsid w:val="77150CEF"/>
    <w:rsid w:val="7715546B"/>
    <w:rsid w:val="77166770"/>
    <w:rsid w:val="7717096F"/>
    <w:rsid w:val="771741F2"/>
    <w:rsid w:val="7717695B"/>
    <w:rsid w:val="771769F1"/>
    <w:rsid w:val="77176D5C"/>
    <w:rsid w:val="77193E72"/>
    <w:rsid w:val="7719504D"/>
    <w:rsid w:val="771976F5"/>
    <w:rsid w:val="771A42A0"/>
    <w:rsid w:val="771A5176"/>
    <w:rsid w:val="771C1FEB"/>
    <w:rsid w:val="771D2878"/>
    <w:rsid w:val="771D60FB"/>
    <w:rsid w:val="771F15FE"/>
    <w:rsid w:val="771F5D7B"/>
    <w:rsid w:val="772037FC"/>
    <w:rsid w:val="77204A34"/>
    <w:rsid w:val="77222583"/>
    <w:rsid w:val="77232203"/>
    <w:rsid w:val="77237793"/>
    <w:rsid w:val="77247C84"/>
    <w:rsid w:val="77253507"/>
    <w:rsid w:val="77255706"/>
    <w:rsid w:val="772605D7"/>
    <w:rsid w:val="77261019"/>
    <w:rsid w:val="77276A0B"/>
    <w:rsid w:val="77277D4B"/>
    <w:rsid w:val="77286C33"/>
    <w:rsid w:val="77291F0E"/>
    <w:rsid w:val="7729410C"/>
    <w:rsid w:val="772B5411"/>
    <w:rsid w:val="772B5ADA"/>
    <w:rsid w:val="772B760F"/>
    <w:rsid w:val="772C0914"/>
    <w:rsid w:val="772D6395"/>
    <w:rsid w:val="772E314E"/>
    <w:rsid w:val="772E3E17"/>
    <w:rsid w:val="772E7A2D"/>
    <w:rsid w:val="772F6015"/>
    <w:rsid w:val="77311B44"/>
    <w:rsid w:val="77314D9C"/>
    <w:rsid w:val="7732281D"/>
    <w:rsid w:val="77331D7F"/>
    <w:rsid w:val="77334A1B"/>
    <w:rsid w:val="77343C5C"/>
    <w:rsid w:val="77345D20"/>
    <w:rsid w:val="773537A2"/>
    <w:rsid w:val="77354636"/>
    <w:rsid w:val="773572F0"/>
    <w:rsid w:val="77361223"/>
    <w:rsid w:val="77365399"/>
    <w:rsid w:val="773659A0"/>
    <w:rsid w:val="77370EEF"/>
    <w:rsid w:val="77373422"/>
    <w:rsid w:val="77376912"/>
    <w:rsid w:val="77376CA5"/>
    <w:rsid w:val="77384726"/>
    <w:rsid w:val="773921A8"/>
    <w:rsid w:val="77397E8B"/>
    <w:rsid w:val="773A0A2A"/>
    <w:rsid w:val="773B56AB"/>
    <w:rsid w:val="773B78A9"/>
    <w:rsid w:val="773C312D"/>
    <w:rsid w:val="773C532B"/>
    <w:rsid w:val="773D297D"/>
    <w:rsid w:val="773F40B1"/>
    <w:rsid w:val="773F40BA"/>
    <w:rsid w:val="77401B33"/>
    <w:rsid w:val="77404C59"/>
    <w:rsid w:val="774175B4"/>
    <w:rsid w:val="77425036"/>
    <w:rsid w:val="774261D2"/>
    <w:rsid w:val="77430539"/>
    <w:rsid w:val="77432AB8"/>
    <w:rsid w:val="7744499A"/>
    <w:rsid w:val="77444B50"/>
    <w:rsid w:val="77453A3C"/>
    <w:rsid w:val="77460CC4"/>
    <w:rsid w:val="774614BE"/>
    <w:rsid w:val="7747223C"/>
    <w:rsid w:val="77476F3F"/>
    <w:rsid w:val="774849C1"/>
    <w:rsid w:val="77492442"/>
    <w:rsid w:val="774A4354"/>
    <w:rsid w:val="774B4D2E"/>
    <w:rsid w:val="774B4EF3"/>
    <w:rsid w:val="774B5945"/>
    <w:rsid w:val="774D0E49"/>
    <w:rsid w:val="77500583"/>
    <w:rsid w:val="77501DCD"/>
    <w:rsid w:val="77517D6E"/>
    <w:rsid w:val="77517F24"/>
    <w:rsid w:val="775252D0"/>
    <w:rsid w:val="77532D52"/>
    <w:rsid w:val="77545B3E"/>
    <w:rsid w:val="775547B2"/>
    <w:rsid w:val="77556255"/>
    <w:rsid w:val="77563CD7"/>
    <w:rsid w:val="77565351"/>
    <w:rsid w:val="77571758"/>
    <w:rsid w:val="77575D2B"/>
    <w:rsid w:val="775871DA"/>
    <w:rsid w:val="77594C5B"/>
    <w:rsid w:val="775972A4"/>
    <w:rsid w:val="775C1463"/>
    <w:rsid w:val="775C3661"/>
    <w:rsid w:val="775D6EE5"/>
    <w:rsid w:val="775E4966"/>
    <w:rsid w:val="775F34D3"/>
    <w:rsid w:val="77601B0A"/>
    <w:rsid w:val="77602068"/>
    <w:rsid w:val="77602C25"/>
    <w:rsid w:val="77603EAD"/>
    <w:rsid w:val="77614A4C"/>
    <w:rsid w:val="77617AE9"/>
    <w:rsid w:val="7762336C"/>
    <w:rsid w:val="7762556B"/>
    <w:rsid w:val="77625FC5"/>
    <w:rsid w:val="77632FEC"/>
    <w:rsid w:val="77636B63"/>
    <w:rsid w:val="77636D28"/>
    <w:rsid w:val="77640A6E"/>
    <w:rsid w:val="776442F1"/>
    <w:rsid w:val="7764686F"/>
    <w:rsid w:val="77647702"/>
    <w:rsid w:val="776500DC"/>
    <w:rsid w:val="77651D73"/>
    <w:rsid w:val="776564EF"/>
    <w:rsid w:val="77663F71"/>
    <w:rsid w:val="776677F4"/>
    <w:rsid w:val="776719F2"/>
    <w:rsid w:val="77687474"/>
    <w:rsid w:val="77690779"/>
    <w:rsid w:val="77692D92"/>
    <w:rsid w:val="776A2977"/>
    <w:rsid w:val="776B03F9"/>
    <w:rsid w:val="776B3C7C"/>
    <w:rsid w:val="776B430B"/>
    <w:rsid w:val="776C5E7A"/>
    <w:rsid w:val="776D717F"/>
    <w:rsid w:val="776E413E"/>
    <w:rsid w:val="776E4C01"/>
    <w:rsid w:val="776E4D28"/>
    <w:rsid w:val="776F2682"/>
    <w:rsid w:val="776F6FC2"/>
    <w:rsid w:val="77700104"/>
    <w:rsid w:val="7771226C"/>
    <w:rsid w:val="77712302"/>
    <w:rsid w:val="77715B85"/>
    <w:rsid w:val="77727D83"/>
    <w:rsid w:val="77731088"/>
    <w:rsid w:val="777368EB"/>
    <w:rsid w:val="77743287"/>
    <w:rsid w:val="77753D8F"/>
    <w:rsid w:val="7775458B"/>
    <w:rsid w:val="7775678A"/>
    <w:rsid w:val="77762421"/>
    <w:rsid w:val="77771C8D"/>
    <w:rsid w:val="77775308"/>
    <w:rsid w:val="77785510"/>
    <w:rsid w:val="77785EA7"/>
    <w:rsid w:val="7778770E"/>
    <w:rsid w:val="77792F92"/>
    <w:rsid w:val="77796881"/>
    <w:rsid w:val="777A0A13"/>
    <w:rsid w:val="777A2C11"/>
    <w:rsid w:val="777A63E3"/>
    <w:rsid w:val="777B0693"/>
    <w:rsid w:val="777B7DFA"/>
    <w:rsid w:val="777C0999"/>
    <w:rsid w:val="777C3F16"/>
    <w:rsid w:val="777C6115"/>
    <w:rsid w:val="777D1F12"/>
    <w:rsid w:val="777D3B96"/>
    <w:rsid w:val="777E4E9B"/>
    <w:rsid w:val="777F291C"/>
    <w:rsid w:val="777F348A"/>
    <w:rsid w:val="777F3BC3"/>
    <w:rsid w:val="778046DE"/>
    <w:rsid w:val="77815E20"/>
    <w:rsid w:val="7782001E"/>
    <w:rsid w:val="77825766"/>
    <w:rsid w:val="77835A9F"/>
    <w:rsid w:val="77843521"/>
    <w:rsid w:val="77846B1B"/>
    <w:rsid w:val="77846DA4"/>
    <w:rsid w:val="77854826"/>
    <w:rsid w:val="77866A24"/>
    <w:rsid w:val="77870DF7"/>
    <w:rsid w:val="7788609C"/>
    <w:rsid w:val="7789322C"/>
    <w:rsid w:val="778A0CAD"/>
    <w:rsid w:val="778A38E9"/>
    <w:rsid w:val="778A542A"/>
    <w:rsid w:val="778B2EAC"/>
    <w:rsid w:val="778B42C3"/>
    <w:rsid w:val="778B672F"/>
    <w:rsid w:val="778C092D"/>
    <w:rsid w:val="778C10EB"/>
    <w:rsid w:val="778C5026"/>
    <w:rsid w:val="778C63AF"/>
    <w:rsid w:val="778D7747"/>
    <w:rsid w:val="778D7E1E"/>
    <w:rsid w:val="778E18B2"/>
    <w:rsid w:val="778E76B4"/>
    <w:rsid w:val="778F321E"/>
    <w:rsid w:val="778F7334"/>
    <w:rsid w:val="77910638"/>
    <w:rsid w:val="77912837"/>
    <w:rsid w:val="779202B8"/>
    <w:rsid w:val="779260BA"/>
    <w:rsid w:val="77931C2F"/>
    <w:rsid w:val="779335FC"/>
    <w:rsid w:val="779415BD"/>
    <w:rsid w:val="779437BB"/>
    <w:rsid w:val="7794703F"/>
    <w:rsid w:val="7795123D"/>
    <w:rsid w:val="779531A8"/>
    <w:rsid w:val="77954AC0"/>
    <w:rsid w:val="77966CBE"/>
    <w:rsid w:val="77977FC3"/>
    <w:rsid w:val="779934C6"/>
    <w:rsid w:val="77996839"/>
    <w:rsid w:val="779A56C5"/>
    <w:rsid w:val="779A7213"/>
    <w:rsid w:val="779A73D7"/>
    <w:rsid w:val="779B3146"/>
    <w:rsid w:val="779B69C9"/>
    <w:rsid w:val="779C0BC8"/>
    <w:rsid w:val="779D0C3B"/>
    <w:rsid w:val="779D132A"/>
    <w:rsid w:val="779D1ECC"/>
    <w:rsid w:val="779E1EC9"/>
    <w:rsid w:val="779F1B4C"/>
    <w:rsid w:val="77A02E51"/>
    <w:rsid w:val="77A03442"/>
    <w:rsid w:val="77A13FE0"/>
    <w:rsid w:val="77A22AD1"/>
    <w:rsid w:val="77A35559"/>
    <w:rsid w:val="77A3571E"/>
    <w:rsid w:val="77A41857"/>
    <w:rsid w:val="77A43A56"/>
    <w:rsid w:val="77A45FD4"/>
    <w:rsid w:val="77A53CC1"/>
    <w:rsid w:val="77A572D9"/>
    <w:rsid w:val="77A64D5A"/>
    <w:rsid w:val="77A727DC"/>
    <w:rsid w:val="77A8025E"/>
    <w:rsid w:val="77A92327"/>
    <w:rsid w:val="77A95D3A"/>
    <w:rsid w:val="77AA4DD8"/>
    <w:rsid w:val="77AB3A64"/>
    <w:rsid w:val="77AB402B"/>
    <w:rsid w:val="77AD2167"/>
    <w:rsid w:val="77AE59B8"/>
    <w:rsid w:val="77AE5B7C"/>
    <w:rsid w:val="77AF566A"/>
    <w:rsid w:val="77B030EB"/>
    <w:rsid w:val="77B070F5"/>
    <w:rsid w:val="77B204A9"/>
    <w:rsid w:val="77B34070"/>
    <w:rsid w:val="77B41AF2"/>
    <w:rsid w:val="77B425C1"/>
    <w:rsid w:val="77B56B1F"/>
    <w:rsid w:val="77B70517"/>
    <w:rsid w:val="77B804F8"/>
    <w:rsid w:val="77B8543C"/>
    <w:rsid w:val="77B875B5"/>
    <w:rsid w:val="77B87920"/>
    <w:rsid w:val="77B95F79"/>
    <w:rsid w:val="77B9649D"/>
    <w:rsid w:val="77B969BE"/>
    <w:rsid w:val="77BA69B4"/>
    <w:rsid w:val="77BC7F2D"/>
    <w:rsid w:val="77BD0ACC"/>
    <w:rsid w:val="77BF2045"/>
    <w:rsid w:val="77BF7E83"/>
    <w:rsid w:val="77C01188"/>
    <w:rsid w:val="77C13386"/>
    <w:rsid w:val="77C20E07"/>
    <w:rsid w:val="77C23F98"/>
    <w:rsid w:val="77C2468B"/>
    <w:rsid w:val="77C3210C"/>
    <w:rsid w:val="77C33B11"/>
    <w:rsid w:val="77C46274"/>
    <w:rsid w:val="77C47B8E"/>
    <w:rsid w:val="77C51D8C"/>
    <w:rsid w:val="77C5560F"/>
    <w:rsid w:val="77C5780E"/>
    <w:rsid w:val="77C6528F"/>
    <w:rsid w:val="77C70FE5"/>
    <w:rsid w:val="77C72D11"/>
    <w:rsid w:val="77CA1A97"/>
    <w:rsid w:val="77CA3C95"/>
    <w:rsid w:val="77CC2A1C"/>
    <w:rsid w:val="77CC3A1C"/>
    <w:rsid w:val="77CC4F9A"/>
    <w:rsid w:val="77CC7198"/>
    <w:rsid w:val="77CD049D"/>
    <w:rsid w:val="77CF39A0"/>
    <w:rsid w:val="77D06EE8"/>
    <w:rsid w:val="77D13620"/>
    <w:rsid w:val="77D24925"/>
    <w:rsid w:val="77D25443"/>
    <w:rsid w:val="77D36B23"/>
    <w:rsid w:val="77D47E28"/>
    <w:rsid w:val="77D52026"/>
    <w:rsid w:val="77D558AA"/>
    <w:rsid w:val="77D6332B"/>
    <w:rsid w:val="77D70DAD"/>
    <w:rsid w:val="77D72860"/>
    <w:rsid w:val="77D75529"/>
    <w:rsid w:val="77D84854"/>
    <w:rsid w:val="77D90A2D"/>
    <w:rsid w:val="77D942B0"/>
    <w:rsid w:val="77DA1D31"/>
    <w:rsid w:val="77DC19B1"/>
    <w:rsid w:val="77DC5234"/>
    <w:rsid w:val="77DC7346"/>
    <w:rsid w:val="77DD2CB6"/>
    <w:rsid w:val="77DD4EB4"/>
    <w:rsid w:val="77DD7433"/>
    <w:rsid w:val="77DE0738"/>
    <w:rsid w:val="77DE145E"/>
    <w:rsid w:val="77DF61B9"/>
    <w:rsid w:val="77DF6D49"/>
    <w:rsid w:val="77E116BC"/>
    <w:rsid w:val="77E42641"/>
    <w:rsid w:val="77E500C2"/>
    <w:rsid w:val="77E522C1"/>
    <w:rsid w:val="77E55B44"/>
    <w:rsid w:val="77E5622B"/>
    <w:rsid w:val="77E67D42"/>
    <w:rsid w:val="77E71047"/>
    <w:rsid w:val="77E757C4"/>
    <w:rsid w:val="77E83245"/>
    <w:rsid w:val="77E9454A"/>
    <w:rsid w:val="77EA16F7"/>
    <w:rsid w:val="77EA6748"/>
    <w:rsid w:val="77EB7A4D"/>
    <w:rsid w:val="77EC1C4C"/>
    <w:rsid w:val="77EC380F"/>
    <w:rsid w:val="77EC39D3"/>
    <w:rsid w:val="77ED2F50"/>
    <w:rsid w:val="77ED4572"/>
    <w:rsid w:val="77ED76CD"/>
    <w:rsid w:val="77EE514F"/>
    <w:rsid w:val="77EF2BD0"/>
    <w:rsid w:val="77EF5926"/>
    <w:rsid w:val="77EF6453"/>
    <w:rsid w:val="77F00652"/>
    <w:rsid w:val="77F0668A"/>
    <w:rsid w:val="77F11957"/>
    <w:rsid w:val="77F17064"/>
    <w:rsid w:val="77F23B55"/>
    <w:rsid w:val="77F273D8"/>
    <w:rsid w:val="77F34E5A"/>
    <w:rsid w:val="77F5035D"/>
    <w:rsid w:val="77F67FDD"/>
    <w:rsid w:val="77F730CE"/>
    <w:rsid w:val="77F73860"/>
    <w:rsid w:val="77F73E31"/>
    <w:rsid w:val="77F75A5E"/>
    <w:rsid w:val="77F812E1"/>
    <w:rsid w:val="77FA47E4"/>
    <w:rsid w:val="77FA69E3"/>
    <w:rsid w:val="77FB2266"/>
    <w:rsid w:val="77FB4464"/>
    <w:rsid w:val="77FC1EE6"/>
    <w:rsid w:val="77FC7CE8"/>
    <w:rsid w:val="77FD7967"/>
    <w:rsid w:val="77FE0C6C"/>
    <w:rsid w:val="77FF66EE"/>
    <w:rsid w:val="780008EC"/>
    <w:rsid w:val="78011BF1"/>
    <w:rsid w:val="78012518"/>
    <w:rsid w:val="7801636E"/>
    <w:rsid w:val="78021AD7"/>
    <w:rsid w:val="78026A4A"/>
    <w:rsid w:val="78027672"/>
    <w:rsid w:val="780350F4"/>
    <w:rsid w:val="78042B76"/>
    <w:rsid w:val="780627F5"/>
    <w:rsid w:val="780659D7"/>
    <w:rsid w:val="780A11FC"/>
    <w:rsid w:val="780A4A7F"/>
    <w:rsid w:val="780B2500"/>
    <w:rsid w:val="780D398B"/>
    <w:rsid w:val="780D5A03"/>
    <w:rsid w:val="780E3485"/>
    <w:rsid w:val="780E4529"/>
    <w:rsid w:val="780F09F4"/>
    <w:rsid w:val="78113BDD"/>
    <w:rsid w:val="7811440A"/>
    <w:rsid w:val="78121E8B"/>
    <w:rsid w:val="78130758"/>
    <w:rsid w:val="7813790D"/>
    <w:rsid w:val="78137BBA"/>
    <w:rsid w:val="7814538E"/>
    <w:rsid w:val="78166313"/>
    <w:rsid w:val="78187845"/>
    <w:rsid w:val="78194988"/>
    <w:rsid w:val="78197298"/>
    <w:rsid w:val="781A4D19"/>
    <w:rsid w:val="781A76D5"/>
    <w:rsid w:val="781B279B"/>
    <w:rsid w:val="781C021C"/>
    <w:rsid w:val="781D05EA"/>
    <w:rsid w:val="781E7BA9"/>
    <w:rsid w:val="781E7D5E"/>
    <w:rsid w:val="781E7E54"/>
    <w:rsid w:val="782013CC"/>
    <w:rsid w:val="78201591"/>
    <w:rsid w:val="78212B0A"/>
    <w:rsid w:val="78222126"/>
    <w:rsid w:val="782236A8"/>
    <w:rsid w:val="78237BA7"/>
    <w:rsid w:val="7825692D"/>
    <w:rsid w:val="78260B2C"/>
    <w:rsid w:val="782643AF"/>
    <w:rsid w:val="78271E31"/>
    <w:rsid w:val="782765AD"/>
    <w:rsid w:val="78276B74"/>
    <w:rsid w:val="782878B2"/>
    <w:rsid w:val="782878D8"/>
    <w:rsid w:val="78291AB0"/>
    <w:rsid w:val="782A2DB5"/>
    <w:rsid w:val="782A7532"/>
    <w:rsid w:val="782B3132"/>
    <w:rsid w:val="782B4FB4"/>
    <w:rsid w:val="782C0072"/>
    <w:rsid w:val="782C23C9"/>
    <w:rsid w:val="782D04B7"/>
    <w:rsid w:val="782D3D3A"/>
    <w:rsid w:val="782D5F38"/>
    <w:rsid w:val="782E17BB"/>
    <w:rsid w:val="782E3B07"/>
    <w:rsid w:val="782F431C"/>
    <w:rsid w:val="782F4F78"/>
    <w:rsid w:val="78305A5A"/>
    <w:rsid w:val="78306EBD"/>
    <w:rsid w:val="78312740"/>
    <w:rsid w:val="7831493E"/>
    <w:rsid w:val="783201C2"/>
    <w:rsid w:val="78337E41"/>
    <w:rsid w:val="783458C3"/>
    <w:rsid w:val="78353345"/>
    <w:rsid w:val="78356BC8"/>
    <w:rsid w:val="78360DC6"/>
    <w:rsid w:val="78361C89"/>
    <w:rsid w:val="78372663"/>
    <w:rsid w:val="78372827"/>
    <w:rsid w:val="78376848"/>
    <w:rsid w:val="783833C6"/>
    <w:rsid w:val="78385680"/>
    <w:rsid w:val="78387B4C"/>
    <w:rsid w:val="78391D4B"/>
    <w:rsid w:val="78393DA0"/>
    <w:rsid w:val="783A4B63"/>
    <w:rsid w:val="783A55A4"/>
    <w:rsid w:val="783C5CF3"/>
    <w:rsid w:val="783C6553"/>
    <w:rsid w:val="783D0751"/>
    <w:rsid w:val="783D3FD4"/>
    <w:rsid w:val="783E61D3"/>
    <w:rsid w:val="783F0B6E"/>
    <w:rsid w:val="784016D6"/>
    <w:rsid w:val="784129DA"/>
    <w:rsid w:val="78413395"/>
    <w:rsid w:val="78417157"/>
    <w:rsid w:val="78422AC1"/>
    <w:rsid w:val="78424BD9"/>
    <w:rsid w:val="7843265A"/>
    <w:rsid w:val="78435EDE"/>
    <w:rsid w:val="7844395F"/>
    <w:rsid w:val="78461060"/>
    <w:rsid w:val="784635DF"/>
    <w:rsid w:val="784655B3"/>
    <w:rsid w:val="784748E4"/>
    <w:rsid w:val="78476152"/>
    <w:rsid w:val="78476AE2"/>
    <w:rsid w:val="78482365"/>
    <w:rsid w:val="78491FE5"/>
    <w:rsid w:val="784A5868"/>
    <w:rsid w:val="784A5D07"/>
    <w:rsid w:val="784A63DE"/>
    <w:rsid w:val="784A7A67"/>
    <w:rsid w:val="784B17E2"/>
    <w:rsid w:val="784B19A6"/>
    <w:rsid w:val="784B32EA"/>
    <w:rsid w:val="784C2F6A"/>
    <w:rsid w:val="784D123E"/>
    <w:rsid w:val="784E1CF0"/>
    <w:rsid w:val="784E426F"/>
    <w:rsid w:val="784E646D"/>
    <w:rsid w:val="78501970"/>
    <w:rsid w:val="78504E72"/>
    <w:rsid w:val="785173F2"/>
    <w:rsid w:val="785206F6"/>
    <w:rsid w:val="78524E73"/>
    <w:rsid w:val="785328F5"/>
    <w:rsid w:val="78536178"/>
    <w:rsid w:val="78536F8A"/>
    <w:rsid w:val="78540376"/>
    <w:rsid w:val="78543BF9"/>
    <w:rsid w:val="78547CED"/>
    <w:rsid w:val="785670FD"/>
    <w:rsid w:val="78571E88"/>
    <w:rsid w:val="78574B7E"/>
    <w:rsid w:val="7858261A"/>
    <w:rsid w:val="785827DF"/>
    <w:rsid w:val="785A227F"/>
    <w:rsid w:val="785A5B03"/>
    <w:rsid w:val="785B7D01"/>
    <w:rsid w:val="785C1006"/>
    <w:rsid w:val="785C5783"/>
    <w:rsid w:val="785E0C86"/>
    <w:rsid w:val="785E4509"/>
    <w:rsid w:val="785E6707"/>
    <w:rsid w:val="785F1F8A"/>
    <w:rsid w:val="785F4189"/>
    <w:rsid w:val="78601C0A"/>
    <w:rsid w:val="78611500"/>
    <w:rsid w:val="7862209E"/>
    <w:rsid w:val="78622F0F"/>
    <w:rsid w:val="78632C3D"/>
    <w:rsid w:val="78643617"/>
    <w:rsid w:val="78646412"/>
    <w:rsid w:val="78653E94"/>
    <w:rsid w:val="786541B6"/>
    <w:rsid w:val="78656092"/>
    <w:rsid w:val="78660DE1"/>
    <w:rsid w:val="78661915"/>
    <w:rsid w:val="78663B14"/>
    <w:rsid w:val="78663C24"/>
    <w:rsid w:val="7866572F"/>
    <w:rsid w:val="78682435"/>
    <w:rsid w:val="7868289A"/>
    <w:rsid w:val="78687017"/>
    <w:rsid w:val="7869031C"/>
    <w:rsid w:val="786A0221"/>
    <w:rsid w:val="786A5D9D"/>
    <w:rsid w:val="786B0DBF"/>
    <w:rsid w:val="786B381F"/>
    <w:rsid w:val="786C12A0"/>
    <w:rsid w:val="786C1799"/>
    <w:rsid w:val="786C195E"/>
    <w:rsid w:val="786D6CA9"/>
    <w:rsid w:val="786D6D22"/>
    <w:rsid w:val="786E0F20"/>
    <w:rsid w:val="786E2ED7"/>
    <w:rsid w:val="786F69A2"/>
    <w:rsid w:val="78704423"/>
    <w:rsid w:val="78707CA6"/>
    <w:rsid w:val="78715728"/>
    <w:rsid w:val="787231A9"/>
    <w:rsid w:val="787259C9"/>
    <w:rsid w:val="7875412E"/>
    <w:rsid w:val="78761BB0"/>
    <w:rsid w:val="7876453C"/>
    <w:rsid w:val="787648A7"/>
    <w:rsid w:val="78792B34"/>
    <w:rsid w:val="78793335"/>
    <w:rsid w:val="787A3D0F"/>
    <w:rsid w:val="787B6037"/>
    <w:rsid w:val="787D5E27"/>
    <w:rsid w:val="787E4A3E"/>
    <w:rsid w:val="787E6FBC"/>
    <w:rsid w:val="787F384A"/>
    <w:rsid w:val="7881167C"/>
    <w:rsid w:val="788214B7"/>
    <w:rsid w:val="7882338A"/>
    <w:rsid w:val="78830EC5"/>
    <w:rsid w:val="78846947"/>
    <w:rsid w:val="788521FC"/>
    <w:rsid w:val="7885416D"/>
    <w:rsid w:val="78861E4A"/>
    <w:rsid w:val="7888534D"/>
    <w:rsid w:val="788860C0"/>
    <w:rsid w:val="78886285"/>
    <w:rsid w:val="788876EC"/>
    <w:rsid w:val="788A0850"/>
    <w:rsid w:val="788A40D3"/>
    <w:rsid w:val="788B039C"/>
    <w:rsid w:val="788B1B55"/>
    <w:rsid w:val="788C0F3B"/>
    <w:rsid w:val="788D1915"/>
    <w:rsid w:val="788E2ADA"/>
    <w:rsid w:val="788E7256"/>
    <w:rsid w:val="788F055B"/>
    <w:rsid w:val="788F4CD8"/>
    <w:rsid w:val="7890275A"/>
    <w:rsid w:val="78905FDD"/>
    <w:rsid w:val="78912E9A"/>
    <w:rsid w:val="78914FA6"/>
    <w:rsid w:val="78922CE5"/>
    <w:rsid w:val="78925C5D"/>
    <w:rsid w:val="78931861"/>
    <w:rsid w:val="78931D82"/>
    <w:rsid w:val="789336DE"/>
    <w:rsid w:val="7893651F"/>
    <w:rsid w:val="78936F61"/>
    <w:rsid w:val="78940C6A"/>
    <w:rsid w:val="78941160"/>
    <w:rsid w:val="789449E3"/>
    <w:rsid w:val="78952465"/>
    <w:rsid w:val="789620E4"/>
    <w:rsid w:val="78967EE6"/>
    <w:rsid w:val="789711D5"/>
    <w:rsid w:val="78975968"/>
    <w:rsid w:val="78992912"/>
    <w:rsid w:val="78993069"/>
    <w:rsid w:val="789A68EC"/>
    <w:rsid w:val="789B3CC7"/>
    <w:rsid w:val="789C1DEF"/>
    <w:rsid w:val="789D7871"/>
    <w:rsid w:val="789E2D74"/>
    <w:rsid w:val="789E52F2"/>
    <w:rsid w:val="789E5DDE"/>
    <w:rsid w:val="789E74F1"/>
    <w:rsid w:val="789F07F6"/>
    <w:rsid w:val="789F61E0"/>
    <w:rsid w:val="789F7357"/>
    <w:rsid w:val="78A000BA"/>
    <w:rsid w:val="78A029F4"/>
    <w:rsid w:val="78A059E2"/>
    <w:rsid w:val="78A10475"/>
    <w:rsid w:val="78A13CF9"/>
    <w:rsid w:val="78A141F4"/>
    <w:rsid w:val="78A2146F"/>
    <w:rsid w:val="78A23447"/>
    <w:rsid w:val="78A371FC"/>
    <w:rsid w:val="78A413FA"/>
    <w:rsid w:val="78A42BAC"/>
    <w:rsid w:val="78A44C7D"/>
    <w:rsid w:val="78A526FF"/>
    <w:rsid w:val="78A54023"/>
    <w:rsid w:val="78A56E7C"/>
    <w:rsid w:val="78A73E42"/>
    <w:rsid w:val="78A83684"/>
    <w:rsid w:val="78A8569E"/>
    <w:rsid w:val="78A87E00"/>
    <w:rsid w:val="78A90480"/>
    <w:rsid w:val="78AA3303"/>
    <w:rsid w:val="78AA3A80"/>
    <w:rsid w:val="78AA6B87"/>
    <w:rsid w:val="78AB77B5"/>
    <w:rsid w:val="78AC0D2E"/>
    <w:rsid w:val="78AC208A"/>
    <w:rsid w:val="78AC47D1"/>
    <w:rsid w:val="78AC6806"/>
    <w:rsid w:val="78AD1A91"/>
    <w:rsid w:val="78AD4288"/>
    <w:rsid w:val="78AD7B0B"/>
    <w:rsid w:val="78AF2E46"/>
    <w:rsid w:val="78AF300A"/>
    <w:rsid w:val="78AF300E"/>
    <w:rsid w:val="78AF6B87"/>
    <w:rsid w:val="78AF778B"/>
    <w:rsid w:val="78B00A90"/>
    <w:rsid w:val="78B02C8E"/>
    <w:rsid w:val="78B05F90"/>
    <w:rsid w:val="78B14583"/>
    <w:rsid w:val="78B23F93"/>
    <w:rsid w:val="78B25122"/>
    <w:rsid w:val="78B26191"/>
    <w:rsid w:val="78B31A15"/>
    <w:rsid w:val="78B33C13"/>
    <w:rsid w:val="78B41694"/>
    <w:rsid w:val="78B464D6"/>
    <w:rsid w:val="78B4669B"/>
    <w:rsid w:val="78B47496"/>
    <w:rsid w:val="78B57116"/>
    <w:rsid w:val="78B64B97"/>
    <w:rsid w:val="78B705EE"/>
    <w:rsid w:val="78B72619"/>
    <w:rsid w:val="78B81D2B"/>
    <w:rsid w:val="78B9139F"/>
    <w:rsid w:val="78BA359E"/>
    <w:rsid w:val="78BA6E21"/>
    <w:rsid w:val="78BB48A3"/>
    <w:rsid w:val="78BC2324"/>
    <w:rsid w:val="78BC481D"/>
    <w:rsid w:val="78BC51F0"/>
    <w:rsid w:val="78BC6AA1"/>
    <w:rsid w:val="78BD0EFA"/>
    <w:rsid w:val="78BD247C"/>
    <w:rsid w:val="78BD4522"/>
    <w:rsid w:val="78BD53BB"/>
    <w:rsid w:val="78BE0FF9"/>
    <w:rsid w:val="78BE1FA4"/>
    <w:rsid w:val="78BE5827"/>
    <w:rsid w:val="78BE5F5A"/>
    <w:rsid w:val="78BF0096"/>
    <w:rsid w:val="78BF7B76"/>
    <w:rsid w:val="78C00D2A"/>
    <w:rsid w:val="78C054A7"/>
    <w:rsid w:val="78C074D3"/>
    <w:rsid w:val="78C12F29"/>
    <w:rsid w:val="78C209AA"/>
    <w:rsid w:val="78C31CAF"/>
    <w:rsid w:val="78C3642C"/>
    <w:rsid w:val="78C41FC5"/>
    <w:rsid w:val="78C43EAD"/>
    <w:rsid w:val="78C5192F"/>
    <w:rsid w:val="78C551B2"/>
    <w:rsid w:val="78C642A1"/>
    <w:rsid w:val="78C673B0"/>
    <w:rsid w:val="78C706B5"/>
    <w:rsid w:val="78C728B3"/>
    <w:rsid w:val="78C740DC"/>
    <w:rsid w:val="78C74E32"/>
    <w:rsid w:val="78C80335"/>
    <w:rsid w:val="78C86137"/>
    <w:rsid w:val="78C93BB8"/>
    <w:rsid w:val="78C95383"/>
    <w:rsid w:val="78CA2EA9"/>
    <w:rsid w:val="78CA3838"/>
    <w:rsid w:val="78CB70BB"/>
    <w:rsid w:val="78CC4B3D"/>
    <w:rsid w:val="78CC523C"/>
    <w:rsid w:val="78CC6D3B"/>
    <w:rsid w:val="78CD0CE6"/>
    <w:rsid w:val="78CD47BD"/>
    <w:rsid w:val="78CF3543"/>
    <w:rsid w:val="78CF5AC2"/>
    <w:rsid w:val="78CF7CC0"/>
    <w:rsid w:val="78D00FC5"/>
    <w:rsid w:val="78D02DFD"/>
    <w:rsid w:val="78D02FC1"/>
    <w:rsid w:val="78D05741"/>
    <w:rsid w:val="78D07E34"/>
    <w:rsid w:val="78D16A46"/>
    <w:rsid w:val="78D244C8"/>
    <w:rsid w:val="78D31F49"/>
    <w:rsid w:val="78D350D9"/>
    <w:rsid w:val="78D366C6"/>
    <w:rsid w:val="78D479CB"/>
    <w:rsid w:val="78D5544C"/>
    <w:rsid w:val="78D5702C"/>
    <w:rsid w:val="78D62ECE"/>
    <w:rsid w:val="78D7094F"/>
    <w:rsid w:val="78D750CC"/>
    <w:rsid w:val="78D93E53"/>
    <w:rsid w:val="78DB5A92"/>
    <w:rsid w:val="78DB7356"/>
    <w:rsid w:val="78DC47C4"/>
    <w:rsid w:val="78DD47D4"/>
    <w:rsid w:val="78DE02DA"/>
    <w:rsid w:val="78DF5D5C"/>
    <w:rsid w:val="78E037DD"/>
    <w:rsid w:val="78E06AB0"/>
    <w:rsid w:val="78E1125F"/>
    <w:rsid w:val="78E26CE0"/>
    <w:rsid w:val="78E34762"/>
    <w:rsid w:val="78E656E7"/>
    <w:rsid w:val="78E70BEA"/>
    <w:rsid w:val="78E73168"/>
    <w:rsid w:val="78E8101C"/>
    <w:rsid w:val="78E84DF7"/>
    <w:rsid w:val="78E8666B"/>
    <w:rsid w:val="78E87851"/>
    <w:rsid w:val="78E940ED"/>
    <w:rsid w:val="78EA1B6E"/>
    <w:rsid w:val="78EA6370"/>
    <w:rsid w:val="78ED0487"/>
    <w:rsid w:val="78ED2AF3"/>
    <w:rsid w:val="78ED6BDA"/>
    <w:rsid w:val="78EE0575"/>
    <w:rsid w:val="78EF1A00"/>
    <w:rsid w:val="78EF5FF6"/>
    <w:rsid w:val="78F114F9"/>
    <w:rsid w:val="78F13953"/>
    <w:rsid w:val="78F227FE"/>
    <w:rsid w:val="78F244F2"/>
    <w:rsid w:val="78F26F7B"/>
    <w:rsid w:val="78F4247E"/>
    <w:rsid w:val="78F45A6B"/>
    <w:rsid w:val="78F45C2F"/>
    <w:rsid w:val="78F53783"/>
    <w:rsid w:val="78F671A8"/>
    <w:rsid w:val="78F80E84"/>
    <w:rsid w:val="78F82C02"/>
    <w:rsid w:val="78F82DB7"/>
    <w:rsid w:val="78F84707"/>
    <w:rsid w:val="78F9125E"/>
    <w:rsid w:val="78F915C9"/>
    <w:rsid w:val="78F92189"/>
    <w:rsid w:val="78FA1E5E"/>
    <w:rsid w:val="78FB568C"/>
    <w:rsid w:val="78FC310E"/>
    <w:rsid w:val="78FC3213"/>
    <w:rsid w:val="78FC3F76"/>
    <w:rsid w:val="78FC788A"/>
    <w:rsid w:val="78FD0B8F"/>
    <w:rsid w:val="78FE2D8D"/>
    <w:rsid w:val="78FE6611"/>
    <w:rsid w:val="78FF4092"/>
    <w:rsid w:val="79001B14"/>
    <w:rsid w:val="79003D12"/>
    <w:rsid w:val="790068A3"/>
    <w:rsid w:val="79017442"/>
    <w:rsid w:val="79025017"/>
    <w:rsid w:val="79032A98"/>
    <w:rsid w:val="79034C97"/>
    <w:rsid w:val="7904051A"/>
    <w:rsid w:val="79065900"/>
    <w:rsid w:val="79065C1B"/>
    <w:rsid w:val="7907369D"/>
    <w:rsid w:val="79076F20"/>
    <w:rsid w:val="790849A2"/>
    <w:rsid w:val="79096BA0"/>
    <w:rsid w:val="790A4622"/>
    <w:rsid w:val="790A5788"/>
    <w:rsid w:val="790A7EA5"/>
    <w:rsid w:val="790B20A3"/>
    <w:rsid w:val="790B5926"/>
    <w:rsid w:val="790B6163"/>
    <w:rsid w:val="790C7B25"/>
    <w:rsid w:val="790D0E29"/>
    <w:rsid w:val="790D55A6"/>
    <w:rsid w:val="790D7718"/>
    <w:rsid w:val="790E68AB"/>
    <w:rsid w:val="790F0AA9"/>
    <w:rsid w:val="79101DAE"/>
    <w:rsid w:val="7910652B"/>
    <w:rsid w:val="79121A2E"/>
    <w:rsid w:val="791252B1"/>
    <w:rsid w:val="791374B0"/>
    <w:rsid w:val="79147BBC"/>
    <w:rsid w:val="791529B3"/>
    <w:rsid w:val="79156236"/>
    <w:rsid w:val="791574E6"/>
    <w:rsid w:val="79171739"/>
    <w:rsid w:val="7917715F"/>
    <w:rsid w:val="791813B9"/>
    <w:rsid w:val="791871BB"/>
    <w:rsid w:val="79187B3A"/>
    <w:rsid w:val="791906D8"/>
    <w:rsid w:val="79190D49"/>
    <w:rsid w:val="79191277"/>
    <w:rsid w:val="79194C3C"/>
    <w:rsid w:val="79196E3A"/>
    <w:rsid w:val="791B013F"/>
    <w:rsid w:val="791B29B4"/>
    <w:rsid w:val="791C5BC1"/>
    <w:rsid w:val="791C7DBF"/>
    <w:rsid w:val="791E32C2"/>
    <w:rsid w:val="791F0D44"/>
    <w:rsid w:val="791F6B45"/>
    <w:rsid w:val="792067C5"/>
    <w:rsid w:val="79207EB6"/>
    <w:rsid w:val="79221CC8"/>
    <w:rsid w:val="7922554C"/>
    <w:rsid w:val="79231B0D"/>
    <w:rsid w:val="7923774A"/>
    <w:rsid w:val="79240A4F"/>
    <w:rsid w:val="79240B36"/>
    <w:rsid w:val="792451CB"/>
    <w:rsid w:val="792564D0"/>
    <w:rsid w:val="79263F52"/>
    <w:rsid w:val="792719D3"/>
    <w:rsid w:val="792737ED"/>
    <w:rsid w:val="79276150"/>
    <w:rsid w:val="792841C7"/>
    <w:rsid w:val="79287455"/>
    <w:rsid w:val="79291653"/>
    <w:rsid w:val="79294D66"/>
    <w:rsid w:val="792A2958"/>
    <w:rsid w:val="792A70D5"/>
    <w:rsid w:val="792B03DA"/>
    <w:rsid w:val="792C25D8"/>
    <w:rsid w:val="792C6E7D"/>
    <w:rsid w:val="792D38DD"/>
    <w:rsid w:val="792D7857"/>
    <w:rsid w:val="792D7A1C"/>
    <w:rsid w:val="792E135E"/>
    <w:rsid w:val="792E5ADB"/>
    <w:rsid w:val="792F355C"/>
    <w:rsid w:val="792F6DE0"/>
    <w:rsid w:val="79304861"/>
    <w:rsid w:val="79306A60"/>
    <w:rsid w:val="79314655"/>
    <w:rsid w:val="79321F63"/>
    <w:rsid w:val="7933600F"/>
    <w:rsid w:val="793379E4"/>
    <w:rsid w:val="79342270"/>
    <w:rsid w:val="79342425"/>
    <w:rsid w:val="793425DB"/>
    <w:rsid w:val="79343267"/>
    <w:rsid w:val="79344625"/>
    <w:rsid w:val="79350CE9"/>
    <w:rsid w:val="79352EE7"/>
    <w:rsid w:val="79360969"/>
    <w:rsid w:val="79366578"/>
    <w:rsid w:val="793741EC"/>
    <w:rsid w:val="793763EA"/>
    <w:rsid w:val="79381C6E"/>
    <w:rsid w:val="793876EF"/>
    <w:rsid w:val="793918EE"/>
    <w:rsid w:val="793C2872"/>
    <w:rsid w:val="793C60F5"/>
    <w:rsid w:val="793D3B77"/>
    <w:rsid w:val="793E15F9"/>
    <w:rsid w:val="793F707A"/>
    <w:rsid w:val="79416B9B"/>
    <w:rsid w:val="79424C03"/>
    <w:rsid w:val="79424DB8"/>
    <w:rsid w:val="794269D6"/>
    <w:rsid w:val="79435A80"/>
    <w:rsid w:val="79443502"/>
    <w:rsid w:val="79450F83"/>
    <w:rsid w:val="7945168D"/>
    <w:rsid w:val="794617DD"/>
    <w:rsid w:val="79466A05"/>
    <w:rsid w:val="79481F08"/>
    <w:rsid w:val="794837A4"/>
    <w:rsid w:val="794874D7"/>
    <w:rsid w:val="794A540B"/>
    <w:rsid w:val="794B2E8D"/>
    <w:rsid w:val="794B58BC"/>
    <w:rsid w:val="794C090E"/>
    <w:rsid w:val="794C6296"/>
    <w:rsid w:val="794D6390"/>
    <w:rsid w:val="794D6C70"/>
    <w:rsid w:val="794E12A4"/>
    <w:rsid w:val="794E780F"/>
    <w:rsid w:val="794F1893"/>
    <w:rsid w:val="79504D96"/>
    <w:rsid w:val="79507314"/>
    <w:rsid w:val="795073E0"/>
    <w:rsid w:val="79507595"/>
    <w:rsid w:val="79512818"/>
    <w:rsid w:val="79523064"/>
    <w:rsid w:val="79533C02"/>
    <w:rsid w:val="79535D1B"/>
    <w:rsid w:val="7954379C"/>
    <w:rsid w:val="7955121E"/>
    <w:rsid w:val="7955517B"/>
    <w:rsid w:val="79572523"/>
    <w:rsid w:val="79585A26"/>
    <w:rsid w:val="79587FA4"/>
    <w:rsid w:val="795934A7"/>
    <w:rsid w:val="795A0647"/>
    <w:rsid w:val="795A080C"/>
    <w:rsid w:val="795B3127"/>
    <w:rsid w:val="795B69AA"/>
    <w:rsid w:val="795C0BA9"/>
    <w:rsid w:val="795D31F5"/>
    <w:rsid w:val="795D662A"/>
    <w:rsid w:val="795E32FD"/>
    <w:rsid w:val="795E40AC"/>
    <w:rsid w:val="795E66B4"/>
    <w:rsid w:val="795F169C"/>
    <w:rsid w:val="795F1B2D"/>
    <w:rsid w:val="795F53B0"/>
    <w:rsid w:val="79605415"/>
    <w:rsid w:val="796108B4"/>
    <w:rsid w:val="79626335"/>
    <w:rsid w:val="79630533"/>
    <w:rsid w:val="79633DB7"/>
    <w:rsid w:val="7963752C"/>
    <w:rsid w:val="79645FB5"/>
    <w:rsid w:val="79653A37"/>
    <w:rsid w:val="796572BA"/>
    <w:rsid w:val="796614B8"/>
    <w:rsid w:val="7968243D"/>
    <w:rsid w:val="79682BBD"/>
    <w:rsid w:val="79682D81"/>
    <w:rsid w:val="7969375C"/>
    <w:rsid w:val="79695CC0"/>
    <w:rsid w:val="79697EBE"/>
    <w:rsid w:val="796A3742"/>
    <w:rsid w:val="796A5940"/>
    <w:rsid w:val="796B11C3"/>
    <w:rsid w:val="796C0E43"/>
    <w:rsid w:val="796C6C45"/>
    <w:rsid w:val="796D41E4"/>
    <w:rsid w:val="796D46C6"/>
    <w:rsid w:val="796D6DEC"/>
    <w:rsid w:val="796E2148"/>
    <w:rsid w:val="796E35ED"/>
    <w:rsid w:val="796E3958"/>
    <w:rsid w:val="796E798B"/>
    <w:rsid w:val="796F0365"/>
    <w:rsid w:val="796F1DC8"/>
    <w:rsid w:val="796F7BC9"/>
    <w:rsid w:val="79700F04"/>
    <w:rsid w:val="797061ED"/>
    <w:rsid w:val="79710B4E"/>
    <w:rsid w:val="7972247C"/>
    <w:rsid w:val="79722D4C"/>
    <w:rsid w:val="797307CE"/>
    <w:rsid w:val="79764FD6"/>
    <w:rsid w:val="79772A57"/>
    <w:rsid w:val="797771D4"/>
    <w:rsid w:val="797804D9"/>
    <w:rsid w:val="79784C56"/>
    <w:rsid w:val="797866AB"/>
    <w:rsid w:val="797926D7"/>
    <w:rsid w:val="7979724A"/>
    <w:rsid w:val="797A0159"/>
    <w:rsid w:val="797A39DC"/>
    <w:rsid w:val="797B145D"/>
    <w:rsid w:val="797B5BDA"/>
    <w:rsid w:val="797C64A0"/>
    <w:rsid w:val="797C6EDF"/>
    <w:rsid w:val="797D10DD"/>
    <w:rsid w:val="797D4961"/>
    <w:rsid w:val="797F7E64"/>
    <w:rsid w:val="798058E5"/>
    <w:rsid w:val="79807AE3"/>
    <w:rsid w:val="79813367"/>
    <w:rsid w:val="798153CC"/>
    <w:rsid w:val="79820DE8"/>
    <w:rsid w:val="79830A68"/>
    <w:rsid w:val="79836B0A"/>
    <w:rsid w:val="798442EB"/>
    <w:rsid w:val="798464EA"/>
    <w:rsid w:val="79846F6D"/>
    <w:rsid w:val="798474E4"/>
    <w:rsid w:val="79860A5D"/>
    <w:rsid w:val="798619ED"/>
    <w:rsid w:val="79875270"/>
    <w:rsid w:val="79880773"/>
    <w:rsid w:val="79884EF0"/>
    <w:rsid w:val="79892971"/>
    <w:rsid w:val="79893713"/>
    <w:rsid w:val="79896D26"/>
    <w:rsid w:val="798A03F3"/>
    <w:rsid w:val="798A16BF"/>
    <w:rsid w:val="798A3C76"/>
    <w:rsid w:val="798B4C8C"/>
    <w:rsid w:val="798B5E75"/>
    <w:rsid w:val="798C38F6"/>
    <w:rsid w:val="798D5A6E"/>
    <w:rsid w:val="798E267C"/>
    <w:rsid w:val="798E6DF9"/>
    <w:rsid w:val="798F00FE"/>
    <w:rsid w:val="798F487B"/>
    <w:rsid w:val="798F7942"/>
    <w:rsid w:val="799022FC"/>
    <w:rsid w:val="79905B80"/>
    <w:rsid w:val="79913601"/>
    <w:rsid w:val="79917D7E"/>
    <w:rsid w:val="79921083"/>
    <w:rsid w:val="799257FF"/>
    <w:rsid w:val="79942FD2"/>
    <w:rsid w:val="79943B71"/>
    <w:rsid w:val="79944586"/>
    <w:rsid w:val="79952007"/>
    <w:rsid w:val="79964206"/>
    <w:rsid w:val="799650EA"/>
    <w:rsid w:val="7997550A"/>
    <w:rsid w:val="79975C89"/>
    <w:rsid w:val="79990A0D"/>
    <w:rsid w:val="7999518A"/>
    <w:rsid w:val="799A648F"/>
    <w:rsid w:val="799A7BDC"/>
    <w:rsid w:val="799B3F11"/>
    <w:rsid w:val="799E7093"/>
    <w:rsid w:val="799F2917"/>
    <w:rsid w:val="799F4B15"/>
    <w:rsid w:val="79A00398"/>
    <w:rsid w:val="79A02597"/>
    <w:rsid w:val="79A03FCF"/>
    <w:rsid w:val="79A10018"/>
    <w:rsid w:val="79A1389B"/>
    <w:rsid w:val="79A17F33"/>
    <w:rsid w:val="79A35F22"/>
    <w:rsid w:val="79A36D9F"/>
    <w:rsid w:val="79A44820"/>
    <w:rsid w:val="79A47660"/>
    <w:rsid w:val="79A57791"/>
    <w:rsid w:val="79A60BD9"/>
    <w:rsid w:val="79A669E4"/>
    <w:rsid w:val="79A67D23"/>
    <w:rsid w:val="79A75717"/>
    <w:rsid w:val="79A75FA3"/>
    <w:rsid w:val="79A83226"/>
    <w:rsid w:val="79A84CF6"/>
    <w:rsid w:val="79A85041"/>
    <w:rsid w:val="79AA388F"/>
    <w:rsid w:val="79AC1C2C"/>
    <w:rsid w:val="79AC4E08"/>
    <w:rsid w:val="79AD59A6"/>
    <w:rsid w:val="79AD76AE"/>
    <w:rsid w:val="79AF2BB1"/>
    <w:rsid w:val="79AF7ABE"/>
    <w:rsid w:val="79B00498"/>
    <w:rsid w:val="79B00633"/>
    <w:rsid w:val="79B160B4"/>
    <w:rsid w:val="79B23B36"/>
    <w:rsid w:val="79B315B7"/>
    <w:rsid w:val="79B42F8A"/>
    <w:rsid w:val="79B47039"/>
    <w:rsid w:val="79B511C2"/>
    <w:rsid w:val="79B54ABA"/>
    <w:rsid w:val="79B6253C"/>
    <w:rsid w:val="79B77FBE"/>
    <w:rsid w:val="79B9661A"/>
    <w:rsid w:val="79BA69C4"/>
    <w:rsid w:val="79BB4445"/>
    <w:rsid w:val="79BB7D58"/>
    <w:rsid w:val="79BC1EC7"/>
    <w:rsid w:val="79BD574A"/>
    <w:rsid w:val="79BD7948"/>
    <w:rsid w:val="79BF2E4B"/>
    <w:rsid w:val="79C008CD"/>
    <w:rsid w:val="79C066CF"/>
    <w:rsid w:val="79C11271"/>
    <w:rsid w:val="79C14961"/>
    <w:rsid w:val="79C1634F"/>
    <w:rsid w:val="79C27653"/>
    <w:rsid w:val="79C31852"/>
    <w:rsid w:val="79C35EDA"/>
    <w:rsid w:val="79C3609E"/>
    <w:rsid w:val="79C46A79"/>
    <w:rsid w:val="79C505D8"/>
    <w:rsid w:val="79C54D55"/>
    <w:rsid w:val="79C67FF1"/>
    <w:rsid w:val="79C70258"/>
    <w:rsid w:val="79C70B90"/>
    <w:rsid w:val="79C73ADB"/>
    <w:rsid w:val="79C8155D"/>
    <w:rsid w:val="79C8156A"/>
    <w:rsid w:val="79C85CD9"/>
    <w:rsid w:val="79C92109"/>
    <w:rsid w:val="79C9375B"/>
    <w:rsid w:val="79C96913"/>
    <w:rsid w:val="79C96FDE"/>
    <w:rsid w:val="79CA11DC"/>
    <w:rsid w:val="79CA2CA8"/>
    <w:rsid w:val="79CA4A60"/>
    <w:rsid w:val="79CB6C5E"/>
    <w:rsid w:val="79CC46E0"/>
    <w:rsid w:val="79CC7F63"/>
    <w:rsid w:val="79CD2161"/>
    <w:rsid w:val="79CE3466"/>
    <w:rsid w:val="79CE7BE3"/>
    <w:rsid w:val="79CF5664"/>
    <w:rsid w:val="79D06969"/>
    <w:rsid w:val="79D143EB"/>
    <w:rsid w:val="79D20FEE"/>
    <w:rsid w:val="79D233D9"/>
    <w:rsid w:val="79D2406A"/>
    <w:rsid w:val="79D25219"/>
    <w:rsid w:val="79D31AEC"/>
    <w:rsid w:val="79D34CF9"/>
    <w:rsid w:val="79D34EAE"/>
    <w:rsid w:val="79D378EE"/>
    <w:rsid w:val="79D446F2"/>
    <w:rsid w:val="79D52F41"/>
    <w:rsid w:val="79D54FEF"/>
    <w:rsid w:val="79D60872"/>
    <w:rsid w:val="79D744BA"/>
    <w:rsid w:val="79D7467F"/>
    <w:rsid w:val="79D75F65"/>
    <w:rsid w:val="79D762F4"/>
    <w:rsid w:val="79D917F7"/>
    <w:rsid w:val="79DA1477"/>
    <w:rsid w:val="79DC01FD"/>
    <w:rsid w:val="79DC497A"/>
    <w:rsid w:val="79DE3700"/>
    <w:rsid w:val="79DE7E7D"/>
    <w:rsid w:val="79DF2801"/>
    <w:rsid w:val="79DF58FF"/>
    <w:rsid w:val="79E007A3"/>
    <w:rsid w:val="79E06C03"/>
    <w:rsid w:val="79E13F3E"/>
    <w:rsid w:val="79E14685"/>
    <w:rsid w:val="79E26053"/>
    <w:rsid w:val="79E26208"/>
    <w:rsid w:val="79E26883"/>
    <w:rsid w:val="79E34305"/>
    <w:rsid w:val="79E41D86"/>
    <w:rsid w:val="79E4560A"/>
    <w:rsid w:val="79E5308B"/>
    <w:rsid w:val="79E56A30"/>
    <w:rsid w:val="79E60B0D"/>
    <w:rsid w:val="79E65289"/>
    <w:rsid w:val="79E7658E"/>
    <w:rsid w:val="79E8078D"/>
    <w:rsid w:val="79E84010"/>
    <w:rsid w:val="79E91A91"/>
    <w:rsid w:val="79E92285"/>
    <w:rsid w:val="79EA2C5F"/>
    <w:rsid w:val="79ED2696"/>
    <w:rsid w:val="79ED706C"/>
    <w:rsid w:val="79EE5F19"/>
    <w:rsid w:val="79EF5B99"/>
    <w:rsid w:val="79F015DC"/>
    <w:rsid w:val="79F1491F"/>
    <w:rsid w:val="79F16E9E"/>
    <w:rsid w:val="79F205CB"/>
    <w:rsid w:val="79F223A1"/>
    <w:rsid w:val="79F37769"/>
    <w:rsid w:val="79F42021"/>
    <w:rsid w:val="79F53325"/>
    <w:rsid w:val="79F60DA7"/>
    <w:rsid w:val="79F62EF9"/>
    <w:rsid w:val="79F65524"/>
    <w:rsid w:val="79F74636"/>
    <w:rsid w:val="79F842AA"/>
    <w:rsid w:val="79F91D2C"/>
    <w:rsid w:val="79FA3F2A"/>
    <w:rsid w:val="79FA77AD"/>
    <w:rsid w:val="79FB19AC"/>
    <w:rsid w:val="79FC2CB0"/>
    <w:rsid w:val="79FC742D"/>
    <w:rsid w:val="79FC7CC7"/>
    <w:rsid w:val="79FE1404"/>
    <w:rsid w:val="79FE61B3"/>
    <w:rsid w:val="79FF3378"/>
    <w:rsid w:val="79FF3C35"/>
    <w:rsid w:val="7A0016B7"/>
    <w:rsid w:val="7A0027B8"/>
    <w:rsid w:val="7A005E33"/>
    <w:rsid w:val="7A011336"/>
    <w:rsid w:val="7A013357"/>
    <w:rsid w:val="7A017138"/>
    <w:rsid w:val="7A024BBA"/>
    <w:rsid w:val="7A03263B"/>
    <w:rsid w:val="7A034805"/>
    <w:rsid w:val="7A034839"/>
    <w:rsid w:val="7A03546E"/>
    <w:rsid w:val="7A0400BD"/>
    <w:rsid w:val="7A0422BB"/>
    <w:rsid w:val="7A0438CB"/>
    <w:rsid w:val="7A056BAC"/>
    <w:rsid w:val="7A057D3D"/>
    <w:rsid w:val="7A0635C0"/>
    <w:rsid w:val="7A0657BE"/>
    <w:rsid w:val="7A080CC3"/>
    <w:rsid w:val="7A086AC3"/>
    <w:rsid w:val="7A09169E"/>
    <w:rsid w:val="7A091FC6"/>
    <w:rsid w:val="7A0A7A48"/>
    <w:rsid w:val="7A0D111A"/>
    <w:rsid w:val="7A0E4EF2"/>
    <w:rsid w:val="7A0E5113"/>
    <w:rsid w:val="7A0E644E"/>
    <w:rsid w:val="7A0F3ECF"/>
    <w:rsid w:val="7A101951"/>
    <w:rsid w:val="7A10700A"/>
    <w:rsid w:val="7A116E46"/>
    <w:rsid w:val="7A1173D2"/>
    <w:rsid w:val="7A124E54"/>
    <w:rsid w:val="7A1328D6"/>
    <w:rsid w:val="7A163075"/>
    <w:rsid w:val="7A1712DC"/>
    <w:rsid w:val="7A173C13"/>
    <w:rsid w:val="7A1845EE"/>
    <w:rsid w:val="7A1974BB"/>
    <w:rsid w:val="7A1A2260"/>
    <w:rsid w:val="7A1C5763"/>
    <w:rsid w:val="7A1D194F"/>
    <w:rsid w:val="7A1D7C7E"/>
    <w:rsid w:val="7A1E0C67"/>
    <w:rsid w:val="7A1E13BB"/>
    <w:rsid w:val="7A1F66E8"/>
    <w:rsid w:val="7A211BEB"/>
    <w:rsid w:val="7A21330E"/>
    <w:rsid w:val="7A2250EE"/>
    <w:rsid w:val="7A230972"/>
    <w:rsid w:val="7A2463F3"/>
    <w:rsid w:val="7A2618F6"/>
    <w:rsid w:val="7A263AF5"/>
    <w:rsid w:val="7A266580"/>
    <w:rsid w:val="7A266B63"/>
    <w:rsid w:val="7A271576"/>
    <w:rsid w:val="7A277378"/>
    <w:rsid w:val="7A284DF9"/>
    <w:rsid w:val="7A286FF8"/>
    <w:rsid w:val="7A29339B"/>
    <w:rsid w:val="7A294A79"/>
    <w:rsid w:val="7A2A24FB"/>
    <w:rsid w:val="7A2A25EE"/>
    <w:rsid w:val="7A2A2B0F"/>
    <w:rsid w:val="7A2A5D7E"/>
    <w:rsid w:val="7A2B1BAD"/>
    <w:rsid w:val="7A2B2D92"/>
    <w:rsid w:val="7A2B7F7C"/>
    <w:rsid w:val="7A2C376D"/>
    <w:rsid w:val="7A2C59FE"/>
    <w:rsid w:val="7A2D347F"/>
    <w:rsid w:val="7A2E4784"/>
    <w:rsid w:val="7A2F2206"/>
    <w:rsid w:val="7A304404"/>
    <w:rsid w:val="7A305A3A"/>
    <w:rsid w:val="7A307C87"/>
    <w:rsid w:val="7A311E86"/>
    <w:rsid w:val="7A315709"/>
    <w:rsid w:val="7A316DFD"/>
    <w:rsid w:val="7A32318A"/>
    <w:rsid w:val="7A327907"/>
    <w:rsid w:val="7A330376"/>
    <w:rsid w:val="7A330C0C"/>
    <w:rsid w:val="7A335389"/>
    <w:rsid w:val="7A3410D9"/>
    <w:rsid w:val="7A342E0A"/>
    <w:rsid w:val="7A34668D"/>
    <w:rsid w:val="7A361B91"/>
    <w:rsid w:val="7A364017"/>
    <w:rsid w:val="7A36630D"/>
    <w:rsid w:val="7A373D8F"/>
    <w:rsid w:val="7A377612"/>
    <w:rsid w:val="7A385094"/>
    <w:rsid w:val="7A385D2E"/>
    <w:rsid w:val="7A394769"/>
    <w:rsid w:val="7A395308"/>
    <w:rsid w:val="7A3A0597"/>
    <w:rsid w:val="7A3A2795"/>
    <w:rsid w:val="7A3A4D14"/>
    <w:rsid w:val="7A3B0217"/>
    <w:rsid w:val="7A3B6881"/>
    <w:rsid w:val="7A3C3A9A"/>
    <w:rsid w:val="7A3C5C98"/>
    <w:rsid w:val="7A3D151B"/>
    <w:rsid w:val="7A3E119B"/>
    <w:rsid w:val="7A3E6F9D"/>
    <w:rsid w:val="7A3F1373"/>
    <w:rsid w:val="7A3F4A1F"/>
    <w:rsid w:val="7A4024A0"/>
    <w:rsid w:val="7A412120"/>
    <w:rsid w:val="7A4259A3"/>
    <w:rsid w:val="7A430EA6"/>
    <w:rsid w:val="7A446928"/>
    <w:rsid w:val="7A450B26"/>
    <w:rsid w:val="7A460876"/>
    <w:rsid w:val="7A4665A8"/>
    <w:rsid w:val="7A486B67"/>
    <w:rsid w:val="7A486D1D"/>
    <w:rsid w:val="7A492DB0"/>
    <w:rsid w:val="7A49752C"/>
    <w:rsid w:val="7A4A160C"/>
    <w:rsid w:val="7A4A4FAE"/>
    <w:rsid w:val="7A4B2370"/>
    <w:rsid w:val="7A4B2A2F"/>
    <w:rsid w:val="7A4B62B3"/>
    <w:rsid w:val="7A4D17B6"/>
    <w:rsid w:val="7A4D3724"/>
    <w:rsid w:val="7A4F1436"/>
    <w:rsid w:val="7A4F4C9D"/>
    <w:rsid w:val="7A4F4E61"/>
    <w:rsid w:val="7A5101BC"/>
    <w:rsid w:val="7A5223BA"/>
    <w:rsid w:val="7A526DB4"/>
    <w:rsid w:val="7A527E3C"/>
    <w:rsid w:val="7A5358BD"/>
    <w:rsid w:val="7A5404F2"/>
    <w:rsid w:val="7A541090"/>
    <w:rsid w:val="7A542CE8"/>
    <w:rsid w:val="7A550DC0"/>
    <w:rsid w:val="7A551C2F"/>
    <w:rsid w:val="7A551F3B"/>
    <w:rsid w:val="7A5520F1"/>
    <w:rsid w:val="7A556BC2"/>
    <w:rsid w:val="7A564644"/>
    <w:rsid w:val="7A566842"/>
    <w:rsid w:val="7A5720C5"/>
    <w:rsid w:val="7A572FE3"/>
    <w:rsid w:val="7A5742C4"/>
    <w:rsid w:val="7A587B47"/>
    <w:rsid w:val="7A5955C8"/>
    <w:rsid w:val="7A5B5C9A"/>
    <w:rsid w:val="7A5C074B"/>
    <w:rsid w:val="7A5C3FCF"/>
    <w:rsid w:val="7A5D7213"/>
    <w:rsid w:val="7A5D73D7"/>
    <w:rsid w:val="7A5E74D2"/>
    <w:rsid w:val="7A5E7DB1"/>
    <w:rsid w:val="7A5F4F53"/>
    <w:rsid w:val="7A6029D5"/>
    <w:rsid w:val="7A607152"/>
    <w:rsid w:val="7A610456"/>
    <w:rsid w:val="7A614BD3"/>
    <w:rsid w:val="7A622655"/>
    <w:rsid w:val="7A634C39"/>
    <w:rsid w:val="7A6413DB"/>
    <w:rsid w:val="7A644563"/>
    <w:rsid w:val="7A644B7F"/>
    <w:rsid w:val="7A652F2A"/>
    <w:rsid w:val="7A6530E0"/>
    <w:rsid w:val="7A6535D9"/>
    <w:rsid w:val="7A655559"/>
    <w:rsid w:val="7A656E5D"/>
    <w:rsid w:val="7A66105B"/>
    <w:rsid w:val="7A672360"/>
    <w:rsid w:val="7A676ADC"/>
    <w:rsid w:val="7A676C97"/>
    <w:rsid w:val="7A68455E"/>
    <w:rsid w:val="7A687DE1"/>
    <w:rsid w:val="7A691FDF"/>
    <w:rsid w:val="7A695863"/>
    <w:rsid w:val="7A6A32E4"/>
    <w:rsid w:val="7A6B29F2"/>
    <w:rsid w:val="7A6C09E6"/>
    <w:rsid w:val="7A6D4269"/>
    <w:rsid w:val="7A6E38A0"/>
    <w:rsid w:val="7A6F196A"/>
    <w:rsid w:val="7A6F443F"/>
    <w:rsid w:val="7A7059B7"/>
    <w:rsid w:val="7A712C6F"/>
    <w:rsid w:val="7A726172"/>
    <w:rsid w:val="7A726D40"/>
    <w:rsid w:val="7A730B94"/>
    <w:rsid w:val="7A741675"/>
    <w:rsid w:val="7A7570F7"/>
    <w:rsid w:val="7A761BE6"/>
    <w:rsid w:val="7A767A7E"/>
    <w:rsid w:val="7A7725C1"/>
    <w:rsid w:val="7A78007C"/>
    <w:rsid w:val="7A782F9B"/>
    <w:rsid w:val="7A7A46D8"/>
    <w:rsid w:val="7A7B5277"/>
    <w:rsid w:val="7A7D4503"/>
    <w:rsid w:val="7A7E1F85"/>
    <w:rsid w:val="7A7E71CA"/>
    <w:rsid w:val="7A7F0907"/>
    <w:rsid w:val="7A7F7A06"/>
    <w:rsid w:val="7A8105BA"/>
    <w:rsid w:val="7A810E46"/>
    <w:rsid w:val="7A811367"/>
    <w:rsid w:val="7A811E80"/>
    <w:rsid w:val="7A812F09"/>
    <w:rsid w:val="7A822A1F"/>
    <w:rsid w:val="7A8265E1"/>
    <w:rsid w:val="7A83640D"/>
    <w:rsid w:val="7A843E8E"/>
    <w:rsid w:val="7A843F98"/>
    <w:rsid w:val="7A851910"/>
    <w:rsid w:val="7A897144"/>
    <w:rsid w:val="7A8A01C7"/>
    <w:rsid w:val="7A8A161B"/>
    <w:rsid w:val="7A8A3819"/>
    <w:rsid w:val="7A8A4571"/>
    <w:rsid w:val="7A8B129B"/>
    <w:rsid w:val="7A8C4B1E"/>
    <w:rsid w:val="7A8D0761"/>
    <w:rsid w:val="7A8E0021"/>
    <w:rsid w:val="7A8E473B"/>
    <w:rsid w:val="7A8F5AA2"/>
    <w:rsid w:val="7A8F7CA1"/>
    <w:rsid w:val="7A904F95"/>
    <w:rsid w:val="7A905722"/>
    <w:rsid w:val="7A910FA6"/>
    <w:rsid w:val="7A91596F"/>
    <w:rsid w:val="7A920C25"/>
    <w:rsid w:val="7A92650D"/>
    <w:rsid w:val="7A926A27"/>
    <w:rsid w:val="7A9366A7"/>
    <w:rsid w:val="7A9479AC"/>
    <w:rsid w:val="7A950461"/>
    <w:rsid w:val="7A962EAF"/>
    <w:rsid w:val="7A9750AD"/>
    <w:rsid w:val="7A982578"/>
    <w:rsid w:val="7A982B2F"/>
    <w:rsid w:val="7A9905B0"/>
    <w:rsid w:val="7A993E33"/>
    <w:rsid w:val="7A9A18B5"/>
    <w:rsid w:val="7A9A2998"/>
    <w:rsid w:val="7A9A6032"/>
    <w:rsid w:val="7A9C1535"/>
    <w:rsid w:val="7A9C4DB8"/>
    <w:rsid w:val="7A9D283A"/>
    <w:rsid w:val="7A9E53BF"/>
    <w:rsid w:val="7A9E7346"/>
    <w:rsid w:val="7A9F3625"/>
    <w:rsid w:val="7A9F3F34"/>
    <w:rsid w:val="7AA008BF"/>
    <w:rsid w:val="7AA11240"/>
    <w:rsid w:val="7AA21FFC"/>
    <w:rsid w:val="7AA2343E"/>
    <w:rsid w:val="7AA30EC0"/>
    <w:rsid w:val="7AA36941"/>
    <w:rsid w:val="7AA421C5"/>
    <w:rsid w:val="7AA43575"/>
    <w:rsid w:val="7AA443C3"/>
    <w:rsid w:val="7AA51E44"/>
    <w:rsid w:val="7AA656C8"/>
    <w:rsid w:val="7AA9084B"/>
    <w:rsid w:val="7AA940B9"/>
    <w:rsid w:val="7AA9664C"/>
    <w:rsid w:val="7AAA017E"/>
    <w:rsid w:val="7AAA1FDB"/>
    <w:rsid w:val="7AAB0B58"/>
    <w:rsid w:val="7AAB0D1D"/>
    <w:rsid w:val="7AAB0E6A"/>
    <w:rsid w:val="7AAB1B4F"/>
    <w:rsid w:val="7AAB3D4E"/>
    <w:rsid w:val="7AAB75D1"/>
    <w:rsid w:val="7AAC0793"/>
    <w:rsid w:val="7AAC4F5C"/>
    <w:rsid w:val="7AAD2AD4"/>
    <w:rsid w:val="7AAD7251"/>
    <w:rsid w:val="7AAD7310"/>
    <w:rsid w:val="7AAF380F"/>
    <w:rsid w:val="7AB14F4C"/>
    <w:rsid w:val="7AB236D8"/>
    <w:rsid w:val="7AB26F5C"/>
    <w:rsid w:val="7AB349DD"/>
    <w:rsid w:val="7AB46BDC"/>
    <w:rsid w:val="7AB5465D"/>
    <w:rsid w:val="7AB57A3E"/>
    <w:rsid w:val="7AB57EE0"/>
    <w:rsid w:val="7AB6117B"/>
    <w:rsid w:val="7AB620DF"/>
    <w:rsid w:val="7AB733E4"/>
    <w:rsid w:val="7AB82530"/>
    <w:rsid w:val="7AB826F4"/>
    <w:rsid w:val="7AB93063"/>
    <w:rsid w:val="7ABA0AE5"/>
    <w:rsid w:val="7ABB1DEA"/>
    <w:rsid w:val="7ABB289A"/>
    <w:rsid w:val="7ABB2C05"/>
    <w:rsid w:val="7ABB6566"/>
    <w:rsid w:val="7ABC1261"/>
    <w:rsid w:val="7ABC1A6A"/>
    <w:rsid w:val="7ABC786B"/>
    <w:rsid w:val="7ABD52ED"/>
    <w:rsid w:val="7ABD5D84"/>
    <w:rsid w:val="7ABD74EB"/>
    <w:rsid w:val="7ABE2D6E"/>
    <w:rsid w:val="7AC07CD8"/>
    <w:rsid w:val="7AC13CF3"/>
    <w:rsid w:val="7AC3298E"/>
    <w:rsid w:val="7AC371F6"/>
    <w:rsid w:val="7AC422A5"/>
    <w:rsid w:val="7AC4352C"/>
    <w:rsid w:val="7AC46E76"/>
    <w:rsid w:val="7AC53F07"/>
    <w:rsid w:val="7AC555F6"/>
    <w:rsid w:val="7AC62379"/>
    <w:rsid w:val="7AC65EF2"/>
    <w:rsid w:val="7AC75644"/>
    <w:rsid w:val="7AC810FF"/>
    <w:rsid w:val="7AC861E3"/>
    <w:rsid w:val="7AC94D0C"/>
    <w:rsid w:val="7AC96B81"/>
    <w:rsid w:val="7ACA0D7F"/>
    <w:rsid w:val="7ACA3F5F"/>
    <w:rsid w:val="7ACA4603"/>
    <w:rsid w:val="7ACA7597"/>
    <w:rsid w:val="7ACB2084"/>
    <w:rsid w:val="7ACB3A3E"/>
    <w:rsid w:val="7ACC7B06"/>
    <w:rsid w:val="7ACD5587"/>
    <w:rsid w:val="7ACE3009"/>
    <w:rsid w:val="7ACE7785"/>
    <w:rsid w:val="7ACF5207"/>
    <w:rsid w:val="7AD02C89"/>
    <w:rsid w:val="7AD1070A"/>
    <w:rsid w:val="7AD13F8D"/>
    <w:rsid w:val="7AD21A0F"/>
    <w:rsid w:val="7AD258DE"/>
    <w:rsid w:val="7AD3168F"/>
    <w:rsid w:val="7AD37490"/>
    <w:rsid w:val="7AD47110"/>
    <w:rsid w:val="7AD52994"/>
    <w:rsid w:val="7AD60415"/>
    <w:rsid w:val="7AD60594"/>
    <w:rsid w:val="7AD70F6E"/>
    <w:rsid w:val="7AD80A50"/>
    <w:rsid w:val="7AD81B0D"/>
    <w:rsid w:val="7AD83918"/>
    <w:rsid w:val="7AD8769F"/>
    <w:rsid w:val="7AD9139A"/>
    <w:rsid w:val="7ADA6E1B"/>
    <w:rsid w:val="7ADB489D"/>
    <w:rsid w:val="7ADC7DA0"/>
    <w:rsid w:val="7ADD5362"/>
    <w:rsid w:val="7ADE32A3"/>
    <w:rsid w:val="7ADF6716"/>
    <w:rsid w:val="7ADF7479"/>
    <w:rsid w:val="7AE067A6"/>
    <w:rsid w:val="7AE14228"/>
    <w:rsid w:val="7AE31DA6"/>
    <w:rsid w:val="7AE31F6B"/>
    <w:rsid w:val="7AE3772B"/>
    <w:rsid w:val="7AE6195B"/>
    <w:rsid w:val="7AE74A5D"/>
    <w:rsid w:val="7AE76131"/>
    <w:rsid w:val="7AE8016D"/>
    <w:rsid w:val="7AE83BB3"/>
    <w:rsid w:val="7AE855FB"/>
    <w:rsid w:val="7AE87E01"/>
    <w:rsid w:val="7AEC02B2"/>
    <w:rsid w:val="7AED182A"/>
    <w:rsid w:val="7AEE5ABC"/>
    <w:rsid w:val="7AEF353D"/>
    <w:rsid w:val="7AF16A40"/>
    <w:rsid w:val="7AF244C2"/>
    <w:rsid w:val="7AF24EBB"/>
    <w:rsid w:val="7AF27D45"/>
    <w:rsid w:val="7AF357C7"/>
    <w:rsid w:val="7AF379C5"/>
    <w:rsid w:val="7AF45447"/>
    <w:rsid w:val="7AF50CCA"/>
    <w:rsid w:val="7AF53541"/>
    <w:rsid w:val="7AF542EE"/>
    <w:rsid w:val="7AF6094A"/>
    <w:rsid w:val="7AF63020"/>
    <w:rsid w:val="7AF631D6"/>
    <w:rsid w:val="7AF6674C"/>
    <w:rsid w:val="7AF72429"/>
    <w:rsid w:val="7AF810EA"/>
    <w:rsid w:val="7AF81C4F"/>
    <w:rsid w:val="7AF83E4D"/>
    <w:rsid w:val="7AFA5152"/>
    <w:rsid w:val="7AFB0655"/>
    <w:rsid w:val="7AFB303D"/>
    <w:rsid w:val="7AFB4DD2"/>
    <w:rsid w:val="7AFC2853"/>
    <w:rsid w:val="7AFC60D6"/>
    <w:rsid w:val="7AFD02D5"/>
    <w:rsid w:val="7AFD3B58"/>
    <w:rsid w:val="7AFE15D9"/>
    <w:rsid w:val="7AFF705B"/>
    <w:rsid w:val="7B004ADD"/>
    <w:rsid w:val="7B01255E"/>
    <w:rsid w:val="7B016CDB"/>
    <w:rsid w:val="7B017E0B"/>
    <w:rsid w:val="7B0209A9"/>
    <w:rsid w:val="7B02475C"/>
    <w:rsid w:val="7B027FE0"/>
    <w:rsid w:val="7B0363F4"/>
    <w:rsid w:val="7B0434E3"/>
    <w:rsid w:val="7B046089"/>
    <w:rsid w:val="7B054DBB"/>
    <w:rsid w:val="7B0556E1"/>
    <w:rsid w:val="7B063163"/>
    <w:rsid w:val="7B063660"/>
    <w:rsid w:val="7B0669E6"/>
    <w:rsid w:val="7B07403A"/>
    <w:rsid w:val="7B074467"/>
    <w:rsid w:val="7B074BD9"/>
    <w:rsid w:val="7B084A14"/>
    <w:rsid w:val="7B0855B3"/>
    <w:rsid w:val="7B097470"/>
    <w:rsid w:val="7B0A53EC"/>
    <w:rsid w:val="7B0B2E6E"/>
    <w:rsid w:val="7B0B75EA"/>
    <w:rsid w:val="7B0B76CA"/>
    <w:rsid w:val="7B0C0269"/>
    <w:rsid w:val="7B0C08EF"/>
    <w:rsid w:val="7B0C506C"/>
    <w:rsid w:val="7B0D6371"/>
    <w:rsid w:val="7B0E3DF2"/>
    <w:rsid w:val="7B0E5FF1"/>
    <w:rsid w:val="7B0F1874"/>
    <w:rsid w:val="7B0F3A72"/>
    <w:rsid w:val="7B1014F4"/>
    <w:rsid w:val="7B1138F9"/>
    <w:rsid w:val="7B114D77"/>
    <w:rsid w:val="7B116F75"/>
    <w:rsid w:val="7B1242D4"/>
    <w:rsid w:val="7B127FDA"/>
    <w:rsid w:val="7B135CFC"/>
    <w:rsid w:val="7B1373E3"/>
    <w:rsid w:val="7B14377D"/>
    <w:rsid w:val="7B1511FF"/>
    <w:rsid w:val="7B1565B0"/>
    <w:rsid w:val="7B1633FD"/>
    <w:rsid w:val="7B166C80"/>
    <w:rsid w:val="7B166F8A"/>
    <w:rsid w:val="7B170503"/>
    <w:rsid w:val="7B170E7E"/>
    <w:rsid w:val="7B174702"/>
    <w:rsid w:val="7B182183"/>
    <w:rsid w:val="7B186900"/>
    <w:rsid w:val="7B194382"/>
    <w:rsid w:val="7B197C05"/>
    <w:rsid w:val="7B1B7885"/>
    <w:rsid w:val="7B1C3B93"/>
    <w:rsid w:val="7B1C3D58"/>
    <w:rsid w:val="7B1C5306"/>
    <w:rsid w:val="7B1D2D88"/>
    <w:rsid w:val="7B1D660B"/>
    <w:rsid w:val="7B1E0809"/>
    <w:rsid w:val="7B1E408D"/>
    <w:rsid w:val="7B1E52D0"/>
    <w:rsid w:val="7B1F1B0E"/>
    <w:rsid w:val="7B1F628B"/>
    <w:rsid w:val="7B203D0C"/>
    <w:rsid w:val="7B217224"/>
    <w:rsid w:val="7B2214EA"/>
    <w:rsid w:val="7B221D76"/>
    <w:rsid w:val="7B230961"/>
    <w:rsid w:val="7B234C91"/>
    <w:rsid w:val="7B23675D"/>
    <w:rsid w:val="7B242713"/>
    <w:rsid w:val="7B2528B4"/>
    <w:rsid w:val="7B2539A9"/>
    <w:rsid w:val="7B253A17"/>
    <w:rsid w:val="7B255C16"/>
    <w:rsid w:val="7B261499"/>
    <w:rsid w:val="7B261FC1"/>
    <w:rsid w:val="7B263617"/>
    <w:rsid w:val="7B263697"/>
    <w:rsid w:val="7B276F1B"/>
    <w:rsid w:val="7B29241E"/>
    <w:rsid w:val="7B29461C"/>
    <w:rsid w:val="7B29572F"/>
    <w:rsid w:val="7B2A209D"/>
    <w:rsid w:val="7B2A7E9F"/>
    <w:rsid w:val="7B2B5921"/>
    <w:rsid w:val="7B2B6AE3"/>
    <w:rsid w:val="7B2B7B1F"/>
    <w:rsid w:val="7B2C0E24"/>
    <w:rsid w:val="7B2C33A2"/>
    <w:rsid w:val="7B2C7846"/>
    <w:rsid w:val="7B2D3022"/>
    <w:rsid w:val="7B2E4327"/>
    <w:rsid w:val="7B2E6262"/>
    <w:rsid w:val="7B2F1DA8"/>
    <w:rsid w:val="7B302174"/>
    <w:rsid w:val="7B303E7C"/>
    <w:rsid w:val="7B303FA7"/>
    <w:rsid w:val="7B304032"/>
    <w:rsid w:val="7B304708"/>
    <w:rsid w:val="7B30782A"/>
    <w:rsid w:val="7B3152AC"/>
    <w:rsid w:val="7B322D2D"/>
    <w:rsid w:val="7B324450"/>
    <w:rsid w:val="7B3274AA"/>
    <w:rsid w:val="7B334E2A"/>
    <w:rsid w:val="7B334F2B"/>
    <w:rsid w:val="7B334FEE"/>
    <w:rsid w:val="7B3429AD"/>
    <w:rsid w:val="7B35042F"/>
    <w:rsid w:val="7B353CB2"/>
    <w:rsid w:val="7B366F41"/>
    <w:rsid w:val="7B373932"/>
    <w:rsid w:val="7B38067F"/>
    <w:rsid w:val="7B3813B3"/>
    <w:rsid w:val="7B3926B8"/>
    <w:rsid w:val="7B3A48B6"/>
    <w:rsid w:val="7B3A7C36"/>
    <w:rsid w:val="7B3B2338"/>
    <w:rsid w:val="7B3C3170"/>
    <w:rsid w:val="7B3C363D"/>
    <w:rsid w:val="7B3D10BE"/>
    <w:rsid w:val="7B3E6D30"/>
    <w:rsid w:val="7B3E709B"/>
    <w:rsid w:val="7B3F45C1"/>
    <w:rsid w:val="7B3F5288"/>
    <w:rsid w:val="7B3F62EE"/>
    <w:rsid w:val="7B402043"/>
    <w:rsid w:val="7B41739F"/>
    <w:rsid w:val="7B417AC4"/>
    <w:rsid w:val="7B425546"/>
    <w:rsid w:val="7B427F3E"/>
    <w:rsid w:val="7B43443B"/>
    <w:rsid w:val="7B440A49"/>
    <w:rsid w:val="7B4412F3"/>
    <w:rsid w:val="7B451E91"/>
    <w:rsid w:val="7B45751D"/>
    <w:rsid w:val="7B4619CE"/>
    <w:rsid w:val="7B47744F"/>
    <w:rsid w:val="7B492952"/>
    <w:rsid w:val="7B4B5E55"/>
    <w:rsid w:val="7B4C1878"/>
    <w:rsid w:val="7B4D039C"/>
    <w:rsid w:val="7B4D1359"/>
    <w:rsid w:val="7B4D7639"/>
    <w:rsid w:val="7B4E0D77"/>
    <w:rsid w:val="7B4F1915"/>
    <w:rsid w:val="7B4F6590"/>
    <w:rsid w:val="7B5022DD"/>
    <w:rsid w:val="7B512E8E"/>
    <w:rsid w:val="7B51461E"/>
    <w:rsid w:val="7B517D5F"/>
    <w:rsid w:val="7B534407"/>
    <w:rsid w:val="7B544DE1"/>
    <w:rsid w:val="7B555980"/>
    <w:rsid w:val="7B556765"/>
    <w:rsid w:val="7B5641E6"/>
    <w:rsid w:val="7B5754EB"/>
    <w:rsid w:val="7B576EF9"/>
    <w:rsid w:val="7B5876EA"/>
    <w:rsid w:val="7B5909EE"/>
    <w:rsid w:val="7B5A4576"/>
    <w:rsid w:val="7B5A4E02"/>
    <w:rsid w:val="7B5B3CEA"/>
    <w:rsid w:val="7B5B3EF1"/>
    <w:rsid w:val="7B5C26B1"/>
    <w:rsid w:val="7B5C32A8"/>
    <w:rsid w:val="7B5C345E"/>
    <w:rsid w:val="7B5C3B71"/>
    <w:rsid w:val="7B5D3CC6"/>
    <w:rsid w:val="7B5E3716"/>
    <w:rsid w:val="7B5E4E76"/>
    <w:rsid w:val="7B5E7074"/>
    <w:rsid w:val="7B5F28F8"/>
    <w:rsid w:val="7B600379"/>
    <w:rsid w:val="7B602578"/>
    <w:rsid w:val="7B605DDE"/>
    <w:rsid w:val="7B615DFB"/>
    <w:rsid w:val="7B617FF9"/>
    <w:rsid w:val="7B6312FE"/>
    <w:rsid w:val="7B6408D0"/>
    <w:rsid w:val="7B640F7E"/>
    <w:rsid w:val="7B644801"/>
    <w:rsid w:val="7B652283"/>
    <w:rsid w:val="7B6569FF"/>
    <w:rsid w:val="7B657343"/>
    <w:rsid w:val="7B675786"/>
    <w:rsid w:val="7B683207"/>
    <w:rsid w:val="7B686D42"/>
    <w:rsid w:val="7B687429"/>
    <w:rsid w:val="7B687984"/>
    <w:rsid w:val="7B694AFF"/>
    <w:rsid w:val="7B694CC3"/>
    <w:rsid w:val="7B6A2E87"/>
    <w:rsid w:val="7B6A670A"/>
    <w:rsid w:val="7B6B0909"/>
    <w:rsid w:val="7B6B418C"/>
    <w:rsid w:val="7B6B623C"/>
    <w:rsid w:val="7B6C067B"/>
    <w:rsid w:val="7B6C1C0D"/>
    <w:rsid w:val="7B6C638A"/>
    <w:rsid w:val="7B6D3E0C"/>
    <w:rsid w:val="7B6E5110"/>
    <w:rsid w:val="7B701708"/>
    <w:rsid w:val="7B720293"/>
    <w:rsid w:val="7B723B17"/>
    <w:rsid w:val="7B731598"/>
    <w:rsid w:val="7B735D15"/>
    <w:rsid w:val="7B743797"/>
    <w:rsid w:val="7B76251D"/>
    <w:rsid w:val="7B7664D6"/>
    <w:rsid w:val="7B771530"/>
    <w:rsid w:val="7B776EB0"/>
    <w:rsid w:val="7B785A20"/>
    <w:rsid w:val="7B787C13"/>
    <w:rsid w:val="7B7934A2"/>
    <w:rsid w:val="7B7956A0"/>
    <w:rsid w:val="7B797EF7"/>
    <w:rsid w:val="7B7A0F23"/>
    <w:rsid w:val="7B7A3121"/>
    <w:rsid w:val="7B7B0BA3"/>
    <w:rsid w:val="7B7C1EA8"/>
    <w:rsid w:val="7B7D32A4"/>
    <w:rsid w:val="7B7D40A6"/>
    <w:rsid w:val="7B7E1B28"/>
    <w:rsid w:val="7B7F2E2C"/>
    <w:rsid w:val="7B7F75A9"/>
    <w:rsid w:val="7B8008AE"/>
    <w:rsid w:val="7B80502B"/>
    <w:rsid w:val="7B812AAC"/>
    <w:rsid w:val="7B823DB1"/>
    <w:rsid w:val="7B826770"/>
    <w:rsid w:val="7B831833"/>
    <w:rsid w:val="7B840A4C"/>
    <w:rsid w:val="7B841746"/>
    <w:rsid w:val="7B843A31"/>
    <w:rsid w:val="7B8472B4"/>
    <w:rsid w:val="7B8514B2"/>
    <w:rsid w:val="7B8627B7"/>
    <w:rsid w:val="7B870239"/>
    <w:rsid w:val="7B8749B6"/>
    <w:rsid w:val="7B882437"/>
    <w:rsid w:val="7B88353D"/>
    <w:rsid w:val="7B885CBA"/>
    <w:rsid w:val="7B89373C"/>
    <w:rsid w:val="7B8A11BD"/>
    <w:rsid w:val="7B8A5F6C"/>
    <w:rsid w:val="7B8B33BC"/>
    <w:rsid w:val="7B8C0E3D"/>
    <w:rsid w:val="7B8C46C1"/>
    <w:rsid w:val="7B8D2142"/>
    <w:rsid w:val="7B8D4340"/>
    <w:rsid w:val="7B8D6D92"/>
    <w:rsid w:val="7B8E1DC2"/>
    <w:rsid w:val="7B8E776C"/>
    <w:rsid w:val="7B8E7BC4"/>
    <w:rsid w:val="7B8F0147"/>
    <w:rsid w:val="7B8F3DE8"/>
    <w:rsid w:val="7B8F5645"/>
    <w:rsid w:val="7B9030C7"/>
    <w:rsid w:val="7B9052C5"/>
    <w:rsid w:val="7B911884"/>
    <w:rsid w:val="7B9207C8"/>
    <w:rsid w:val="7B922FC1"/>
    <w:rsid w:val="7B9265CA"/>
    <w:rsid w:val="7B9337D7"/>
    <w:rsid w:val="7B93399C"/>
    <w:rsid w:val="7B93624A"/>
    <w:rsid w:val="7B941ACD"/>
    <w:rsid w:val="7B955067"/>
    <w:rsid w:val="7B9553D2"/>
    <w:rsid w:val="7B95754E"/>
    <w:rsid w:val="7B962A52"/>
    <w:rsid w:val="7B97648D"/>
    <w:rsid w:val="7B990153"/>
    <w:rsid w:val="7B991BC7"/>
    <w:rsid w:val="7B9A1458"/>
    <w:rsid w:val="7B9A5BD4"/>
    <w:rsid w:val="7B9B3656"/>
    <w:rsid w:val="7B9B6ED9"/>
    <w:rsid w:val="7B9C1CE2"/>
    <w:rsid w:val="7B9C495B"/>
    <w:rsid w:val="7B9D23DC"/>
    <w:rsid w:val="7B9D6B59"/>
    <w:rsid w:val="7B9E45DB"/>
    <w:rsid w:val="7B9E7E5E"/>
    <w:rsid w:val="7B9F47D4"/>
    <w:rsid w:val="7BA03361"/>
    <w:rsid w:val="7BA1555F"/>
    <w:rsid w:val="7BA15F11"/>
    <w:rsid w:val="7BA342E6"/>
    <w:rsid w:val="7BA41D67"/>
    <w:rsid w:val="7BA47E64"/>
    <w:rsid w:val="7BA50A03"/>
    <w:rsid w:val="7BA613DD"/>
    <w:rsid w:val="7BA6526A"/>
    <w:rsid w:val="7BA82956"/>
    <w:rsid w:val="7BA934F5"/>
    <w:rsid w:val="7BA961EF"/>
    <w:rsid w:val="7BAB16F2"/>
    <w:rsid w:val="7BAB4A6E"/>
    <w:rsid w:val="7BAC7174"/>
    <w:rsid w:val="7BAD6B85"/>
    <w:rsid w:val="7BAE00F8"/>
    <w:rsid w:val="7BAE042E"/>
    <w:rsid w:val="7BAE78E8"/>
    <w:rsid w:val="7BAF5B7A"/>
    <w:rsid w:val="7BAF6C7F"/>
    <w:rsid w:val="7BB00E61"/>
    <w:rsid w:val="7BB035FB"/>
    <w:rsid w:val="7BB1107D"/>
    <w:rsid w:val="7BB1183B"/>
    <w:rsid w:val="7BB223DA"/>
    <w:rsid w:val="7BB22542"/>
    <w:rsid w:val="7BB26AFF"/>
    <w:rsid w:val="7BB42002"/>
    <w:rsid w:val="7BB57A83"/>
    <w:rsid w:val="7BB64ECC"/>
    <w:rsid w:val="7BB65090"/>
    <w:rsid w:val="7BB72F86"/>
    <w:rsid w:val="7BB80A08"/>
    <w:rsid w:val="7BB86609"/>
    <w:rsid w:val="7BB96FE3"/>
    <w:rsid w:val="7BBB055C"/>
    <w:rsid w:val="7BBD0713"/>
    <w:rsid w:val="7BBD4E90"/>
    <w:rsid w:val="7BBE3213"/>
    <w:rsid w:val="7BBE6194"/>
    <w:rsid w:val="7BBF0393"/>
    <w:rsid w:val="7BBF3C16"/>
    <w:rsid w:val="7BBF481B"/>
    <w:rsid w:val="7BC01697"/>
    <w:rsid w:val="7BC13896"/>
    <w:rsid w:val="7BC17119"/>
    <w:rsid w:val="7BC21317"/>
    <w:rsid w:val="7BC3261C"/>
    <w:rsid w:val="7BC36A67"/>
    <w:rsid w:val="7BC5229C"/>
    <w:rsid w:val="7BC55B1F"/>
    <w:rsid w:val="7BC57D1D"/>
    <w:rsid w:val="7BC609BA"/>
    <w:rsid w:val="7BC635A1"/>
    <w:rsid w:val="7BC6579F"/>
    <w:rsid w:val="7BC71022"/>
    <w:rsid w:val="7BC73221"/>
    <w:rsid w:val="7BC80CA2"/>
    <w:rsid w:val="7BC8610F"/>
    <w:rsid w:val="7BC94525"/>
    <w:rsid w:val="7BC96724"/>
    <w:rsid w:val="7BCA1FA7"/>
    <w:rsid w:val="7BCA41A5"/>
    <w:rsid w:val="7BCA420F"/>
    <w:rsid w:val="7BCB7A29"/>
    <w:rsid w:val="7BCC54AA"/>
    <w:rsid w:val="7BCC55C4"/>
    <w:rsid w:val="7BCC76A8"/>
    <w:rsid w:val="7BCD09AD"/>
    <w:rsid w:val="7BCD512A"/>
    <w:rsid w:val="7BCE6B3D"/>
    <w:rsid w:val="7BCE6D01"/>
    <w:rsid w:val="7BCE7347"/>
    <w:rsid w:val="7BCF062D"/>
    <w:rsid w:val="7BCF3EB0"/>
    <w:rsid w:val="7BD01B16"/>
    <w:rsid w:val="7BD060AF"/>
    <w:rsid w:val="7BD173B3"/>
    <w:rsid w:val="7BD24E35"/>
    <w:rsid w:val="7BD328B6"/>
    <w:rsid w:val="7BD37033"/>
    <w:rsid w:val="7BD40338"/>
    <w:rsid w:val="7BD44AB5"/>
    <w:rsid w:val="7BD52536"/>
    <w:rsid w:val="7BD55DBA"/>
    <w:rsid w:val="7BD712BD"/>
    <w:rsid w:val="7BD74E83"/>
    <w:rsid w:val="7BD75A22"/>
    <w:rsid w:val="7BD75BE6"/>
    <w:rsid w:val="7BD834BB"/>
    <w:rsid w:val="7BD865C1"/>
    <w:rsid w:val="7BD90F3C"/>
    <w:rsid w:val="7BD947C0"/>
    <w:rsid w:val="7BDA69BE"/>
    <w:rsid w:val="7BDB0514"/>
    <w:rsid w:val="7BDB06D8"/>
    <w:rsid w:val="7BDB4440"/>
    <w:rsid w:val="7BDB78F5"/>
    <w:rsid w:val="7BDC10B2"/>
    <w:rsid w:val="7BDC1EC1"/>
    <w:rsid w:val="7BDD1B24"/>
    <w:rsid w:val="7BDD1C51"/>
    <w:rsid w:val="7BDD31C6"/>
    <w:rsid w:val="7BDD53C4"/>
    <w:rsid w:val="7BDE0F2D"/>
    <w:rsid w:val="7BDE2E46"/>
    <w:rsid w:val="7BDF0180"/>
    <w:rsid w:val="7BDF7C5F"/>
    <w:rsid w:val="7BE0414B"/>
    <w:rsid w:val="7BE2184C"/>
    <w:rsid w:val="7BE350CF"/>
    <w:rsid w:val="7BE36A1F"/>
    <w:rsid w:val="7BE372CE"/>
    <w:rsid w:val="7BE42B51"/>
    <w:rsid w:val="7BE4685A"/>
    <w:rsid w:val="7BE505D2"/>
    <w:rsid w:val="7BE52E7C"/>
    <w:rsid w:val="7BE56054"/>
    <w:rsid w:val="7BE60252"/>
    <w:rsid w:val="7BE60972"/>
    <w:rsid w:val="7BE63AD5"/>
    <w:rsid w:val="7BE71511"/>
    <w:rsid w:val="7BE71557"/>
    <w:rsid w:val="7BE820AF"/>
    <w:rsid w:val="7BE83755"/>
    <w:rsid w:val="7BE92A89"/>
    <w:rsid w:val="7BEA24DC"/>
    <w:rsid w:val="7BEA6C58"/>
    <w:rsid w:val="7BEC215B"/>
    <w:rsid w:val="7BEC38BF"/>
    <w:rsid w:val="7BEC3C2A"/>
    <w:rsid w:val="7BEC4BA1"/>
    <w:rsid w:val="7BEC59DF"/>
    <w:rsid w:val="7BED3460"/>
    <w:rsid w:val="7BEE0EE2"/>
    <w:rsid w:val="7BEE237C"/>
    <w:rsid w:val="7BEE565F"/>
    <w:rsid w:val="7BEE62DE"/>
    <w:rsid w:val="7BEF6963"/>
    <w:rsid w:val="7BF003F6"/>
    <w:rsid w:val="7BF043E5"/>
    <w:rsid w:val="7BF07857"/>
    <w:rsid w:val="7BF11E66"/>
    <w:rsid w:val="7BF165E3"/>
    <w:rsid w:val="7BF278E8"/>
    <w:rsid w:val="7BF3536A"/>
    <w:rsid w:val="7BF42D23"/>
    <w:rsid w:val="7BF42DEB"/>
    <w:rsid w:val="7BF47568"/>
    <w:rsid w:val="7BF5086D"/>
    <w:rsid w:val="7BF5248E"/>
    <w:rsid w:val="7BF54FE9"/>
    <w:rsid w:val="7BF73D70"/>
    <w:rsid w:val="7BF74FFF"/>
    <w:rsid w:val="7BF839F0"/>
    <w:rsid w:val="7BF91471"/>
    <w:rsid w:val="7BF92B4E"/>
    <w:rsid w:val="7BF97273"/>
    <w:rsid w:val="7BFB2776"/>
    <w:rsid w:val="7BFB54A5"/>
    <w:rsid w:val="7BFC01F8"/>
    <w:rsid w:val="7BFC15CB"/>
    <w:rsid w:val="7BFD36FB"/>
    <w:rsid w:val="7BFD5C79"/>
    <w:rsid w:val="7BFD7E77"/>
    <w:rsid w:val="7BFF27A7"/>
    <w:rsid w:val="7BFF6BFE"/>
    <w:rsid w:val="7C00467F"/>
    <w:rsid w:val="7C017364"/>
    <w:rsid w:val="7C0242FF"/>
    <w:rsid w:val="7C035604"/>
    <w:rsid w:val="7C035E38"/>
    <w:rsid w:val="7C047802"/>
    <w:rsid w:val="7C050B07"/>
    <w:rsid w:val="7C066589"/>
    <w:rsid w:val="7C070787"/>
    <w:rsid w:val="7C07400A"/>
    <w:rsid w:val="7C081A8C"/>
    <w:rsid w:val="7C086208"/>
    <w:rsid w:val="7C0A4F8F"/>
    <w:rsid w:val="7C0A6A4B"/>
    <w:rsid w:val="7C0A6D20"/>
    <w:rsid w:val="7C0C0492"/>
    <w:rsid w:val="7C0C417E"/>
    <w:rsid w:val="7C0C76D6"/>
    <w:rsid w:val="7C0E3995"/>
    <w:rsid w:val="7C0E60D1"/>
    <w:rsid w:val="7C1101E9"/>
    <w:rsid w:val="7C11491A"/>
    <w:rsid w:val="7C120D88"/>
    <w:rsid w:val="7C120F4C"/>
    <w:rsid w:val="7C12239B"/>
    <w:rsid w:val="7C142300"/>
    <w:rsid w:val="7C1424C5"/>
    <w:rsid w:val="7C14589E"/>
    <w:rsid w:val="7C152E9F"/>
    <w:rsid w:val="7C160DA1"/>
    <w:rsid w:val="7C166823"/>
    <w:rsid w:val="7C173056"/>
    <w:rsid w:val="7C1742A4"/>
    <w:rsid w:val="7C1745DC"/>
    <w:rsid w:val="7C181F3F"/>
    <w:rsid w:val="7C18245F"/>
    <w:rsid w:val="7C184FB7"/>
    <w:rsid w:val="7C191192"/>
    <w:rsid w:val="7C1977A8"/>
    <w:rsid w:val="7C1A5229"/>
    <w:rsid w:val="7C1A652F"/>
    <w:rsid w:val="7C1C080B"/>
    <w:rsid w:val="7C1D61AE"/>
    <w:rsid w:val="7C1E1BC0"/>
    <w:rsid w:val="7C1E1D84"/>
    <w:rsid w:val="7C1F16B1"/>
    <w:rsid w:val="7C214BB4"/>
    <w:rsid w:val="7C224876"/>
    <w:rsid w:val="7C225EB9"/>
    <w:rsid w:val="7C235250"/>
    <w:rsid w:val="7C2413BC"/>
    <w:rsid w:val="7C245B39"/>
    <w:rsid w:val="7C2535BA"/>
    <w:rsid w:val="7C2648BF"/>
    <w:rsid w:val="7C274566"/>
    <w:rsid w:val="7C276ABD"/>
    <w:rsid w:val="7C281644"/>
    <w:rsid w:val="7C287DC2"/>
    <w:rsid w:val="7C295844"/>
    <w:rsid w:val="7C296138"/>
    <w:rsid w:val="7C2A32C5"/>
    <w:rsid w:val="7C2A7A42"/>
    <w:rsid w:val="7C2B0D47"/>
    <w:rsid w:val="7C2B3597"/>
    <w:rsid w:val="7C2D09C7"/>
    <w:rsid w:val="7C2D4B10"/>
    <w:rsid w:val="7C2E1CCB"/>
    <w:rsid w:val="7C2F194B"/>
    <w:rsid w:val="7C3051CE"/>
    <w:rsid w:val="7C3073CD"/>
    <w:rsid w:val="7C314E4E"/>
    <w:rsid w:val="7C3201A0"/>
    <w:rsid w:val="7C3206D2"/>
    <w:rsid w:val="7C330351"/>
    <w:rsid w:val="7C336153"/>
    <w:rsid w:val="7C345DD3"/>
    <w:rsid w:val="7C351656"/>
    <w:rsid w:val="7C3522B8"/>
    <w:rsid w:val="7C353855"/>
    <w:rsid w:val="7C356B8E"/>
    <w:rsid w:val="7C356EF9"/>
    <w:rsid w:val="7C3639F5"/>
    <w:rsid w:val="7C365A76"/>
    <w:rsid w:val="7C3670D8"/>
    <w:rsid w:val="7C3725DB"/>
    <w:rsid w:val="7C372DE3"/>
    <w:rsid w:val="7C3743CF"/>
    <w:rsid w:val="7C376D58"/>
    <w:rsid w:val="7C38005C"/>
    <w:rsid w:val="7C39225B"/>
    <w:rsid w:val="7C3A3560"/>
    <w:rsid w:val="7C3B0FE1"/>
    <w:rsid w:val="7C3B575E"/>
    <w:rsid w:val="7C3B7086"/>
    <w:rsid w:val="7C3C7A60"/>
    <w:rsid w:val="7C3D07C3"/>
    <w:rsid w:val="7C3E1F66"/>
    <w:rsid w:val="7C3E66E2"/>
    <w:rsid w:val="7C3F4164"/>
    <w:rsid w:val="7C3F6DDE"/>
    <w:rsid w:val="7C3F79E7"/>
    <w:rsid w:val="7C405469"/>
    <w:rsid w:val="7C417667"/>
    <w:rsid w:val="7C42096C"/>
    <w:rsid w:val="7C431DAC"/>
    <w:rsid w:val="7C432B6A"/>
    <w:rsid w:val="7C4405EC"/>
    <w:rsid w:val="7C440ADF"/>
    <w:rsid w:val="7C4518F1"/>
    <w:rsid w:val="7C45606D"/>
    <w:rsid w:val="7C463AEF"/>
    <w:rsid w:val="7C467372"/>
    <w:rsid w:val="7C470082"/>
    <w:rsid w:val="7C474AAA"/>
    <w:rsid w:val="7C474DF4"/>
    <w:rsid w:val="7C476FF2"/>
    <w:rsid w:val="7C482875"/>
    <w:rsid w:val="7C4902F7"/>
    <w:rsid w:val="7C4915FB"/>
    <w:rsid w:val="7C4924F5"/>
    <w:rsid w:val="7C4A1FD6"/>
    <w:rsid w:val="7C4B59F8"/>
    <w:rsid w:val="7C4C127B"/>
    <w:rsid w:val="7C4D6CFD"/>
    <w:rsid w:val="7C4E2200"/>
    <w:rsid w:val="7C4E477F"/>
    <w:rsid w:val="7C4E4AC7"/>
    <w:rsid w:val="7C4E697D"/>
    <w:rsid w:val="7C4F43FE"/>
    <w:rsid w:val="7C4F7C82"/>
    <w:rsid w:val="7C501E80"/>
    <w:rsid w:val="7C505703"/>
    <w:rsid w:val="7C513185"/>
    <w:rsid w:val="7C516BDF"/>
    <w:rsid w:val="7C520C06"/>
    <w:rsid w:val="7C523B48"/>
    <w:rsid w:val="7C532E05"/>
    <w:rsid w:val="7C536688"/>
    <w:rsid w:val="7C540886"/>
    <w:rsid w:val="7C541895"/>
    <w:rsid w:val="7C544109"/>
    <w:rsid w:val="7C551B8B"/>
    <w:rsid w:val="7C556308"/>
    <w:rsid w:val="7C57180B"/>
    <w:rsid w:val="7C573B71"/>
    <w:rsid w:val="7C57508E"/>
    <w:rsid w:val="7C584387"/>
    <w:rsid w:val="7C58728C"/>
    <w:rsid w:val="7C594D0E"/>
    <w:rsid w:val="7C5950EA"/>
    <w:rsid w:val="7C5A278F"/>
    <w:rsid w:val="7C5A5AC4"/>
    <w:rsid w:val="7C5B0211"/>
    <w:rsid w:val="7C5C1516"/>
    <w:rsid w:val="7C5C5C93"/>
    <w:rsid w:val="7C5C703D"/>
    <w:rsid w:val="7C5D6F97"/>
    <w:rsid w:val="7C5D7BDC"/>
    <w:rsid w:val="7C5E077A"/>
    <w:rsid w:val="7C5E1319"/>
    <w:rsid w:val="7C5E4A19"/>
    <w:rsid w:val="7C5E6C17"/>
    <w:rsid w:val="7C5F1CF3"/>
    <w:rsid w:val="7C5F249A"/>
    <w:rsid w:val="7C5F4699"/>
    <w:rsid w:val="7C60211A"/>
    <w:rsid w:val="7C607F1C"/>
    <w:rsid w:val="7C613431"/>
    <w:rsid w:val="7C615578"/>
    <w:rsid w:val="7C617B9C"/>
    <w:rsid w:val="7C62341F"/>
    <w:rsid w:val="7C624460"/>
    <w:rsid w:val="7C62561D"/>
    <w:rsid w:val="7C630EA1"/>
    <w:rsid w:val="7C655D5E"/>
    <w:rsid w:val="7C6565A2"/>
    <w:rsid w:val="7C661E25"/>
    <w:rsid w:val="7C666AC1"/>
    <w:rsid w:val="7C671AA5"/>
    <w:rsid w:val="7C682DAA"/>
    <w:rsid w:val="7C690A14"/>
    <w:rsid w:val="7C694FA8"/>
    <w:rsid w:val="7C6A2A2A"/>
    <w:rsid w:val="7C6B04AB"/>
    <w:rsid w:val="7C6C5AC7"/>
    <w:rsid w:val="7C6C5F2D"/>
    <w:rsid w:val="7C6D39AE"/>
    <w:rsid w:val="7C6E1430"/>
    <w:rsid w:val="7C6E4C43"/>
    <w:rsid w:val="7C6E4CB3"/>
    <w:rsid w:val="7C6F042B"/>
    <w:rsid w:val="7C7001B6"/>
    <w:rsid w:val="7C7061BC"/>
    <w:rsid w:val="7C706380"/>
    <w:rsid w:val="7C716D5B"/>
    <w:rsid w:val="7C7236B9"/>
    <w:rsid w:val="7C7278F9"/>
    <w:rsid w:val="7C73113B"/>
    <w:rsid w:val="7C735B02"/>
    <w:rsid w:val="7C740E72"/>
    <w:rsid w:val="7C746BBD"/>
    <w:rsid w:val="7C75463E"/>
    <w:rsid w:val="7C772F8A"/>
    <w:rsid w:val="7C777B41"/>
    <w:rsid w:val="7C793044"/>
    <w:rsid w:val="7C7A0AC6"/>
    <w:rsid w:val="7C7A4EDD"/>
    <w:rsid w:val="7C7B4FC1"/>
    <w:rsid w:val="7C7D2A53"/>
    <w:rsid w:val="7C7E0732"/>
    <w:rsid w:val="7C7E1AF1"/>
    <w:rsid w:val="7C7E1E5C"/>
    <w:rsid w:val="7C7F110C"/>
    <w:rsid w:val="7C7F12D0"/>
    <w:rsid w:val="7C815ED2"/>
    <w:rsid w:val="7C8233E8"/>
    <w:rsid w:val="7C823954"/>
    <w:rsid w:val="7C8313D5"/>
    <w:rsid w:val="7C85533B"/>
    <w:rsid w:val="7C86235A"/>
    <w:rsid w:val="7C87365F"/>
    <w:rsid w:val="7C877DDC"/>
    <w:rsid w:val="7C8810E0"/>
    <w:rsid w:val="7C88585D"/>
    <w:rsid w:val="7C887617"/>
    <w:rsid w:val="7C890B90"/>
    <w:rsid w:val="7C8932DF"/>
    <w:rsid w:val="7C896B62"/>
    <w:rsid w:val="7C8A0D60"/>
    <w:rsid w:val="7C8A156A"/>
    <w:rsid w:val="7C8A45E3"/>
    <w:rsid w:val="7C8B67E2"/>
    <w:rsid w:val="7C8C2AE3"/>
    <w:rsid w:val="7C8C2CA7"/>
    <w:rsid w:val="7C8C4263"/>
    <w:rsid w:val="7C8C5751"/>
    <w:rsid w:val="7C8D1CE5"/>
    <w:rsid w:val="7C8D5568"/>
    <w:rsid w:val="7C8E2FEA"/>
    <w:rsid w:val="7C8E405C"/>
    <w:rsid w:val="7C8E737A"/>
    <w:rsid w:val="7C8E7766"/>
    <w:rsid w:val="7C8F0A6B"/>
    <w:rsid w:val="7C8F4BFB"/>
    <w:rsid w:val="7C9106EB"/>
    <w:rsid w:val="7C92616D"/>
    <w:rsid w:val="7C933BEE"/>
    <w:rsid w:val="7C937471"/>
    <w:rsid w:val="7C9376EC"/>
    <w:rsid w:val="7C952974"/>
    <w:rsid w:val="7C9603F6"/>
    <w:rsid w:val="7C962567"/>
    <w:rsid w:val="7C964B73"/>
    <w:rsid w:val="7C970076"/>
    <w:rsid w:val="7C9838F9"/>
    <w:rsid w:val="7C985AF7"/>
    <w:rsid w:val="7C99137B"/>
    <w:rsid w:val="7C9944BA"/>
    <w:rsid w:val="7C9A0FFB"/>
    <w:rsid w:val="7C9A6DFC"/>
    <w:rsid w:val="7C9B6A7C"/>
    <w:rsid w:val="7C9B74EC"/>
    <w:rsid w:val="7C9C22FF"/>
    <w:rsid w:val="7C9C6796"/>
    <w:rsid w:val="7C9D7D81"/>
    <w:rsid w:val="7C9D7F46"/>
    <w:rsid w:val="7C9E5802"/>
    <w:rsid w:val="7C9E7A01"/>
    <w:rsid w:val="7C9E7B4B"/>
    <w:rsid w:val="7C9F3284"/>
    <w:rsid w:val="7C9F5482"/>
    <w:rsid w:val="7CA01288"/>
    <w:rsid w:val="7CA02F04"/>
    <w:rsid w:val="7CA06787"/>
    <w:rsid w:val="7CA10985"/>
    <w:rsid w:val="7CA11E26"/>
    <w:rsid w:val="7CA21C8A"/>
    <w:rsid w:val="7CA26407"/>
    <w:rsid w:val="7CA331DB"/>
    <w:rsid w:val="7CA33E88"/>
    <w:rsid w:val="7CA4190A"/>
    <w:rsid w:val="7CA43D7A"/>
    <w:rsid w:val="7CA4518D"/>
    <w:rsid w:val="7CA5738C"/>
    <w:rsid w:val="7CA64E0D"/>
    <w:rsid w:val="7CA76112"/>
    <w:rsid w:val="7CA828C1"/>
    <w:rsid w:val="7CA875CE"/>
    <w:rsid w:val="7CA95D92"/>
    <w:rsid w:val="7CAA04DB"/>
    <w:rsid w:val="7CAA3813"/>
    <w:rsid w:val="7CAA5B44"/>
    <w:rsid w:val="7CAA7097"/>
    <w:rsid w:val="7CAB16E6"/>
    <w:rsid w:val="7CAB4B18"/>
    <w:rsid w:val="7CAC259A"/>
    <w:rsid w:val="7CAC6D16"/>
    <w:rsid w:val="7CAD001B"/>
    <w:rsid w:val="7CAD4798"/>
    <w:rsid w:val="7CAE5A9D"/>
    <w:rsid w:val="7CAF351E"/>
    <w:rsid w:val="7CAF7C9B"/>
    <w:rsid w:val="7CB00FA0"/>
    <w:rsid w:val="7CB10C20"/>
    <w:rsid w:val="7CB16A21"/>
    <w:rsid w:val="7CB244A3"/>
    <w:rsid w:val="7CB266A1"/>
    <w:rsid w:val="7CB26CCA"/>
    <w:rsid w:val="7CB31F25"/>
    <w:rsid w:val="7CB34123"/>
    <w:rsid w:val="7CB41BA4"/>
    <w:rsid w:val="7CB479A6"/>
    <w:rsid w:val="7CB61980"/>
    <w:rsid w:val="7CB7092B"/>
    <w:rsid w:val="7CB7235A"/>
    <w:rsid w:val="7CB805AB"/>
    <w:rsid w:val="7CB836FA"/>
    <w:rsid w:val="7CB918AF"/>
    <w:rsid w:val="7CB91E86"/>
    <w:rsid w:val="7CBA3AAE"/>
    <w:rsid w:val="7CBA4636"/>
    <w:rsid w:val="7CBA7331"/>
    <w:rsid w:val="7CBB152F"/>
    <w:rsid w:val="7CBB4DB2"/>
    <w:rsid w:val="7CBC2834"/>
    <w:rsid w:val="7CBC59EA"/>
    <w:rsid w:val="7CBC6FB1"/>
    <w:rsid w:val="7CBD4A32"/>
    <w:rsid w:val="7CBD6589"/>
    <w:rsid w:val="7CBD674D"/>
    <w:rsid w:val="7CBE24B4"/>
    <w:rsid w:val="7CBE5D37"/>
    <w:rsid w:val="7CBF7F35"/>
    <w:rsid w:val="7CC11C19"/>
    <w:rsid w:val="7CC13438"/>
    <w:rsid w:val="7CC16CBC"/>
    <w:rsid w:val="7CC174F7"/>
    <w:rsid w:val="7CC20EBA"/>
    <w:rsid w:val="7CC2473D"/>
    <w:rsid w:val="7CC3693C"/>
    <w:rsid w:val="7CC443BD"/>
    <w:rsid w:val="7CC47C40"/>
    <w:rsid w:val="7CC548D0"/>
    <w:rsid w:val="7CC556C2"/>
    <w:rsid w:val="7CC63144"/>
    <w:rsid w:val="7CC6544B"/>
    <w:rsid w:val="7CC70BC5"/>
    <w:rsid w:val="7CC75342"/>
    <w:rsid w:val="7CC75E49"/>
    <w:rsid w:val="7CC7600D"/>
    <w:rsid w:val="7CC80845"/>
    <w:rsid w:val="7CC84A54"/>
    <w:rsid w:val="7CC86647"/>
    <w:rsid w:val="7CCA0125"/>
    <w:rsid w:val="7CCA3D48"/>
    <w:rsid w:val="7CCA7F60"/>
    <w:rsid w:val="7CCB17CA"/>
    <w:rsid w:val="7CCC169D"/>
    <w:rsid w:val="7CCC504D"/>
    <w:rsid w:val="7CCE0550"/>
    <w:rsid w:val="7CCE274E"/>
    <w:rsid w:val="7CCF01D0"/>
    <w:rsid w:val="7CCF3A53"/>
    <w:rsid w:val="7CD04806"/>
    <w:rsid w:val="7CD158CD"/>
    <w:rsid w:val="7CD16F56"/>
    <w:rsid w:val="7CD21154"/>
    <w:rsid w:val="7CD32459"/>
    <w:rsid w:val="7CD36BD6"/>
    <w:rsid w:val="7CD44657"/>
    <w:rsid w:val="7CD47EDB"/>
    <w:rsid w:val="7CD5595C"/>
    <w:rsid w:val="7CD60D99"/>
    <w:rsid w:val="7CD6759C"/>
    <w:rsid w:val="7CD868E1"/>
    <w:rsid w:val="7CD92EB0"/>
    <w:rsid w:val="7CD93074"/>
    <w:rsid w:val="7CD94362"/>
    <w:rsid w:val="7CDA1DE4"/>
    <w:rsid w:val="7CDB45ED"/>
    <w:rsid w:val="7CDC50CF"/>
    <w:rsid w:val="7CDE70DF"/>
    <w:rsid w:val="7CDF626C"/>
    <w:rsid w:val="7CDF7C7E"/>
    <w:rsid w:val="7CE03CED"/>
    <w:rsid w:val="7CE1176F"/>
    <w:rsid w:val="7CE15A92"/>
    <w:rsid w:val="7CE21BD1"/>
    <w:rsid w:val="7CE271F0"/>
    <w:rsid w:val="7CE32934"/>
    <w:rsid w:val="7CE331FC"/>
    <w:rsid w:val="7CE3371D"/>
    <w:rsid w:val="7CE338D3"/>
    <w:rsid w:val="7CE4330E"/>
    <w:rsid w:val="7CE710FA"/>
    <w:rsid w:val="7CE73E14"/>
    <w:rsid w:val="7CE86B7B"/>
    <w:rsid w:val="7CE945FD"/>
    <w:rsid w:val="7CEA00DC"/>
    <w:rsid w:val="7CEB39AF"/>
    <w:rsid w:val="7CED3003"/>
    <w:rsid w:val="7CEE0A85"/>
    <w:rsid w:val="7CEE2BCE"/>
    <w:rsid w:val="7CEF35A8"/>
    <w:rsid w:val="7CEF376C"/>
    <w:rsid w:val="7CF1528D"/>
    <w:rsid w:val="7CF230ED"/>
    <w:rsid w:val="7CF2566E"/>
    <w:rsid w:val="7CF30790"/>
    <w:rsid w:val="7CF34556"/>
    <w:rsid w:val="7CF34F0C"/>
    <w:rsid w:val="7CF4298E"/>
    <w:rsid w:val="7CF53C93"/>
    <w:rsid w:val="7CF61714"/>
    <w:rsid w:val="7CF71AB3"/>
    <w:rsid w:val="7CF77196"/>
    <w:rsid w:val="7CF81394"/>
    <w:rsid w:val="7CF820C9"/>
    <w:rsid w:val="7CF84C17"/>
    <w:rsid w:val="7CF92699"/>
    <w:rsid w:val="7CF96E16"/>
    <w:rsid w:val="7CFA011A"/>
    <w:rsid w:val="7CFC361E"/>
    <w:rsid w:val="7CFC7D9A"/>
    <w:rsid w:val="7CFD109F"/>
    <w:rsid w:val="7CFD581C"/>
    <w:rsid w:val="7CFE329D"/>
    <w:rsid w:val="7CFF45A2"/>
    <w:rsid w:val="7D0001B6"/>
    <w:rsid w:val="7D002024"/>
    <w:rsid w:val="7D0067A0"/>
    <w:rsid w:val="7D007C96"/>
    <w:rsid w:val="7D007E4B"/>
    <w:rsid w:val="7D011CA4"/>
    <w:rsid w:val="7D0239FF"/>
    <w:rsid w:val="7D025527"/>
    <w:rsid w:val="7D031D4D"/>
    <w:rsid w:val="7D032FA8"/>
    <w:rsid w:val="7D0351A7"/>
    <w:rsid w:val="7D040A2A"/>
    <w:rsid w:val="7D0506AA"/>
    <w:rsid w:val="7D0564AB"/>
    <w:rsid w:val="7D064A03"/>
    <w:rsid w:val="7D0753DD"/>
    <w:rsid w:val="7D0755A2"/>
    <w:rsid w:val="7D087430"/>
    <w:rsid w:val="7D0A4B32"/>
    <w:rsid w:val="7D0B0093"/>
    <w:rsid w:val="7D0B25B3"/>
    <w:rsid w:val="7D0C0035"/>
    <w:rsid w:val="7D0C0A6E"/>
    <w:rsid w:val="7D0C38B8"/>
    <w:rsid w:val="7D0D2C18"/>
    <w:rsid w:val="7D0E3538"/>
    <w:rsid w:val="7D0E6DBB"/>
    <w:rsid w:val="7D0F0FB9"/>
    <w:rsid w:val="7D0F2B85"/>
    <w:rsid w:val="7D0F483D"/>
    <w:rsid w:val="7D10135B"/>
    <w:rsid w:val="7D1022BE"/>
    <w:rsid w:val="7D104E4C"/>
    <w:rsid w:val="7D11008D"/>
    <w:rsid w:val="7D1103F8"/>
    <w:rsid w:val="7D1140FE"/>
    <w:rsid w:val="7D124C9D"/>
    <w:rsid w:val="7D133243"/>
    <w:rsid w:val="7D1363DA"/>
    <w:rsid w:val="7D1379BF"/>
    <w:rsid w:val="7D152EC3"/>
    <w:rsid w:val="7D16032D"/>
    <w:rsid w:val="7D1641C7"/>
    <w:rsid w:val="7D171C49"/>
    <w:rsid w:val="7D1763C6"/>
    <w:rsid w:val="7D183E47"/>
    <w:rsid w:val="7D192609"/>
    <w:rsid w:val="7D19514C"/>
    <w:rsid w:val="7D1A4DCC"/>
    <w:rsid w:val="7D1B284D"/>
    <w:rsid w:val="7D1C60D1"/>
    <w:rsid w:val="7D1D5D51"/>
    <w:rsid w:val="7D1E37D2"/>
    <w:rsid w:val="7D1F1254"/>
    <w:rsid w:val="7D1F2F41"/>
    <w:rsid w:val="7D202558"/>
    <w:rsid w:val="7D204AD7"/>
    <w:rsid w:val="7D207DB1"/>
    <w:rsid w:val="7D217FDA"/>
    <w:rsid w:val="7D225A5C"/>
    <w:rsid w:val="7D231EC9"/>
    <w:rsid w:val="7D2334DD"/>
    <w:rsid w:val="7D237C5A"/>
    <w:rsid w:val="7D25315D"/>
    <w:rsid w:val="7D25327D"/>
    <w:rsid w:val="7D2569E0"/>
    <w:rsid w:val="7D271EE3"/>
    <w:rsid w:val="7D277A24"/>
    <w:rsid w:val="7D285559"/>
    <w:rsid w:val="7D291B63"/>
    <w:rsid w:val="7D2A2E68"/>
    <w:rsid w:val="7D2A458C"/>
    <w:rsid w:val="7D2A6AD2"/>
    <w:rsid w:val="7D2A75E5"/>
    <w:rsid w:val="7D2B5066"/>
    <w:rsid w:val="7D2B74AC"/>
    <w:rsid w:val="7D2D0569"/>
    <w:rsid w:val="7D2D0BE9"/>
    <w:rsid w:val="7D2D161B"/>
    <w:rsid w:val="7D2E15C4"/>
    <w:rsid w:val="7D2F3A6C"/>
    <w:rsid w:val="7D2F69CB"/>
    <w:rsid w:val="7D2F72F0"/>
    <w:rsid w:val="7D3149F1"/>
    <w:rsid w:val="7D320274"/>
    <w:rsid w:val="7D335CF6"/>
    <w:rsid w:val="7D337EF4"/>
    <w:rsid w:val="7D343777"/>
    <w:rsid w:val="7D346391"/>
    <w:rsid w:val="7D360E79"/>
    <w:rsid w:val="7D366C7B"/>
    <w:rsid w:val="7D3702E5"/>
    <w:rsid w:val="7D376065"/>
    <w:rsid w:val="7D3768FA"/>
    <w:rsid w:val="7D38498B"/>
    <w:rsid w:val="7D387BFF"/>
    <w:rsid w:val="7D3917C9"/>
    <w:rsid w:val="7D391DFD"/>
    <w:rsid w:val="7D395681"/>
    <w:rsid w:val="7D3A23FC"/>
    <w:rsid w:val="7D3B05D1"/>
    <w:rsid w:val="7D3B0B84"/>
    <w:rsid w:val="7D3B3B39"/>
    <w:rsid w:val="7D3C3975"/>
    <w:rsid w:val="7D3C4514"/>
    <w:rsid w:val="7D3C6605"/>
    <w:rsid w:val="7D3C7B90"/>
    <w:rsid w:val="7D3D4087"/>
    <w:rsid w:val="7D3D7974"/>
    <w:rsid w:val="7D3E1B08"/>
    <w:rsid w:val="7D3E4206"/>
    <w:rsid w:val="7D40198C"/>
    <w:rsid w:val="7D40500C"/>
    <w:rsid w:val="7D4071CA"/>
    <w:rsid w:val="7D412A8D"/>
    <w:rsid w:val="7D42050F"/>
    <w:rsid w:val="7D4312E1"/>
    <w:rsid w:val="7D435F90"/>
    <w:rsid w:val="7D443A12"/>
    <w:rsid w:val="7D4472CE"/>
    <w:rsid w:val="7D45285A"/>
    <w:rsid w:val="7D463234"/>
    <w:rsid w:val="7D466F15"/>
    <w:rsid w:val="7D473F98"/>
    <w:rsid w:val="7D482418"/>
    <w:rsid w:val="7D493119"/>
    <w:rsid w:val="7D49534C"/>
    <w:rsid w:val="7D4A288D"/>
    <w:rsid w:val="7D4A2BF9"/>
    <w:rsid w:val="7D4A591B"/>
    <w:rsid w:val="7D4C0002"/>
    <w:rsid w:val="7D4C0E1E"/>
    <w:rsid w:val="7D4C4BA9"/>
    <w:rsid w:val="7D4E1A42"/>
    <w:rsid w:val="7D512D27"/>
    <w:rsid w:val="7D513693"/>
    <w:rsid w:val="7D5207A9"/>
    <w:rsid w:val="7D524231"/>
    <w:rsid w:val="7D541AAE"/>
    <w:rsid w:val="7D543CAC"/>
    <w:rsid w:val="7D5457AA"/>
    <w:rsid w:val="7D55172E"/>
    <w:rsid w:val="7D55752F"/>
    <w:rsid w:val="7D564FB1"/>
    <w:rsid w:val="7D567A86"/>
    <w:rsid w:val="7D570460"/>
    <w:rsid w:val="7D58029C"/>
    <w:rsid w:val="7D580E3B"/>
    <w:rsid w:val="7D585F36"/>
    <w:rsid w:val="7D590134"/>
    <w:rsid w:val="7D593BE7"/>
    <w:rsid w:val="7D5A5BB5"/>
    <w:rsid w:val="7D5C3AF1"/>
    <w:rsid w:val="7D5D6B3A"/>
    <w:rsid w:val="7D5E40CD"/>
    <w:rsid w:val="7D5E506A"/>
    <w:rsid w:val="7D5E7E3F"/>
    <w:rsid w:val="7D5F203D"/>
    <w:rsid w:val="7D603342"/>
    <w:rsid w:val="7D615540"/>
    <w:rsid w:val="7D617181"/>
    <w:rsid w:val="7D617346"/>
    <w:rsid w:val="7D626845"/>
    <w:rsid w:val="7D627D20"/>
    <w:rsid w:val="7D630A43"/>
    <w:rsid w:val="7D641299"/>
    <w:rsid w:val="7D650960"/>
    <w:rsid w:val="7D653F46"/>
    <w:rsid w:val="7D6577CA"/>
    <w:rsid w:val="7D66524B"/>
    <w:rsid w:val="7D6679FD"/>
    <w:rsid w:val="7D672CCD"/>
    <w:rsid w:val="7D676FBC"/>
    <w:rsid w:val="7D67744A"/>
    <w:rsid w:val="7D6903CE"/>
    <w:rsid w:val="7D69294D"/>
    <w:rsid w:val="7D6961D0"/>
    <w:rsid w:val="7D6A3C51"/>
    <w:rsid w:val="7D6A5E50"/>
    <w:rsid w:val="7D6A5EA2"/>
    <w:rsid w:val="7D6B16D3"/>
    <w:rsid w:val="7D6C7155"/>
    <w:rsid w:val="7D6D6DD4"/>
    <w:rsid w:val="7D6D7FBA"/>
    <w:rsid w:val="7D6E4856"/>
    <w:rsid w:val="7D6F22D8"/>
    <w:rsid w:val="7D705B5B"/>
    <w:rsid w:val="7D71105E"/>
    <w:rsid w:val="7D7157DB"/>
    <w:rsid w:val="7D72325C"/>
    <w:rsid w:val="7D726ADF"/>
    <w:rsid w:val="7D730CDE"/>
    <w:rsid w:val="7D734561"/>
    <w:rsid w:val="7D741FE3"/>
    <w:rsid w:val="7D7521DA"/>
    <w:rsid w:val="7D7541E1"/>
    <w:rsid w:val="7D756300"/>
    <w:rsid w:val="7D757A64"/>
    <w:rsid w:val="7D761C62"/>
    <w:rsid w:val="7D7654E6"/>
    <w:rsid w:val="7D772F67"/>
    <w:rsid w:val="7D785165"/>
    <w:rsid w:val="7D792BE7"/>
    <w:rsid w:val="7D7A0669"/>
    <w:rsid w:val="7D7A1991"/>
    <w:rsid w:val="7D7A3EEC"/>
    <w:rsid w:val="7D7B60EA"/>
    <w:rsid w:val="7D7C30CE"/>
    <w:rsid w:val="7D7D15ED"/>
    <w:rsid w:val="7D7D4E70"/>
    <w:rsid w:val="7D7E706F"/>
    <w:rsid w:val="7D7F0374"/>
    <w:rsid w:val="7D7F5D84"/>
    <w:rsid w:val="7D802572"/>
    <w:rsid w:val="7D80675E"/>
    <w:rsid w:val="7D813877"/>
    <w:rsid w:val="7D817FF3"/>
    <w:rsid w:val="7D8234F7"/>
    <w:rsid w:val="7D8255AF"/>
    <w:rsid w:val="7D830F78"/>
    <w:rsid w:val="7D843C0B"/>
    <w:rsid w:val="7D8469FA"/>
    <w:rsid w:val="7D861EFD"/>
    <w:rsid w:val="7D87797E"/>
    <w:rsid w:val="7D8800D5"/>
    <w:rsid w:val="7D883202"/>
    <w:rsid w:val="7D890C83"/>
    <w:rsid w:val="7D892E81"/>
    <w:rsid w:val="7D8948E1"/>
    <w:rsid w:val="7D8A0903"/>
    <w:rsid w:val="7D8A4186"/>
    <w:rsid w:val="7D8B1C08"/>
    <w:rsid w:val="7D8B601E"/>
    <w:rsid w:val="7D8D1888"/>
    <w:rsid w:val="7D8D510B"/>
    <w:rsid w:val="7D8E0CD4"/>
    <w:rsid w:val="7D8E2B8C"/>
    <w:rsid w:val="7D8E7F71"/>
    <w:rsid w:val="7D90280C"/>
    <w:rsid w:val="7D90608F"/>
    <w:rsid w:val="7D91028E"/>
    <w:rsid w:val="7D912DEC"/>
    <w:rsid w:val="7D913B11"/>
    <w:rsid w:val="7D9176B5"/>
    <w:rsid w:val="7D921593"/>
    <w:rsid w:val="7D925D0F"/>
    <w:rsid w:val="7D933791"/>
    <w:rsid w:val="7D937014"/>
    <w:rsid w:val="7D944A96"/>
    <w:rsid w:val="7D944D3F"/>
    <w:rsid w:val="7D952517"/>
    <w:rsid w:val="7D956C94"/>
    <w:rsid w:val="7D964715"/>
    <w:rsid w:val="7D967F99"/>
    <w:rsid w:val="7D975A1A"/>
    <w:rsid w:val="7D987C19"/>
    <w:rsid w:val="7D990F1D"/>
    <w:rsid w:val="7D996C29"/>
    <w:rsid w:val="7D9B26AB"/>
    <w:rsid w:val="7D9C1EA2"/>
    <w:rsid w:val="7D9C24E7"/>
    <w:rsid w:val="7D9C3085"/>
    <w:rsid w:val="7D9C40A0"/>
    <w:rsid w:val="7D9D1B22"/>
    <w:rsid w:val="7D9D7924"/>
    <w:rsid w:val="7D9E518D"/>
    <w:rsid w:val="7D9E53A5"/>
    <w:rsid w:val="7D9F2048"/>
    <w:rsid w:val="7D9F2E27"/>
    <w:rsid w:val="7D9F5025"/>
    <w:rsid w:val="7DA008A8"/>
    <w:rsid w:val="7DA0129B"/>
    <w:rsid w:val="7DA01B27"/>
    <w:rsid w:val="7DA05D3C"/>
    <w:rsid w:val="7DA13DAB"/>
    <w:rsid w:val="7DA16716"/>
    <w:rsid w:val="7DA273D6"/>
    <w:rsid w:val="7DA37C8F"/>
    <w:rsid w:val="7DA44D30"/>
    <w:rsid w:val="7DA527B2"/>
    <w:rsid w:val="7DA75CB5"/>
    <w:rsid w:val="7DA93EBE"/>
    <w:rsid w:val="7DA95D47"/>
    <w:rsid w:val="7DAA55FB"/>
    <w:rsid w:val="7DAA6C39"/>
    <w:rsid w:val="7DAB46BB"/>
    <w:rsid w:val="7DAB5FD5"/>
    <w:rsid w:val="7DAC69B0"/>
    <w:rsid w:val="7DAD7BBE"/>
    <w:rsid w:val="7DAE4304"/>
    <w:rsid w:val="7DAE5640"/>
    <w:rsid w:val="7DAF0AC7"/>
    <w:rsid w:val="7DB025F5"/>
    <w:rsid w:val="7DB165C4"/>
    <w:rsid w:val="7DB22BDF"/>
    <w:rsid w:val="7DB31AC7"/>
    <w:rsid w:val="7DB47549"/>
    <w:rsid w:val="7DB54FCA"/>
    <w:rsid w:val="7DB62A4C"/>
    <w:rsid w:val="7DB704CD"/>
    <w:rsid w:val="7DB76FD2"/>
    <w:rsid w:val="7DB85F4F"/>
    <w:rsid w:val="7DBA4CD5"/>
    <w:rsid w:val="7DBB1AC4"/>
    <w:rsid w:val="7DBB2757"/>
    <w:rsid w:val="7DBC01D8"/>
    <w:rsid w:val="7DBD5C5A"/>
    <w:rsid w:val="7DBD65C0"/>
    <w:rsid w:val="7DBD7E58"/>
    <w:rsid w:val="7DBE36DC"/>
    <w:rsid w:val="7DBE3BDC"/>
    <w:rsid w:val="7DBE4C1D"/>
    <w:rsid w:val="7DBE52F3"/>
    <w:rsid w:val="7DBF115D"/>
    <w:rsid w:val="7DBF3E70"/>
    <w:rsid w:val="7DC14660"/>
    <w:rsid w:val="7DC355E5"/>
    <w:rsid w:val="7DC3726C"/>
    <w:rsid w:val="7DC55265"/>
    <w:rsid w:val="7DC62CE6"/>
    <w:rsid w:val="7DC728FC"/>
    <w:rsid w:val="7DC832D7"/>
    <w:rsid w:val="7DC861E9"/>
    <w:rsid w:val="7DC93C6B"/>
    <w:rsid w:val="7DC974EE"/>
    <w:rsid w:val="7DCA16EC"/>
    <w:rsid w:val="7DCB53EE"/>
    <w:rsid w:val="7DCB55B3"/>
    <w:rsid w:val="7DCB716E"/>
    <w:rsid w:val="7DCD2671"/>
    <w:rsid w:val="7DCD56F2"/>
    <w:rsid w:val="7DCD5EF4"/>
    <w:rsid w:val="7DCE00F3"/>
    <w:rsid w:val="7DCE3976"/>
    <w:rsid w:val="7DCF00A4"/>
    <w:rsid w:val="7DCF13F7"/>
    <w:rsid w:val="7DCF5B74"/>
    <w:rsid w:val="7DD04185"/>
    <w:rsid w:val="7DD148FB"/>
    <w:rsid w:val="7DD221BC"/>
    <w:rsid w:val="7DD47A7D"/>
    <w:rsid w:val="7DD554FF"/>
    <w:rsid w:val="7DD62F81"/>
    <w:rsid w:val="7DD65A11"/>
    <w:rsid w:val="7DD70A02"/>
    <w:rsid w:val="7DD84285"/>
    <w:rsid w:val="7DD86DC5"/>
    <w:rsid w:val="7DD92198"/>
    <w:rsid w:val="7DD97789"/>
    <w:rsid w:val="7DDA33C5"/>
    <w:rsid w:val="7DDA520A"/>
    <w:rsid w:val="7DDB7408"/>
    <w:rsid w:val="7DDC1A7B"/>
    <w:rsid w:val="7DDC4E8A"/>
    <w:rsid w:val="7DDD290B"/>
    <w:rsid w:val="7DDD618F"/>
    <w:rsid w:val="7DDE038D"/>
    <w:rsid w:val="7DDE3C10"/>
    <w:rsid w:val="7DDF1692"/>
    <w:rsid w:val="7DDF5E0F"/>
    <w:rsid w:val="7DE07113"/>
    <w:rsid w:val="7DE14B95"/>
    <w:rsid w:val="7DE26685"/>
    <w:rsid w:val="7DE26D93"/>
    <w:rsid w:val="7DE34815"/>
    <w:rsid w:val="7DE45B1A"/>
    <w:rsid w:val="7DE50961"/>
    <w:rsid w:val="7DE57D18"/>
    <w:rsid w:val="7DE6101D"/>
    <w:rsid w:val="7DE62736"/>
    <w:rsid w:val="7DE65799"/>
    <w:rsid w:val="7DE71D15"/>
    <w:rsid w:val="7DE7321B"/>
    <w:rsid w:val="7DE76A9E"/>
    <w:rsid w:val="7DE84520"/>
    <w:rsid w:val="7DE93DD1"/>
    <w:rsid w:val="7DE94C40"/>
    <w:rsid w:val="7DE95376"/>
    <w:rsid w:val="7DE9671E"/>
    <w:rsid w:val="7DEA1C21"/>
    <w:rsid w:val="7DEA37BD"/>
    <w:rsid w:val="7DEA3CDD"/>
    <w:rsid w:val="7DEA3E2D"/>
    <w:rsid w:val="7DEA3E93"/>
    <w:rsid w:val="7DEA3FF1"/>
    <w:rsid w:val="7DEA7A23"/>
    <w:rsid w:val="7DEC2F26"/>
    <w:rsid w:val="7DED2BA6"/>
    <w:rsid w:val="7DEE6429"/>
    <w:rsid w:val="7DEF005C"/>
    <w:rsid w:val="7DEF0220"/>
    <w:rsid w:val="7DF0192C"/>
    <w:rsid w:val="7DF03B2A"/>
    <w:rsid w:val="7DF115AC"/>
    <w:rsid w:val="7DF228B1"/>
    <w:rsid w:val="7DF24E2F"/>
    <w:rsid w:val="7DF2702E"/>
    <w:rsid w:val="7DF30332"/>
    <w:rsid w:val="7DF32D12"/>
    <w:rsid w:val="7DF42531"/>
    <w:rsid w:val="7DF438B1"/>
    <w:rsid w:val="7DF5444F"/>
    <w:rsid w:val="7DF57FB2"/>
    <w:rsid w:val="7DF64C65"/>
    <w:rsid w:val="7DF734B5"/>
    <w:rsid w:val="7DF76D39"/>
    <w:rsid w:val="7DF847BA"/>
    <w:rsid w:val="7DF863A2"/>
    <w:rsid w:val="7DF9223C"/>
    <w:rsid w:val="7DF969B8"/>
    <w:rsid w:val="7DFA7CBD"/>
    <w:rsid w:val="7DFB1059"/>
    <w:rsid w:val="7DFB573F"/>
    <w:rsid w:val="7DFC793D"/>
    <w:rsid w:val="7DFD0C42"/>
    <w:rsid w:val="7DFD53BF"/>
    <w:rsid w:val="7DFF08C2"/>
    <w:rsid w:val="7E001BC6"/>
    <w:rsid w:val="7E013DC5"/>
    <w:rsid w:val="7E0250CA"/>
    <w:rsid w:val="7E032B4B"/>
    <w:rsid w:val="7E03663C"/>
    <w:rsid w:val="7E0405CD"/>
    <w:rsid w:val="7E04598F"/>
    <w:rsid w:val="7E0471DB"/>
    <w:rsid w:val="7E05024D"/>
    <w:rsid w:val="7E05604E"/>
    <w:rsid w:val="7E061524"/>
    <w:rsid w:val="7E063AD0"/>
    <w:rsid w:val="7E070C98"/>
    <w:rsid w:val="7E0714B7"/>
    <w:rsid w:val="7E086FD3"/>
    <w:rsid w:val="7E0A24D6"/>
    <w:rsid w:val="7E0B4983"/>
    <w:rsid w:val="7E0C345B"/>
    <w:rsid w:val="7E0D0EDC"/>
    <w:rsid w:val="7E0E695E"/>
    <w:rsid w:val="7E0F43DF"/>
    <w:rsid w:val="7E101E61"/>
    <w:rsid w:val="7E110BB2"/>
    <w:rsid w:val="7E1178E2"/>
    <w:rsid w:val="7E125364"/>
    <w:rsid w:val="7E13212B"/>
    <w:rsid w:val="7E162512"/>
    <w:rsid w:val="7E1717EC"/>
    <w:rsid w:val="7E182C27"/>
    <w:rsid w:val="7E18635A"/>
    <w:rsid w:val="7E196EF9"/>
    <w:rsid w:val="7E1A2770"/>
    <w:rsid w:val="7E1B01F2"/>
    <w:rsid w:val="7E1C5C73"/>
    <w:rsid w:val="7E1C7D03"/>
    <w:rsid w:val="7E1D36F5"/>
    <w:rsid w:val="7E1E1177"/>
    <w:rsid w:val="7E203B02"/>
    <w:rsid w:val="7E2120FB"/>
    <w:rsid w:val="7E2146A1"/>
    <w:rsid w:val="7E223400"/>
    <w:rsid w:val="7E2255FE"/>
    <w:rsid w:val="7E227B7D"/>
    <w:rsid w:val="7E240B01"/>
    <w:rsid w:val="7E246903"/>
    <w:rsid w:val="7E2547CF"/>
    <w:rsid w:val="7E256583"/>
    <w:rsid w:val="7E257192"/>
    <w:rsid w:val="7E27146E"/>
    <w:rsid w:val="7E285309"/>
    <w:rsid w:val="7E292823"/>
    <w:rsid w:val="7E294F89"/>
    <w:rsid w:val="7E2A080C"/>
    <w:rsid w:val="7E2A2A0B"/>
    <w:rsid w:val="7E2A628E"/>
    <w:rsid w:val="7E2B048C"/>
    <w:rsid w:val="7E2C493A"/>
    <w:rsid w:val="7E2D54D9"/>
    <w:rsid w:val="7E2E1411"/>
    <w:rsid w:val="7E2E2931"/>
    <w:rsid w:val="7E2E4C94"/>
    <w:rsid w:val="7E2F2716"/>
    <w:rsid w:val="7E300197"/>
    <w:rsid w:val="7E304914"/>
    <w:rsid w:val="7E3077B5"/>
    <w:rsid w:val="7E311391"/>
    <w:rsid w:val="7E312396"/>
    <w:rsid w:val="7E33111C"/>
    <w:rsid w:val="7E331708"/>
    <w:rsid w:val="7E3322A7"/>
    <w:rsid w:val="7E335899"/>
    <w:rsid w:val="7E337317"/>
    <w:rsid w:val="7E3374CC"/>
    <w:rsid w:val="7E342C81"/>
    <w:rsid w:val="7E34331A"/>
    <w:rsid w:val="7E350D9C"/>
    <w:rsid w:val="7E3620A1"/>
    <w:rsid w:val="7E3643BE"/>
    <w:rsid w:val="7E36681D"/>
    <w:rsid w:val="7E37429F"/>
    <w:rsid w:val="7E374F5D"/>
    <w:rsid w:val="7E377B22"/>
    <w:rsid w:val="7E3855A4"/>
    <w:rsid w:val="7E393025"/>
    <w:rsid w:val="7E396311"/>
    <w:rsid w:val="7E3977A2"/>
    <w:rsid w:val="7E3A0AA7"/>
    <w:rsid w:val="7E3A2CA5"/>
    <w:rsid w:val="7E3B6528"/>
    <w:rsid w:val="7E3C3FAA"/>
    <w:rsid w:val="7E3C61A8"/>
    <w:rsid w:val="7E3D3C2A"/>
    <w:rsid w:val="7E3E1B66"/>
    <w:rsid w:val="7E3E74AD"/>
    <w:rsid w:val="7E3F2540"/>
    <w:rsid w:val="7E3F2705"/>
    <w:rsid w:val="7E3F4F2E"/>
    <w:rsid w:val="7E402A56"/>
    <w:rsid w:val="7E404BAE"/>
    <w:rsid w:val="7E410432"/>
    <w:rsid w:val="7E412630"/>
    <w:rsid w:val="7E4200B1"/>
    <w:rsid w:val="7E4210B2"/>
    <w:rsid w:val="7E4313B6"/>
    <w:rsid w:val="7E44676F"/>
    <w:rsid w:val="7E446E38"/>
    <w:rsid w:val="7E45730E"/>
    <w:rsid w:val="7E467CE8"/>
    <w:rsid w:val="7E474539"/>
    <w:rsid w:val="7E477DBC"/>
    <w:rsid w:val="7E481426"/>
    <w:rsid w:val="7E481FBB"/>
    <w:rsid w:val="7E48583E"/>
    <w:rsid w:val="7E4C3F17"/>
    <w:rsid w:val="7E4C4244"/>
    <w:rsid w:val="7E4E5655"/>
    <w:rsid w:val="7E4E602F"/>
    <w:rsid w:val="7E4E7747"/>
    <w:rsid w:val="7E4F463C"/>
    <w:rsid w:val="7E5051BF"/>
    <w:rsid w:val="7E5073C7"/>
    <w:rsid w:val="7E5106CC"/>
    <w:rsid w:val="7E52614D"/>
    <w:rsid w:val="7E533BCF"/>
    <w:rsid w:val="7E541651"/>
    <w:rsid w:val="7E54384F"/>
    <w:rsid w:val="7E5570D2"/>
    <w:rsid w:val="7E5637D7"/>
    <w:rsid w:val="7E564B54"/>
    <w:rsid w:val="7E566D52"/>
    <w:rsid w:val="7E5725D5"/>
    <w:rsid w:val="7E5747D4"/>
    <w:rsid w:val="7E595AD8"/>
    <w:rsid w:val="7E5A0FDB"/>
    <w:rsid w:val="7E5A5758"/>
    <w:rsid w:val="7E5C44DF"/>
    <w:rsid w:val="7E5D00E7"/>
    <w:rsid w:val="7E5D1143"/>
    <w:rsid w:val="7E5D1F60"/>
    <w:rsid w:val="7E5D66DD"/>
    <w:rsid w:val="7E5D7F31"/>
    <w:rsid w:val="7E5F1BE0"/>
    <w:rsid w:val="7E60325B"/>
    <w:rsid w:val="7E610966"/>
    <w:rsid w:val="7E6150E3"/>
    <w:rsid w:val="7E6247D4"/>
    <w:rsid w:val="7E6255FC"/>
    <w:rsid w:val="7E6305E6"/>
    <w:rsid w:val="7E633E69"/>
    <w:rsid w:val="7E6351AE"/>
    <w:rsid w:val="7E646068"/>
    <w:rsid w:val="7E65736C"/>
    <w:rsid w:val="7E664DEE"/>
    <w:rsid w:val="7E676FEC"/>
    <w:rsid w:val="7E677CA0"/>
    <w:rsid w:val="7E684A6E"/>
    <w:rsid w:val="7E695D73"/>
    <w:rsid w:val="7E6A2B1A"/>
    <w:rsid w:val="7E6A37F4"/>
    <w:rsid w:val="7E6B47E6"/>
    <w:rsid w:val="7E6B59F3"/>
    <w:rsid w:val="7E6C15F6"/>
    <w:rsid w:val="7E6C1962"/>
    <w:rsid w:val="7E6C1E82"/>
    <w:rsid w:val="7E6C6CF7"/>
    <w:rsid w:val="7E6E38C7"/>
    <w:rsid w:val="7E6E560C"/>
    <w:rsid w:val="7E6F5FE6"/>
    <w:rsid w:val="7E6F61AB"/>
    <w:rsid w:val="7E6F7C7C"/>
    <w:rsid w:val="7E7056FE"/>
    <w:rsid w:val="7E706B85"/>
    <w:rsid w:val="7E71317F"/>
    <w:rsid w:val="7E717724"/>
    <w:rsid w:val="7E7202C2"/>
    <w:rsid w:val="7E720C01"/>
    <w:rsid w:val="7E730C9D"/>
    <w:rsid w:val="7E734104"/>
    <w:rsid w:val="7E736682"/>
    <w:rsid w:val="7E741677"/>
    <w:rsid w:val="7E741B85"/>
    <w:rsid w:val="7E757607"/>
    <w:rsid w:val="7E762DB4"/>
    <w:rsid w:val="7E78058B"/>
    <w:rsid w:val="7E795A6A"/>
    <w:rsid w:val="7E79600D"/>
    <w:rsid w:val="7E7A3A8F"/>
    <w:rsid w:val="7E7A4815"/>
    <w:rsid w:val="7E7B6FE3"/>
    <w:rsid w:val="7E7C2430"/>
    <w:rsid w:val="7E7C6F92"/>
    <w:rsid w:val="7E7C7B82"/>
    <w:rsid w:val="7E7D055C"/>
    <w:rsid w:val="7E7D4A13"/>
    <w:rsid w:val="7E7E10FB"/>
    <w:rsid w:val="7E802674"/>
    <w:rsid w:val="7E813419"/>
    <w:rsid w:val="7E820E9B"/>
    <w:rsid w:val="7E83691D"/>
    <w:rsid w:val="7E851E20"/>
    <w:rsid w:val="7E863124"/>
    <w:rsid w:val="7E8678A1"/>
    <w:rsid w:val="7E875323"/>
    <w:rsid w:val="7E8769F7"/>
    <w:rsid w:val="7E890826"/>
    <w:rsid w:val="7E8940A9"/>
    <w:rsid w:val="7E8A1D6F"/>
    <w:rsid w:val="7E8B17AA"/>
    <w:rsid w:val="7E8B3D29"/>
    <w:rsid w:val="7E8B4DC2"/>
    <w:rsid w:val="7E8B75AC"/>
    <w:rsid w:val="7E8C722C"/>
    <w:rsid w:val="7E8E4A25"/>
    <w:rsid w:val="7E8F5FB2"/>
    <w:rsid w:val="7E905C32"/>
    <w:rsid w:val="7E905F9E"/>
    <w:rsid w:val="7E9136B4"/>
    <w:rsid w:val="7E9271C8"/>
    <w:rsid w:val="7E930E19"/>
    <w:rsid w:val="7E94162E"/>
    <w:rsid w:val="7E944638"/>
    <w:rsid w:val="7E947EBC"/>
    <w:rsid w:val="7E9520BA"/>
    <w:rsid w:val="7E955D07"/>
    <w:rsid w:val="7E967B3C"/>
    <w:rsid w:val="7E970BD8"/>
    <w:rsid w:val="7E98034C"/>
    <w:rsid w:val="7E98303F"/>
    <w:rsid w:val="7E997755"/>
    <w:rsid w:val="7E9A6542"/>
    <w:rsid w:val="7E9C1A45"/>
    <w:rsid w:val="7E9C52C8"/>
    <w:rsid w:val="7E9D2D4A"/>
    <w:rsid w:val="7E9D74C6"/>
    <w:rsid w:val="7E9E07CB"/>
    <w:rsid w:val="7E9E4F48"/>
    <w:rsid w:val="7E9F10B2"/>
    <w:rsid w:val="7E9F624D"/>
    <w:rsid w:val="7EA0044B"/>
    <w:rsid w:val="7EA03CCE"/>
    <w:rsid w:val="7EA131CA"/>
    <w:rsid w:val="7EA15ECD"/>
    <w:rsid w:val="7EA2394E"/>
    <w:rsid w:val="7EA30504"/>
    <w:rsid w:val="7EA313D0"/>
    <w:rsid w:val="7EA34C53"/>
    <w:rsid w:val="7EA36E51"/>
    <w:rsid w:val="7EA452E1"/>
    <w:rsid w:val="7EA50156"/>
    <w:rsid w:val="7EA52323"/>
    <w:rsid w:val="7EA53F2D"/>
    <w:rsid w:val="7EA55CBC"/>
    <w:rsid w:val="7EA55E80"/>
    <w:rsid w:val="7EA63200"/>
    <w:rsid w:val="7EA71F32"/>
    <w:rsid w:val="7EA73659"/>
    <w:rsid w:val="7EA77234"/>
    <w:rsid w:val="7EA773F9"/>
    <w:rsid w:val="7EA87DD3"/>
    <w:rsid w:val="7EA907AD"/>
    <w:rsid w:val="7EA90972"/>
    <w:rsid w:val="7EA96B5C"/>
    <w:rsid w:val="7EAA2BA5"/>
    <w:rsid w:val="7EAA67DC"/>
    <w:rsid w:val="7EAB7AE1"/>
    <w:rsid w:val="7EAD2FE4"/>
    <w:rsid w:val="7EAD3464"/>
    <w:rsid w:val="7EAD3628"/>
    <w:rsid w:val="7EAE0A66"/>
    <w:rsid w:val="7EAE51E2"/>
    <w:rsid w:val="7EAF2C64"/>
    <w:rsid w:val="7EB119EA"/>
    <w:rsid w:val="7EB16167"/>
    <w:rsid w:val="7EB16AF4"/>
    <w:rsid w:val="7EB23BE8"/>
    <w:rsid w:val="7EB2746C"/>
    <w:rsid w:val="7EB27693"/>
    <w:rsid w:val="7EB3006D"/>
    <w:rsid w:val="7EB34EED"/>
    <w:rsid w:val="7EB40DD0"/>
    <w:rsid w:val="7EB4296F"/>
    <w:rsid w:val="7EB470EC"/>
    <w:rsid w:val="7EB503F0"/>
    <w:rsid w:val="7EB548C5"/>
    <w:rsid w:val="7EB54B6D"/>
    <w:rsid w:val="7EB54F9B"/>
    <w:rsid w:val="7EB55151"/>
    <w:rsid w:val="7EB625EF"/>
    <w:rsid w:val="7EB65E72"/>
    <w:rsid w:val="7EB93573"/>
    <w:rsid w:val="7EB9429C"/>
    <w:rsid w:val="7EB96DF7"/>
    <w:rsid w:val="7EBA0FF5"/>
    <w:rsid w:val="7EBA4878"/>
    <w:rsid w:val="7EBB22FA"/>
    <w:rsid w:val="7EBB6D07"/>
    <w:rsid w:val="7EBC1F79"/>
    <w:rsid w:val="7EBC6F52"/>
    <w:rsid w:val="7EBC7D7B"/>
    <w:rsid w:val="7EBD7AF1"/>
    <w:rsid w:val="7EBE04CB"/>
    <w:rsid w:val="7EBE547D"/>
    <w:rsid w:val="7EBF0D00"/>
    <w:rsid w:val="7EC00980"/>
    <w:rsid w:val="7EC06781"/>
    <w:rsid w:val="7EC14203"/>
    <w:rsid w:val="7EC16401"/>
    <w:rsid w:val="7EC21C85"/>
    <w:rsid w:val="7EC23E83"/>
    <w:rsid w:val="7EC37706"/>
    <w:rsid w:val="7EC37778"/>
    <w:rsid w:val="7EC37AE3"/>
    <w:rsid w:val="7EC448BF"/>
    <w:rsid w:val="7EC44CC7"/>
    <w:rsid w:val="7EC47386"/>
    <w:rsid w:val="7EC55299"/>
    <w:rsid w:val="7EC65E37"/>
    <w:rsid w:val="7EC6610C"/>
    <w:rsid w:val="7EC76812"/>
    <w:rsid w:val="7EC9380E"/>
    <w:rsid w:val="7EC97091"/>
    <w:rsid w:val="7ECA128F"/>
    <w:rsid w:val="7ECA14C8"/>
    <w:rsid w:val="7ECA4B12"/>
    <w:rsid w:val="7ECB2594"/>
    <w:rsid w:val="7ECC0016"/>
    <w:rsid w:val="7ECC4792"/>
    <w:rsid w:val="7ECD35DF"/>
    <w:rsid w:val="7ECD5A97"/>
    <w:rsid w:val="7ECE3FBA"/>
    <w:rsid w:val="7ECE4181"/>
    <w:rsid w:val="7ECF0F9A"/>
    <w:rsid w:val="7ECF4994"/>
    <w:rsid w:val="7ECF5717"/>
    <w:rsid w:val="7ED03198"/>
    <w:rsid w:val="7ED06A1C"/>
    <w:rsid w:val="7ED21F1F"/>
    <w:rsid w:val="7ED2669C"/>
    <w:rsid w:val="7ED26AAB"/>
    <w:rsid w:val="7ED3411D"/>
    <w:rsid w:val="7ED379A0"/>
    <w:rsid w:val="7ED72300"/>
    <w:rsid w:val="7ED763A7"/>
    <w:rsid w:val="7ED918AA"/>
    <w:rsid w:val="7ED94418"/>
    <w:rsid w:val="7EDA4FB6"/>
    <w:rsid w:val="7EDA732B"/>
    <w:rsid w:val="7EDB4DAD"/>
    <w:rsid w:val="7EDC02B0"/>
    <w:rsid w:val="7EDD5D31"/>
    <w:rsid w:val="7EDD6F0A"/>
    <w:rsid w:val="7EE06CB6"/>
    <w:rsid w:val="7EE14738"/>
    <w:rsid w:val="7EE37C3B"/>
    <w:rsid w:val="7EE43B13"/>
    <w:rsid w:val="7EE456BC"/>
    <w:rsid w:val="7EE5313E"/>
    <w:rsid w:val="7EE60BBF"/>
    <w:rsid w:val="7EE65DEF"/>
    <w:rsid w:val="7EE821C9"/>
    <w:rsid w:val="7EE840C2"/>
    <w:rsid w:val="7EE91B44"/>
    <w:rsid w:val="7EE97D42"/>
    <w:rsid w:val="7EEA75C6"/>
    <w:rsid w:val="7EEB5047"/>
    <w:rsid w:val="7EEC1E59"/>
    <w:rsid w:val="7EEC634C"/>
    <w:rsid w:val="7EED5CFF"/>
    <w:rsid w:val="7EEE184F"/>
    <w:rsid w:val="7EEE3597"/>
    <w:rsid w:val="7EEE5FCC"/>
    <w:rsid w:val="7EEE70C5"/>
    <w:rsid w:val="7EEF3A4D"/>
    <w:rsid w:val="7EF04B10"/>
    <w:rsid w:val="7EF04D52"/>
    <w:rsid w:val="7EF127D4"/>
    <w:rsid w:val="7EF154EA"/>
    <w:rsid w:val="7EF16F50"/>
    <w:rsid w:val="7EF20255"/>
    <w:rsid w:val="7EF26089"/>
    <w:rsid w:val="7EF32454"/>
    <w:rsid w:val="7EF35CD7"/>
    <w:rsid w:val="7EF40365"/>
    <w:rsid w:val="7EF45957"/>
    <w:rsid w:val="7EF50D3F"/>
    <w:rsid w:val="7EF511DA"/>
    <w:rsid w:val="7EF533D8"/>
    <w:rsid w:val="7EF618DD"/>
    <w:rsid w:val="7EF66C5B"/>
    <w:rsid w:val="7EF746DD"/>
    <w:rsid w:val="7EF768DB"/>
    <w:rsid w:val="7EF8215F"/>
    <w:rsid w:val="7EF8435D"/>
    <w:rsid w:val="7EF97BE0"/>
    <w:rsid w:val="7EFA43CF"/>
    <w:rsid w:val="7EFA5662"/>
    <w:rsid w:val="7EFA62F0"/>
    <w:rsid w:val="7EFB30E3"/>
    <w:rsid w:val="7EFB3DBC"/>
    <w:rsid w:val="7EFB4DA9"/>
    <w:rsid w:val="7EFB52E1"/>
    <w:rsid w:val="7EFC0B65"/>
    <w:rsid w:val="7EFC2D63"/>
    <w:rsid w:val="7EFD07E5"/>
    <w:rsid w:val="7EFD64E7"/>
    <w:rsid w:val="7EFF3CE8"/>
    <w:rsid w:val="7EFF756B"/>
    <w:rsid w:val="7EFF7A60"/>
    <w:rsid w:val="7EFF7C24"/>
    <w:rsid w:val="7F00043A"/>
    <w:rsid w:val="7F001769"/>
    <w:rsid w:val="7F001CE7"/>
    <w:rsid w:val="7F011B77"/>
    <w:rsid w:val="7F012A6E"/>
    <w:rsid w:val="7F0204F0"/>
    <w:rsid w:val="7F022716"/>
    <w:rsid w:val="7F024C6C"/>
    <w:rsid w:val="7F0326EE"/>
    <w:rsid w:val="7F0330F0"/>
    <w:rsid w:val="7F0332B5"/>
    <w:rsid w:val="7F0342B0"/>
    <w:rsid w:val="7F0439F3"/>
    <w:rsid w:val="7F043C8F"/>
    <w:rsid w:val="7F052D52"/>
    <w:rsid w:val="7F0540CF"/>
    <w:rsid w:val="7F055BF1"/>
    <w:rsid w:val="7F0823F9"/>
    <w:rsid w:val="7F08326E"/>
    <w:rsid w:val="7F086780"/>
    <w:rsid w:val="7F086B76"/>
    <w:rsid w:val="7F0B337E"/>
    <w:rsid w:val="7F0C0DFF"/>
    <w:rsid w:val="7F0C2A46"/>
    <w:rsid w:val="7F0C557C"/>
    <w:rsid w:val="7F0D0A7F"/>
    <w:rsid w:val="7F0D1E11"/>
    <w:rsid w:val="7F0D1FD5"/>
    <w:rsid w:val="7F0D2891"/>
    <w:rsid w:val="7F0E4302"/>
    <w:rsid w:val="7F0E6500"/>
    <w:rsid w:val="7F0F1D84"/>
    <w:rsid w:val="7F0F3F82"/>
    <w:rsid w:val="7F104C8C"/>
    <w:rsid w:val="7F115287"/>
    <w:rsid w:val="7F117485"/>
    <w:rsid w:val="7F122D08"/>
    <w:rsid w:val="7F136BDF"/>
    <w:rsid w:val="7F14040A"/>
    <w:rsid w:val="7F14620B"/>
    <w:rsid w:val="7F1475B9"/>
    <w:rsid w:val="7F14777D"/>
    <w:rsid w:val="7F16172A"/>
    <w:rsid w:val="7F16390D"/>
    <w:rsid w:val="7F17138E"/>
    <w:rsid w:val="7F1716D0"/>
    <w:rsid w:val="7F182434"/>
    <w:rsid w:val="7F186E10"/>
    <w:rsid w:val="7F190115"/>
    <w:rsid w:val="7F194892"/>
    <w:rsid w:val="7F1A2313"/>
    <w:rsid w:val="7F1A37E8"/>
    <w:rsid w:val="7F1A39AC"/>
    <w:rsid w:val="7F1A5B96"/>
    <w:rsid w:val="7F1A5FD0"/>
    <w:rsid w:val="7F1B454B"/>
    <w:rsid w:val="7F1B692A"/>
    <w:rsid w:val="7F1B7D95"/>
    <w:rsid w:val="7F1C3BEB"/>
    <w:rsid w:val="7F1C42C1"/>
    <w:rsid w:val="7F1C47E2"/>
    <w:rsid w:val="7F1D6663"/>
    <w:rsid w:val="7F1D6B1B"/>
    <w:rsid w:val="7F1E0D19"/>
    <w:rsid w:val="7F1E459D"/>
    <w:rsid w:val="7F1F201E"/>
    <w:rsid w:val="7F207AA0"/>
    <w:rsid w:val="7F215521"/>
    <w:rsid w:val="7F220135"/>
    <w:rsid w:val="7F22771F"/>
    <w:rsid w:val="7F2351A1"/>
    <w:rsid w:val="7F2406A4"/>
    <w:rsid w:val="7F2421C0"/>
    <w:rsid w:val="7F242C23"/>
    <w:rsid w:val="7F24326C"/>
    <w:rsid w:val="7F2464A6"/>
    <w:rsid w:val="7F247147"/>
    <w:rsid w:val="7F256126"/>
    <w:rsid w:val="7F271629"/>
    <w:rsid w:val="7F294B2C"/>
    <w:rsid w:val="7F2968FC"/>
    <w:rsid w:val="7F2A03AF"/>
    <w:rsid w:val="7F2A25AD"/>
    <w:rsid w:val="7F2B5E31"/>
    <w:rsid w:val="7F2C1334"/>
    <w:rsid w:val="7F2C13EE"/>
    <w:rsid w:val="7F2C38B2"/>
    <w:rsid w:val="7F2C5AB1"/>
    <w:rsid w:val="7F2E0FB4"/>
    <w:rsid w:val="7F2E4837"/>
    <w:rsid w:val="7F2F4F26"/>
    <w:rsid w:val="7F2F6A35"/>
    <w:rsid w:val="7F3040A4"/>
    <w:rsid w:val="7F3044B7"/>
    <w:rsid w:val="7F311F38"/>
    <w:rsid w:val="7F3157BC"/>
    <w:rsid w:val="7F33543B"/>
    <w:rsid w:val="7F346740"/>
    <w:rsid w:val="7F3541C2"/>
    <w:rsid w:val="7F3602D3"/>
    <w:rsid w:val="7F3663C0"/>
    <w:rsid w:val="7F3815E6"/>
    <w:rsid w:val="7F3823EB"/>
    <w:rsid w:val="7F385146"/>
    <w:rsid w:val="7F387A7F"/>
    <w:rsid w:val="7F392457"/>
    <w:rsid w:val="7F3B60CB"/>
    <w:rsid w:val="7F3F4AD1"/>
    <w:rsid w:val="7F417FD4"/>
    <w:rsid w:val="7F42110C"/>
    <w:rsid w:val="7F431AE6"/>
    <w:rsid w:val="7F4334D7"/>
    <w:rsid w:val="7F453DC2"/>
    <w:rsid w:val="7F463BFE"/>
    <w:rsid w:val="7F46479C"/>
    <w:rsid w:val="7F471DFC"/>
    <w:rsid w:val="7F4831CC"/>
    <w:rsid w:val="7F4A08E4"/>
    <w:rsid w:val="7F4A728E"/>
    <w:rsid w:val="7F4C09CB"/>
    <w:rsid w:val="7F4E72EA"/>
    <w:rsid w:val="7F4E7F9E"/>
    <w:rsid w:val="7F4F2EE8"/>
    <w:rsid w:val="7F4F6B4F"/>
    <w:rsid w:val="7F5027ED"/>
    <w:rsid w:val="7F51026F"/>
    <w:rsid w:val="7F521573"/>
    <w:rsid w:val="7F533772"/>
    <w:rsid w:val="7F5355D5"/>
    <w:rsid w:val="7F5411F3"/>
    <w:rsid w:val="7F544A77"/>
    <w:rsid w:val="7F5576EC"/>
    <w:rsid w:val="7F565D15"/>
    <w:rsid w:val="7F5759FB"/>
    <w:rsid w:val="7F5819C8"/>
    <w:rsid w:val="7F5923A2"/>
    <w:rsid w:val="7F59567B"/>
    <w:rsid w:val="7F5B0B7E"/>
    <w:rsid w:val="7F5B4401"/>
    <w:rsid w:val="7F5C1E83"/>
    <w:rsid w:val="7F5C42F5"/>
    <w:rsid w:val="7F5D4081"/>
    <w:rsid w:val="7F5E5386"/>
    <w:rsid w:val="7F5E5A33"/>
    <w:rsid w:val="7F5E7584"/>
    <w:rsid w:val="7F5F2E08"/>
    <w:rsid w:val="7F5F5006"/>
    <w:rsid w:val="7F5F65D1"/>
    <w:rsid w:val="7F600889"/>
    <w:rsid w:val="7F607170"/>
    <w:rsid w:val="7F610509"/>
    <w:rsid w:val="7F61630B"/>
    <w:rsid w:val="7F621288"/>
    <w:rsid w:val="7F625F8B"/>
    <w:rsid w:val="7F63129E"/>
    <w:rsid w:val="7F63180E"/>
    <w:rsid w:val="7F631975"/>
    <w:rsid w:val="7F631A9D"/>
    <w:rsid w:val="7F633A0C"/>
    <w:rsid w:val="7F656F0F"/>
    <w:rsid w:val="7F663D79"/>
    <w:rsid w:val="7F664928"/>
    <w:rsid w:val="7F664991"/>
    <w:rsid w:val="7F672412"/>
    <w:rsid w:val="7F687E94"/>
    <w:rsid w:val="7F695E91"/>
    <w:rsid w:val="7F6A3397"/>
    <w:rsid w:val="7F6C211D"/>
    <w:rsid w:val="7F6D431C"/>
    <w:rsid w:val="7F6D7B9F"/>
    <w:rsid w:val="7F6E1D9D"/>
    <w:rsid w:val="7F6F30A2"/>
    <w:rsid w:val="7F700B24"/>
    <w:rsid w:val="7F703639"/>
    <w:rsid w:val="7F7165A5"/>
    <w:rsid w:val="7F7207A3"/>
    <w:rsid w:val="7F722E84"/>
    <w:rsid w:val="7F7231F0"/>
    <w:rsid w:val="7F723A7C"/>
    <w:rsid w:val="7F724027"/>
    <w:rsid w:val="7F724BB2"/>
    <w:rsid w:val="7F731AA8"/>
    <w:rsid w:val="7F736225"/>
    <w:rsid w:val="7F743CA6"/>
    <w:rsid w:val="7F74612B"/>
    <w:rsid w:val="7F751728"/>
    <w:rsid w:val="7F754FAB"/>
    <w:rsid w:val="7F7571AA"/>
    <w:rsid w:val="7F770242"/>
    <w:rsid w:val="7F7704AE"/>
    <w:rsid w:val="7F7726AD"/>
    <w:rsid w:val="7F78012E"/>
    <w:rsid w:val="7F780C1C"/>
    <w:rsid w:val="7F791980"/>
    <w:rsid w:val="7F7939B1"/>
    <w:rsid w:val="7F795BB0"/>
    <w:rsid w:val="7F7A3631"/>
    <w:rsid w:val="7F7B10B3"/>
    <w:rsid w:val="7F7B6EB5"/>
    <w:rsid w:val="7F7C38D3"/>
    <w:rsid w:val="7F7C6B34"/>
    <w:rsid w:val="7F7D23B8"/>
    <w:rsid w:val="7F7D45B6"/>
    <w:rsid w:val="7F7D60D7"/>
    <w:rsid w:val="7F7D7E39"/>
    <w:rsid w:val="7F7E2038"/>
    <w:rsid w:val="7F7E58BB"/>
    <w:rsid w:val="7F7E59EA"/>
    <w:rsid w:val="7F7E5BAF"/>
    <w:rsid w:val="7F7F333C"/>
    <w:rsid w:val="7F7F7AB9"/>
    <w:rsid w:val="7F80553B"/>
    <w:rsid w:val="7F805EED"/>
    <w:rsid w:val="7F820A3E"/>
    <w:rsid w:val="7F823E73"/>
    <w:rsid w:val="7F8242C1"/>
    <w:rsid w:val="7F831D43"/>
    <w:rsid w:val="7F8364BF"/>
    <w:rsid w:val="7F843F41"/>
    <w:rsid w:val="7F8477C4"/>
    <w:rsid w:val="7F855246"/>
    <w:rsid w:val="7F862CC7"/>
    <w:rsid w:val="7F867444"/>
    <w:rsid w:val="7F870749"/>
    <w:rsid w:val="7F882947"/>
    <w:rsid w:val="7F8848D0"/>
    <w:rsid w:val="7F8861CA"/>
    <w:rsid w:val="7F8903C9"/>
    <w:rsid w:val="7F8952AA"/>
    <w:rsid w:val="7F8A5E4A"/>
    <w:rsid w:val="7F8A69E7"/>
    <w:rsid w:val="7F8C134D"/>
    <w:rsid w:val="7F8D2652"/>
    <w:rsid w:val="7F8D6DCF"/>
    <w:rsid w:val="7F8E00D4"/>
    <w:rsid w:val="7F8E0BEB"/>
    <w:rsid w:val="7F8F01AA"/>
    <w:rsid w:val="7F8F5B55"/>
    <w:rsid w:val="7F8F7D53"/>
    <w:rsid w:val="7F9035D7"/>
    <w:rsid w:val="7F9047D2"/>
    <w:rsid w:val="7F9057D5"/>
    <w:rsid w:val="7F911058"/>
    <w:rsid w:val="7F913256"/>
    <w:rsid w:val="7F920CD8"/>
    <w:rsid w:val="7F926ADA"/>
    <w:rsid w:val="7F93675A"/>
    <w:rsid w:val="7F941FDD"/>
    <w:rsid w:val="7F9441DB"/>
    <w:rsid w:val="7F945543"/>
    <w:rsid w:val="7F9554E0"/>
    <w:rsid w:val="7F957A5E"/>
    <w:rsid w:val="7F9709E3"/>
    <w:rsid w:val="7F986465"/>
    <w:rsid w:val="7F991937"/>
    <w:rsid w:val="7F993EE6"/>
    <w:rsid w:val="7F9A1968"/>
    <w:rsid w:val="7F9B2EB0"/>
    <w:rsid w:val="7F9B73E9"/>
    <w:rsid w:val="7F9C15E8"/>
    <w:rsid w:val="7F9E4E03"/>
    <w:rsid w:val="7F9F256C"/>
    <w:rsid w:val="7F9F5DEF"/>
    <w:rsid w:val="7FA26D74"/>
    <w:rsid w:val="7FA30658"/>
    <w:rsid w:val="7FA347F6"/>
    <w:rsid w:val="7FA57CF9"/>
    <w:rsid w:val="7FA6276F"/>
    <w:rsid w:val="7FA6330E"/>
    <w:rsid w:val="7FA6577A"/>
    <w:rsid w:val="7FA73CE8"/>
    <w:rsid w:val="7FA846C3"/>
    <w:rsid w:val="7FAA4181"/>
    <w:rsid w:val="7FAB1C02"/>
    <w:rsid w:val="7FAC4A8E"/>
    <w:rsid w:val="7FAC7379"/>
    <w:rsid w:val="7FAD2B87"/>
    <w:rsid w:val="7FAD5105"/>
    <w:rsid w:val="7FAD7F17"/>
    <w:rsid w:val="7FAF1655"/>
    <w:rsid w:val="7FB1158D"/>
    <w:rsid w:val="7FB2700E"/>
    <w:rsid w:val="7FB34146"/>
    <w:rsid w:val="7FB57F93"/>
    <w:rsid w:val="7FB73496"/>
    <w:rsid w:val="7FB777D7"/>
    <w:rsid w:val="7FB80F18"/>
    <w:rsid w:val="7FB8479B"/>
    <w:rsid w:val="7FB9221D"/>
    <w:rsid w:val="7FB96999"/>
    <w:rsid w:val="7FBB1E9C"/>
    <w:rsid w:val="7FBB22C9"/>
    <w:rsid w:val="7FBB248D"/>
    <w:rsid w:val="7FBB6153"/>
    <w:rsid w:val="7FBB6829"/>
    <w:rsid w:val="7FBC31A1"/>
    <w:rsid w:val="7FBC58C7"/>
    <w:rsid w:val="7FBC791E"/>
    <w:rsid w:val="7FBD0C23"/>
    <w:rsid w:val="7FBD3A06"/>
    <w:rsid w:val="7FBD539F"/>
    <w:rsid w:val="7FBD6760"/>
    <w:rsid w:val="7FBE66A4"/>
    <w:rsid w:val="7FBF08A3"/>
    <w:rsid w:val="7FBF4126"/>
    <w:rsid w:val="7FC127C8"/>
    <w:rsid w:val="7FC17629"/>
    <w:rsid w:val="7FC27C35"/>
    <w:rsid w:val="7FC3060F"/>
    <w:rsid w:val="7FC32B2C"/>
    <w:rsid w:val="7FC527AC"/>
    <w:rsid w:val="7FC5602F"/>
    <w:rsid w:val="7FC65CAF"/>
    <w:rsid w:val="7FC71532"/>
    <w:rsid w:val="7FC73731"/>
    <w:rsid w:val="7FC811B2"/>
    <w:rsid w:val="7FC822D4"/>
    <w:rsid w:val="7FC91BFD"/>
    <w:rsid w:val="7FC93EBA"/>
    <w:rsid w:val="7FC94A35"/>
    <w:rsid w:val="7FCA46B5"/>
    <w:rsid w:val="7FCA5219"/>
    <w:rsid w:val="7FCB7B83"/>
    <w:rsid w:val="7FCB7F38"/>
    <w:rsid w:val="7FCC59BA"/>
    <w:rsid w:val="7FCD563A"/>
    <w:rsid w:val="7FCD6FEF"/>
    <w:rsid w:val="7FCE30BB"/>
    <w:rsid w:val="7FCF08A9"/>
    <w:rsid w:val="7FCF0B3D"/>
    <w:rsid w:val="7FD01E42"/>
    <w:rsid w:val="7FD01FE6"/>
    <w:rsid w:val="7FD129C1"/>
    <w:rsid w:val="7FD21AC2"/>
    <w:rsid w:val="7FD40848"/>
    <w:rsid w:val="7FD44FC5"/>
    <w:rsid w:val="7FD5583B"/>
    <w:rsid w:val="7FD562CA"/>
    <w:rsid w:val="7FD63D4B"/>
    <w:rsid w:val="7FD717CD"/>
    <w:rsid w:val="7FD87953"/>
    <w:rsid w:val="7FD9144C"/>
    <w:rsid w:val="7FD92BEC"/>
    <w:rsid w:val="7FD94CD0"/>
    <w:rsid w:val="7FDB4950"/>
    <w:rsid w:val="7FDC23D1"/>
    <w:rsid w:val="7FDD36D6"/>
    <w:rsid w:val="7FDE1157"/>
    <w:rsid w:val="7FDE3356"/>
    <w:rsid w:val="7FDE58D4"/>
    <w:rsid w:val="7FDF0DD7"/>
    <w:rsid w:val="7FDF4F36"/>
    <w:rsid w:val="7FDF6BD9"/>
    <w:rsid w:val="7FE120DC"/>
    <w:rsid w:val="7FE16674"/>
    <w:rsid w:val="7FE21D5C"/>
    <w:rsid w:val="7FE27212"/>
    <w:rsid w:val="7FE355DF"/>
    <w:rsid w:val="7FE37BEC"/>
    <w:rsid w:val="7FE47E50"/>
    <w:rsid w:val="7FE50AE2"/>
    <w:rsid w:val="7FE63FE5"/>
    <w:rsid w:val="7FE71A67"/>
    <w:rsid w:val="7FE726DE"/>
    <w:rsid w:val="7FE74CF3"/>
    <w:rsid w:val="7FE761E4"/>
    <w:rsid w:val="7FE83C65"/>
    <w:rsid w:val="7FE874E8"/>
    <w:rsid w:val="7FE93C57"/>
    <w:rsid w:val="7FE94F6A"/>
    <w:rsid w:val="7FEA29EC"/>
    <w:rsid w:val="7FEB046D"/>
    <w:rsid w:val="7FEB4BEA"/>
    <w:rsid w:val="7FEC5EEF"/>
    <w:rsid w:val="7FED3970"/>
    <w:rsid w:val="7FED74AC"/>
    <w:rsid w:val="7FEE6E32"/>
    <w:rsid w:val="7FEE7E86"/>
    <w:rsid w:val="7FF16AF3"/>
    <w:rsid w:val="7FF24575"/>
    <w:rsid w:val="7FF31FF6"/>
    <w:rsid w:val="7FF3587A"/>
    <w:rsid w:val="7FF43CBB"/>
    <w:rsid w:val="7FF440B5"/>
    <w:rsid w:val="7FF525E1"/>
    <w:rsid w:val="7FF609FC"/>
    <w:rsid w:val="7FF62F7B"/>
    <w:rsid w:val="7FF6562E"/>
    <w:rsid w:val="7FF667FE"/>
    <w:rsid w:val="7FF7647E"/>
    <w:rsid w:val="7FF81D01"/>
    <w:rsid w:val="7FF83F00"/>
    <w:rsid w:val="7FF8790A"/>
    <w:rsid w:val="7FFA0CBF"/>
    <w:rsid w:val="7FFA203D"/>
    <w:rsid w:val="7FFA5204"/>
    <w:rsid w:val="7FFA621E"/>
    <w:rsid w:val="7FFA7403"/>
    <w:rsid w:val="7FFB2C86"/>
    <w:rsid w:val="7FFB4E84"/>
    <w:rsid w:val="7FFC0707"/>
    <w:rsid w:val="7FFC23FC"/>
    <w:rsid w:val="7FFC2906"/>
    <w:rsid w:val="7FFE3B39"/>
    <w:rsid w:val="7FFE466E"/>
    <w:rsid w:val="7FFF388A"/>
    <w:rsid w:val="7FFF45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7"/>
    <w:qFormat/>
    <w:uiPriority w:val="0"/>
    <w:pPr>
      <w:keepNext/>
      <w:spacing w:line="360" w:lineRule="auto"/>
      <w:outlineLvl w:val="1"/>
    </w:pPr>
    <w:rPr>
      <w:b/>
      <w:sz w:val="28"/>
      <w:szCs w:val="20"/>
      <w:lang w:val="zh-CN"/>
    </w:rPr>
  </w:style>
  <w:style w:type="paragraph" w:styleId="4">
    <w:name w:val="heading 3"/>
    <w:basedOn w:val="1"/>
    <w:next w:val="1"/>
    <w:link w:val="58"/>
    <w:qFormat/>
    <w:uiPriority w:val="0"/>
    <w:pPr>
      <w:keepNext/>
      <w:keepLines/>
      <w:widowControl/>
      <w:spacing w:before="120" w:after="120"/>
      <w:outlineLvl w:val="2"/>
    </w:pPr>
    <w:rPr>
      <w:rFonts w:eastAsia="黑体"/>
      <w:sz w:val="24"/>
      <w:szCs w:val="20"/>
    </w:rPr>
  </w:style>
  <w:style w:type="paragraph" w:styleId="5">
    <w:name w:val="heading 4"/>
    <w:basedOn w:val="1"/>
    <w:next w:val="1"/>
    <w:link w:val="59"/>
    <w:qFormat/>
    <w:uiPriority w:val="9"/>
    <w:pPr>
      <w:keepNext/>
      <w:keepLines/>
      <w:spacing w:before="280" w:after="290" w:line="372" w:lineRule="auto"/>
      <w:outlineLvl w:val="3"/>
    </w:pPr>
    <w:rPr>
      <w:rFonts w:ascii="Arial" w:hAnsi="Arial" w:eastAsia="黑体"/>
      <w:b/>
      <w:sz w:val="28"/>
    </w:rPr>
  </w:style>
  <w:style w:type="paragraph" w:styleId="6">
    <w:name w:val="heading 6"/>
    <w:basedOn w:val="1"/>
    <w:next w:val="1"/>
    <w:qFormat/>
    <w:uiPriority w:val="0"/>
    <w:pPr>
      <w:keepNext w:val="0"/>
      <w:keepLines/>
      <w:numPr>
        <w:ilvl w:val="5"/>
        <w:numId w:val="1"/>
      </w:numPr>
      <w:tabs>
        <w:tab w:val="left" w:pos="1152"/>
        <w:tab w:val="clear" w:pos="0"/>
      </w:tabs>
      <w:ind w:firstLineChars="0"/>
      <w:jc w:val="center"/>
      <w:outlineLvl w:val="5"/>
    </w:pPr>
    <w:rPr>
      <w:rFonts w:ascii="Times New Roman" w:hAnsi="Times New Roman" w:eastAsia="宋体"/>
      <w:b/>
      <w:bCs/>
      <w:sz w:val="21"/>
      <w:szCs w:val="21"/>
    </w:rPr>
  </w:style>
  <w:style w:type="paragraph" w:styleId="7">
    <w:name w:val="heading 7"/>
    <w:basedOn w:val="1"/>
    <w:next w:val="1"/>
    <w:link w:val="60"/>
    <w:qFormat/>
    <w:uiPriority w:val="0"/>
    <w:pPr>
      <w:keepNext/>
      <w:keepLines/>
      <w:spacing w:before="240" w:after="64" w:line="320" w:lineRule="auto"/>
      <w:outlineLvl w:val="6"/>
    </w:pPr>
    <w:rPr>
      <w:b/>
      <w:bCs/>
      <w:sz w:val="24"/>
    </w:rPr>
  </w:style>
  <w:style w:type="character" w:default="1" w:styleId="48">
    <w:name w:val="Default Paragraph Font"/>
    <w:semiHidden/>
    <w:qFormat/>
    <w:uiPriority w:val="0"/>
    <w:rPr>
      <w:rFonts w:ascii="Times New Roman" w:hAnsi="Times New Roman"/>
      <w:bCs/>
      <w:kern w:val="0"/>
    </w:rPr>
  </w:style>
  <w:style w:type="table" w:default="1" w:styleId="45">
    <w:name w:val="Normal Table"/>
    <w:semiHidden/>
    <w:qFormat/>
    <w:uiPriority w:val="0"/>
    <w:tblPr>
      <w:tblCellMar>
        <w:top w:w="0" w:type="dxa"/>
        <w:left w:w="108" w:type="dxa"/>
        <w:bottom w:w="0" w:type="dxa"/>
        <w:right w:w="108" w:type="dxa"/>
      </w:tblCellMar>
    </w:tblPr>
  </w:style>
  <w:style w:type="paragraph" w:styleId="8">
    <w:name w:val="toc 7"/>
    <w:basedOn w:val="1"/>
    <w:next w:val="1"/>
    <w:qFormat/>
    <w:uiPriority w:val="0"/>
    <w:pPr>
      <w:ind w:left="2520" w:leftChars="1200"/>
    </w:pPr>
  </w:style>
  <w:style w:type="paragraph" w:styleId="9">
    <w:name w:val="Normal Indent"/>
    <w:basedOn w:val="1"/>
    <w:link w:val="61"/>
    <w:qFormat/>
    <w:uiPriority w:val="0"/>
    <w:pPr>
      <w:ind w:firstLine="420" w:firstLineChars="200"/>
    </w:pPr>
    <w:rPr>
      <w:rFonts w:ascii="Calibri" w:hAnsi="Calibri"/>
    </w:rPr>
  </w:style>
  <w:style w:type="paragraph" w:styleId="10">
    <w:name w:val="caption"/>
    <w:basedOn w:val="1"/>
    <w:next w:val="1"/>
    <w:qFormat/>
    <w:uiPriority w:val="0"/>
    <w:pPr>
      <w:spacing w:before="160" w:after="160" w:line="288" w:lineRule="auto"/>
      <w:ind w:firstLine="510"/>
      <w:jc w:val="center"/>
    </w:pPr>
    <w:rPr>
      <w:rFonts w:ascii="Arial" w:hAnsi="Arial" w:eastAsia="黑体"/>
      <w:sz w:val="24"/>
      <w:szCs w:val="20"/>
    </w:rPr>
  </w:style>
  <w:style w:type="paragraph" w:styleId="11">
    <w:name w:val="Document Map"/>
    <w:basedOn w:val="1"/>
    <w:link w:val="62"/>
    <w:qFormat/>
    <w:uiPriority w:val="0"/>
    <w:pPr>
      <w:shd w:val="clear" w:color="auto" w:fill="000080"/>
    </w:pPr>
  </w:style>
  <w:style w:type="paragraph" w:styleId="12">
    <w:name w:val="annotation text"/>
    <w:basedOn w:val="1"/>
    <w:link w:val="63"/>
    <w:qFormat/>
    <w:uiPriority w:val="0"/>
    <w:pPr>
      <w:jc w:val="left"/>
    </w:pPr>
    <w:rPr>
      <w:kern w:val="0"/>
      <w:sz w:val="24"/>
      <w:szCs w:val="20"/>
    </w:rPr>
  </w:style>
  <w:style w:type="paragraph" w:styleId="13">
    <w:name w:val="index 6"/>
    <w:basedOn w:val="1"/>
    <w:next w:val="1"/>
    <w:qFormat/>
    <w:uiPriority w:val="0"/>
    <w:pPr>
      <w:ind w:left="2100"/>
      <w:jc w:val="both"/>
    </w:pPr>
    <w:rPr>
      <w:rFonts w:ascii="Times New Roman" w:hAnsi="Times New Roman"/>
      <w:kern w:val="2"/>
      <w:sz w:val="21"/>
      <w:szCs w:val="24"/>
    </w:rPr>
  </w:style>
  <w:style w:type="paragraph" w:styleId="14">
    <w:name w:val="Body Text"/>
    <w:basedOn w:val="1"/>
    <w:next w:val="15"/>
    <w:link w:val="64"/>
    <w:qFormat/>
    <w:uiPriority w:val="0"/>
    <w:pPr>
      <w:widowControl/>
      <w:snapToGrid w:val="0"/>
      <w:spacing w:before="60" w:after="160" w:line="259" w:lineRule="auto"/>
      <w:ind w:right="113"/>
    </w:pPr>
    <w:rPr>
      <w:kern w:val="0"/>
      <w:sz w:val="18"/>
      <w:szCs w:val="20"/>
    </w:rPr>
  </w:style>
  <w:style w:type="paragraph" w:customStyle="1" w:styleId="15">
    <w:name w:val="默认段落"/>
    <w:basedOn w:val="1"/>
    <w:qFormat/>
    <w:uiPriority w:val="0"/>
    <w:rPr>
      <w:rFonts w:ascii="Calibri" w:hAnsi="Calibri"/>
    </w:rPr>
  </w:style>
  <w:style w:type="paragraph" w:styleId="16">
    <w:name w:val="Body Text Indent"/>
    <w:basedOn w:val="1"/>
    <w:next w:val="17"/>
    <w:link w:val="65"/>
    <w:qFormat/>
    <w:uiPriority w:val="0"/>
    <w:pPr>
      <w:spacing w:after="120"/>
      <w:ind w:left="420" w:leftChars="200"/>
    </w:pPr>
    <w:rPr>
      <w:kern w:val="0"/>
      <w:sz w:val="24"/>
      <w:szCs w:val="20"/>
    </w:rPr>
  </w:style>
  <w:style w:type="paragraph" w:styleId="17">
    <w:name w:val="toc 9"/>
    <w:basedOn w:val="1"/>
    <w:next w:val="1"/>
    <w:qFormat/>
    <w:uiPriority w:val="0"/>
    <w:pPr>
      <w:ind w:left="3360" w:leftChars="1600"/>
    </w:pPr>
  </w:style>
  <w:style w:type="paragraph" w:styleId="18">
    <w:name w:val="toc 5"/>
    <w:basedOn w:val="1"/>
    <w:next w:val="1"/>
    <w:qFormat/>
    <w:uiPriority w:val="0"/>
    <w:pPr>
      <w:ind w:left="1680" w:leftChars="800"/>
    </w:pPr>
  </w:style>
  <w:style w:type="paragraph" w:styleId="19">
    <w:name w:val="toc 3"/>
    <w:basedOn w:val="1"/>
    <w:next w:val="1"/>
    <w:unhideWhenUsed/>
    <w:qFormat/>
    <w:uiPriority w:val="39"/>
    <w:pPr>
      <w:ind w:left="840" w:leftChars="400"/>
    </w:pPr>
  </w:style>
  <w:style w:type="paragraph" w:styleId="20">
    <w:name w:val="Plain Text"/>
    <w:basedOn w:val="1"/>
    <w:link w:val="66"/>
    <w:qFormat/>
    <w:uiPriority w:val="0"/>
    <w:rPr>
      <w:rFonts w:ascii="宋体" w:hAnsi="Courier New"/>
      <w:szCs w:val="21"/>
    </w:rPr>
  </w:style>
  <w:style w:type="paragraph" w:styleId="21">
    <w:name w:val="toc 8"/>
    <w:basedOn w:val="1"/>
    <w:next w:val="1"/>
    <w:qFormat/>
    <w:uiPriority w:val="0"/>
    <w:pPr>
      <w:ind w:left="2940" w:leftChars="1400"/>
    </w:pPr>
  </w:style>
  <w:style w:type="paragraph" w:styleId="22">
    <w:name w:val="Date"/>
    <w:basedOn w:val="1"/>
    <w:next w:val="1"/>
    <w:link w:val="67"/>
    <w:qFormat/>
    <w:uiPriority w:val="0"/>
    <w:pPr>
      <w:ind w:left="100" w:leftChars="2500"/>
    </w:pPr>
    <w:rPr>
      <w:kern w:val="0"/>
      <w:sz w:val="24"/>
      <w:szCs w:val="20"/>
    </w:rPr>
  </w:style>
  <w:style w:type="paragraph" w:styleId="23">
    <w:name w:val="Body Text Indent 2"/>
    <w:basedOn w:val="1"/>
    <w:link w:val="68"/>
    <w:qFormat/>
    <w:uiPriority w:val="0"/>
    <w:pPr>
      <w:spacing w:after="120" w:line="480" w:lineRule="auto"/>
      <w:ind w:left="420" w:leftChars="200"/>
    </w:pPr>
    <w:rPr>
      <w:szCs w:val="20"/>
    </w:rPr>
  </w:style>
  <w:style w:type="paragraph" w:styleId="24">
    <w:name w:val="Balloon Text"/>
    <w:basedOn w:val="1"/>
    <w:link w:val="69"/>
    <w:qFormat/>
    <w:uiPriority w:val="99"/>
    <w:rPr>
      <w:kern w:val="0"/>
      <w:sz w:val="18"/>
      <w:szCs w:val="20"/>
    </w:rPr>
  </w:style>
  <w:style w:type="paragraph" w:styleId="25">
    <w:name w:val="footer"/>
    <w:basedOn w:val="1"/>
    <w:link w:val="70"/>
    <w:qFormat/>
    <w:uiPriority w:val="99"/>
    <w:pPr>
      <w:tabs>
        <w:tab w:val="center" w:pos="4153"/>
        <w:tab w:val="right" w:pos="8306"/>
      </w:tabs>
      <w:snapToGrid w:val="0"/>
      <w:jc w:val="left"/>
    </w:pPr>
    <w:rPr>
      <w:kern w:val="0"/>
      <w:sz w:val="18"/>
      <w:szCs w:val="20"/>
    </w:rPr>
  </w:style>
  <w:style w:type="paragraph" w:styleId="26">
    <w:name w:val="header"/>
    <w:basedOn w:val="1"/>
    <w:next w:val="25"/>
    <w:link w:val="71"/>
    <w:qFormat/>
    <w:uiPriority w:val="99"/>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qFormat/>
    <w:uiPriority w:val="39"/>
  </w:style>
  <w:style w:type="paragraph" w:styleId="28">
    <w:name w:val="toc 4"/>
    <w:basedOn w:val="1"/>
    <w:next w:val="1"/>
    <w:qFormat/>
    <w:uiPriority w:val="0"/>
    <w:pPr>
      <w:ind w:left="1260" w:leftChars="600"/>
    </w:pPr>
  </w:style>
  <w:style w:type="paragraph" w:styleId="29">
    <w:name w:val="Subtitle"/>
    <w:basedOn w:val="1"/>
    <w:next w:val="1"/>
    <w:link w:val="72"/>
    <w:qFormat/>
    <w:uiPriority w:val="0"/>
    <w:pPr>
      <w:spacing w:before="240" w:after="60" w:line="312" w:lineRule="auto"/>
      <w:jc w:val="center"/>
      <w:outlineLvl w:val="1"/>
    </w:pPr>
    <w:rPr>
      <w:rFonts w:ascii="Cambria" w:hAnsi="Cambria"/>
      <w:b/>
      <w:bCs/>
      <w:kern w:val="28"/>
      <w:sz w:val="32"/>
      <w:szCs w:val="32"/>
    </w:rPr>
  </w:style>
  <w:style w:type="paragraph" w:styleId="30">
    <w:name w:val="List"/>
    <w:basedOn w:val="1"/>
    <w:qFormat/>
    <w:uiPriority w:val="0"/>
    <w:pPr>
      <w:ind w:left="200" w:hanging="200" w:hangingChars="200"/>
    </w:pPr>
  </w:style>
  <w:style w:type="paragraph" w:styleId="31">
    <w:name w:val="toc 6"/>
    <w:basedOn w:val="1"/>
    <w:next w:val="1"/>
    <w:qFormat/>
    <w:uiPriority w:val="0"/>
    <w:pPr>
      <w:ind w:left="2100" w:leftChars="1000"/>
    </w:pPr>
  </w:style>
  <w:style w:type="paragraph" w:styleId="32">
    <w:name w:val="List 5"/>
    <w:basedOn w:val="1"/>
    <w:next w:val="33"/>
    <w:qFormat/>
    <w:uiPriority w:val="0"/>
    <w:pPr>
      <w:widowControl/>
      <w:spacing w:line="440" w:lineRule="exact"/>
      <w:ind w:left="100" w:hanging="200"/>
    </w:pPr>
    <w:rPr>
      <w:rFonts w:ascii="宋体"/>
    </w:rPr>
  </w:style>
  <w:style w:type="paragraph" w:customStyle="1" w:styleId="33">
    <w:name w:val="大华农正文"/>
    <w:basedOn w:val="1"/>
    <w:next w:val="34"/>
    <w:qFormat/>
    <w:uiPriority w:val="0"/>
    <w:pPr>
      <w:spacing w:line="360" w:lineRule="auto"/>
      <w:ind w:firstLine="200"/>
    </w:pPr>
  </w:style>
  <w:style w:type="paragraph" w:customStyle="1" w:styleId="34">
    <w:name w:val="Char Char Char Char Char Char1 Char Char Char1 Char Char Char Char Char Char Char"/>
    <w:basedOn w:val="1"/>
    <w:next w:val="35"/>
    <w:qFormat/>
    <w:uiPriority w:val="0"/>
    <w:pPr>
      <w:spacing w:line="360" w:lineRule="auto"/>
      <w:ind w:firstLine="200"/>
    </w:pPr>
    <w:rPr>
      <w:rFonts w:ascii="宋体"/>
    </w:rPr>
  </w:style>
  <w:style w:type="paragraph" w:customStyle="1" w:styleId="35">
    <w:name w:val="标准"/>
    <w:basedOn w:val="1"/>
    <w:next w:val="36"/>
    <w:qFormat/>
    <w:uiPriority w:val="0"/>
    <w:pPr>
      <w:adjustRightInd w:val="0"/>
      <w:spacing w:line="312" w:lineRule="atLeast"/>
      <w:jc w:val="center"/>
      <w:textAlignment w:val="baseline"/>
    </w:pPr>
    <w:rPr>
      <w:kern w:val="0"/>
      <w:szCs w:val="20"/>
    </w:rPr>
  </w:style>
  <w:style w:type="paragraph" w:customStyle="1" w:styleId="36">
    <w:name w:val="MTDisplayEquation"/>
    <w:basedOn w:val="1"/>
    <w:next w:val="1"/>
    <w:qFormat/>
    <w:uiPriority w:val="0"/>
    <w:pPr>
      <w:spacing w:line="360" w:lineRule="auto"/>
      <w:ind w:firstLine="480"/>
    </w:pPr>
  </w:style>
  <w:style w:type="paragraph" w:styleId="37">
    <w:name w:val="Body Text Indent 3"/>
    <w:basedOn w:val="1"/>
    <w:link w:val="73"/>
    <w:unhideWhenUsed/>
    <w:qFormat/>
    <w:uiPriority w:val="99"/>
    <w:pPr>
      <w:spacing w:after="120"/>
      <w:ind w:left="420" w:leftChars="200"/>
    </w:pPr>
    <w:rPr>
      <w:rFonts w:ascii="Calibri" w:hAnsi="Calibri"/>
      <w:sz w:val="16"/>
      <w:szCs w:val="16"/>
    </w:rPr>
  </w:style>
  <w:style w:type="paragraph" w:styleId="38">
    <w:name w:val="table of figures"/>
    <w:basedOn w:val="1"/>
    <w:next w:val="1"/>
    <w:qFormat/>
    <w:uiPriority w:val="0"/>
    <w:pPr>
      <w:ind w:leftChars="200" w:hanging="200" w:hangingChars="200"/>
    </w:pPr>
  </w:style>
  <w:style w:type="paragraph" w:styleId="39">
    <w:name w:val="toc 2"/>
    <w:basedOn w:val="1"/>
    <w:next w:val="1"/>
    <w:qFormat/>
    <w:uiPriority w:val="0"/>
    <w:pPr>
      <w:ind w:left="420" w:leftChars="200"/>
    </w:pPr>
  </w:style>
  <w:style w:type="paragraph" w:styleId="40">
    <w:name w:val="Normal (Web)"/>
    <w:basedOn w:val="1"/>
    <w:link w:val="74"/>
    <w:qFormat/>
    <w:uiPriority w:val="99"/>
    <w:pPr>
      <w:widowControl/>
      <w:spacing w:before="100" w:beforeAutospacing="1" w:after="100" w:afterAutospacing="1"/>
      <w:jc w:val="left"/>
    </w:pPr>
    <w:rPr>
      <w:rFonts w:ascii="宋体" w:hAnsi="宋体"/>
      <w:kern w:val="0"/>
      <w:sz w:val="24"/>
      <w:szCs w:val="20"/>
    </w:rPr>
  </w:style>
  <w:style w:type="paragraph" w:styleId="41">
    <w:name w:val="Title"/>
    <w:basedOn w:val="1"/>
    <w:next w:val="1"/>
    <w:link w:val="75"/>
    <w:qFormat/>
    <w:uiPriority w:val="0"/>
    <w:pPr>
      <w:spacing w:before="240" w:after="60"/>
      <w:jc w:val="center"/>
      <w:outlineLvl w:val="0"/>
    </w:pPr>
    <w:rPr>
      <w:rFonts w:ascii="Cambria" w:hAnsi="Cambria"/>
      <w:b/>
      <w:bCs/>
      <w:sz w:val="32"/>
      <w:szCs w:val="32"/>
    </w:rPr>
  </w:style>
  <w:style w:type="paragraph" w:styleId="42">
    <w:name w:val="annotation subject"/>
    <w:basedOn w:val="12"/>
    <w:next w:val="12"/>
    <w:link w:val="76"/>
    <w:qFormat/>
    <w:uiPriority w:val="0"/>
    <w:rPr>
      <w:b/>
      <w:kern w:val="2"/>
    </w:rPr>
  </w:style>
  <w:style w:type="paragraph" w:styleId="43">
    <w:name w:val="Body Text First Indent"/>
    <w:basedOn w:val="1"/>
    <w:link w:val="77"/>
    <w:qFormat/>
    <w:uiPriority w:val="0"/>
    <w:pPr>
      <w:widowControl w:val="0"/>
      <w:snapToGrid/>
      <w:spacing w:before="0" w:after="120" w:line="240" w:lineRule="auto"/>
      <w:ind w:right="0" w:firstLine="420" w:firstLineChars="100"/>
    </w:pPr>
    <w:rPr>
      <w:kern w:val="2"/>
      <w:sz w:val="21"/>
    </w:rPr>
  </w:style>
  <w:style w:type="paragraph" w:styleId="44">
    <w:name w:val="Body Text First Indent 2"/>
    <w:basedOn w:val="16"/>
    <w:link w:val="78"/>
    <w:qFormat/>
    <w:uiPriority w:val="0"/>
    <w:pPr>
      <w:ind w:firstLine="420" w:firstLineChars="200"/>
    </w:pPr>
    <w:rPr>
      <w:rFonts w:ascii="Calibri" w:hAnsi="Calibri"/>
      <w:kern w:val="2"/>
      <w:sz w:val="21"/>
      <w:szCs w:val="24"/>
    </w:rPr>
  </w:style>
  <w:style w:type="table" w:styleId="46">
    <w:name w:val="Table Grid"/>
    <w:basedOn w:val="4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Theme"/>
    <w:basedOn w:val="45"/>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qFormat/>
    <w:uiPriority w:val="0"/>
  </w:style>
  <w:style w:type="character" w:styleId="51">
    <w:name w:val="Emphasis"/>
    <w:qFormat/>
    <w:uiPriority w:val="0"/>
    <w:rPr>
      <w:i/>
    </w:rPr>
  </w:style>
  <w:style w:type="character" w:styleId="52">
    <w:name w:val="Hyperlink"/>
    <w:qFormat/>
    <w:uiPriority w:val="99"/>
    <w:rPr>
      <w:color w:val="0268CD"/>
      <w:u w:val="none"/>
    </w:rPr>
  </w:style>
  <w:style w:type="character" w:styleId="53">
    <w:name w:val="annotation reference"/>
    <w:qFormat/>
    <w:uiPriority w:val="0"/>
    <w:rPr>
      <w:sz w:val="21"/>
    </w:rPr>
  </w:style>
  <w:style w:type="paragraph" w:customStyle="1" w:styleId="54">
    <w:name w:val="Default"/>
    <w:basedOn w:val="55"/>
    <w:unhideWhenUsed/>
    <w:qFormat/>
    <w:uiPriority w:val="99"/>
    <w:pPr>
      <w:widowControl w:val="0"/>
      <w:autoSpaceDE w:val="0"/>
      <w:autoSpaceDN w:val="0"/>
      <w:adjustRightInd w:val="0"/>
    </w:pPr>
    <w:rPr>
      <w:rFonts w:hint="eastAsia" w:eastAsia="Times New Roman"/>
      <w:color w:val="000000"/>
      <w:sz w:val="24"/>
      <w:lang w:val="en-US" w:eastAsia="zh-CN" w:bidi="ar-SA"/>
    </w:rPr>
  </w:style>
  <w:style w:type="paragraph" w:customStyle="1" w:styleId="55">
    <w:name w:val="纯文本1"/>
    <w:basedOn w:val="1"/>
    <w:qFormat/>
    <w:uiPriority w:val="0"/>
    <w:pPr>
      <w:adjustRightInd w:val="0"/>
    </w:pPr>
    <w:rPr>
      <w:rFonts w:ascii="宋体" w:hAnsi="Courier New"/>
      <w:szCs w:val="20"/>
    </w:rPr>
  </w:style>
  <w:style w:type="character" w:customStyle="1" w:styleId="56">
    <w:name w:val="标题 1 字符"/>
    <w:link w:val="2"/>
    <w:qFormat/>
    <w:uiPriority w:val="0"/>
    <w:rPr>
      <w:rFonts w:eastAsia="黑体"/>
      <w:b/>
      <w:bCs/>
      <w:color w:val="000000"/>
      <w:kern w:val="44"/>
      <w:sz w:val="30"/>
      <w:szCs w:val="30"/>
    </w:rPr>
  </w:style>
  <w:style w:type="character" w:customStyle="1" w:styleId="57">
    <w:name w:val="标题 2 字符"/>
    <w:link w:val="3"/>
    <w:qFormat/>
    <w:uiPriority w:val="0"/>
    <w:rPr>
      <w:rFonts w:ascii="Times New Roman" w:hAnsi="Times New Roman" w:eastAsia="宋体"/>
      <w:b/>
      <w:kern w:val="2"/>
      <w:sz w:val="28"/>
      <w:lang w:val="zh-CN"/>
    </w:rPr>
  </w:style>
  <w:style w:type="character" w:customStyle="1" w:styleId="58">
    <w:name w:val="标题 3 字符"/>
    <w:link w:val="4"/>
    <w:qFormat/>
    <w:uiPriority w:val="0"/>
    <w:rPr>
      <w:rFonts w:eastAsia="黑体"/>
      <w:kern w:val="2"/>
      <w:sz w:val="24"/>
    </w:rPr>
  </w:style>
  <w:style w:type="character" w:customStyle="1" w:styleId="59">
    <w:name w:val="标题 4 字符"/>
    <w:link w:val="5"/>
    <w:qFormat/>
    <w:uiPriority w:val="9"/>
    <w:rPr>
      <w:rFonts w:ascii="Arial" w:hAnsi="Arial" w:eastAsia="黑体"/>
      <w:b/>
      <w:kern w:val="2"/>
      <w:sz w:val="28"/>
      <w:szCs w:val="24"/>
    </w:rPr>
  </w:style>
  <w:style w:type="character" w:customStyle="1" w:styleId="60">
    <w:name w:val="标题 7 字符"/>
    <w:link w:val="7"/>
    <w:qFormat/>
    <w:uiPriority w:val="0"/>
    <w:rPr>
      <w:b/>
      <w:bCs/>
      <w:kern w:val="2"/>
      <w:sz w:val="24"/>
      <w:szCs w:val="24"/>
    </w:rPr>
  </w:style>
  <w:style w:type="character" w:customStyle="1" w:styleId="61">
    <w:name w:val="正文缩进 字符"/>
    <w:link w:val="9"/>
    <w:qFormat/>
    <w:uiPriority w:val="0"/>
    <w:rPr>
      <w:rFonts w:ascii="Calibri" w:hAnsi="Calibri"/>
      <w:kern w:val="2"/>
      <w:sz w:val="21"/>
      <w:szCs w:val="24"/>
    </w:rPr>
  </w:style>
  <w:style w:type="character" w:customStyle="1" w:styleId="62">
    <w:name w:val="文档结构图 字符"/>
    <w:link w:val="11"/>
    <w:qFormat/>
    <w:uiPriority w:val="0"/>
    <w:rPr>
      <w:kern w:val="2"/>
      <w:sz w:val="21"/>
      <w:szCs w:val="24"/>
      <w:shd w:val="clear" w:color="auto" w:fill="000080"/>
    </w:rPr>
  </w:style>
  <w:style w:type="character" w:customStyle="1" w:styleId="63">
    <w:name w:val="批注文字 字符"/>
    <w:link w:val="12"/>
    <w:qFormat/>
    <w:uiPriority w:val="0"/>
    <w:rPr>
      <w:rFonts w:ascii="Times New Roman" w:hAnsi="Times New Roman" w:eastAsia="宋体"/>
      <w:sz w:val="24"/>
    </w:rPr>
  </w:style>
  <w:style w:type="character" w:customStyle="1" w:styleId="64">
    <w:name w:val="正文文本 字符"/>
    <w:link w:val="14"/>
    <w:qFormat/>
    <w:uiPriority w:val="0"/>
    <w:rPr>
      <w:sz w:val="18"/>
    </w:rPr>
  </w:style>
  <w:style w:type="character" w:customStyle="1" w:styleId="65">
    <w:name w:val="正文文本缩进 字符"/>
    <w:link w:val="16"/>
    <w:qFormat/>
    <w:uiPriority w:val="0"/>
    <w:rPr>
      <w:rFonts w:ascii="Times New Roman" w:hAnsi="Times New Roman" w:eastAsia="宋体"/>
      <w:sz w:val="24"/>
    </w:rPr>
  </w:style>
  <w:style w:type="character" w:customStyle="1" w:styleId="66">
    <w:name w:val="纯文本 字符"/>
    <w:link w:val="20"/>
    <w:qFormat/>
    <w:uiPriority w:val="0"/>
    <w:rPr>
      <w:rFonts w:ascii="宋体" w:hAnsi="Courier New" w:cs="Courier New"/>
      <w:kern w:val="2"/>
      <w:sz w:val="21"/>
      <w:szCs w:val="21"/>
    </w:rPr>
  </w:style>
  <w:style w:type="character" w:customStyle="1" w:styleId="67">
    <w:name w:val="日期 字符1"/>
    <w:link w:val="22"/>
    <w:qFormat/>
    <w:uiPriority w:val="0"/>
    <w:rPr>
      <w:rFonts w:ascii="Times New Roman" w:hAnsi="Times New Roman" w:eastAsia="宋体"/>
      <w:sz w:val="24"/>
    </w:rPr>
  </w:style>
  <w:style w:type="character" w:customStyle="1" w:styleId="68">
    <w:name w:val="正文文本缩进 2 字符"/>
    <w:link w:val="23"/>
    <w:qFormat/>
    <w:uiPriority w:val="0"/>
    <w:rPr>
      <w:kern w:val="2"/>
      <w:sz w:val="21"/>
    </w:rPr>
  </w:style>
  <w:style w:type="character" w:customStyle="1" w:styleId="69">
    <w:name w:val="批注框文本 字符"/>
    <w:link w:val="24"/>
    <w:qFormat/>
    <w:uiPriority w:val="99"/>
    <w:rPr>
      <w:rFonts w:ascii="Times New Roman" w:hAnsi="Times New Roman" w:eastAsia="宋体"/>
      <w:sz w:val="18"/>
    </w:rPr>
  </w:style>
  <w:style w:type="character" w:customStyle="1" w:styleId="70">
    <w:name w:val="页脚 字符1"/>
    <w:link w:val="25"/>
    <w:qFormat/>
    <w:uiPriority w:val="99"/>
    <w:rPr>
      <w:sz w:val="18"/>
    </w:rPr>
  </w:style>
  <w:style w:type="character" w:customStyle="1" w:styleId="71">
    <w:name w:val="页眉 字符"/>
    <w:link w:val="26"/>
    <w:qFormat/>
    <w:uiPriority w:val="99"/>
    <w:rPr>
      <w:sz w:val="18"/>
    </w:rPr>
  </w:style>
  <w:style w:type="character" w:customStyle="1" w:styleId="72">
    <w:name w:val="副标题 字符"/>
    <w:link w:val="29"/>
    <w:qFormat/>
    <w:uiPriority w:val="0"/>
    <w:rPr>
      <w:rFonts w:ascii="Cambria" w:hAnsi="Cambria"/>
      <w:b/>
      <w:bCs/>
      <w:kern w:val="28"/>
      <w:sz w:val="32"/>
      <w:szCs w:val="32"/>
    </w:rPr>
  </w:style>
  <w:style w:type="character" w:customStyle="1" w:styleId="73">
    <w:name w:val="正文文本缩进 3 字符"/>
    <w:link w:val="37"/>
    <w:qFormat/>
    <w:uiPriority w:val="99"/>
    <w:rPr>
      <w:rFonts w:ascii="Calibri" w:hAnsi="Calibri"/>
      <w:kern w:val="2"/>
      <w:sz w:val="16"/>
      <w:szCs w:val="16"/>
    </w:rPr>
  </w:style>
  <w:style w:type="character" w:customStyle="1" w:styleId="74">
    <w:name w:val="普通(网站) 字符1"/>
    <w:link w:val="40"/>
    <w:qFormat/>
    <w:uiPriority w:val="0"/>
    <w:rPr>
      <w:rFonts w:ascii="宋体" w:hAnsi="宋体" w:eastAsia="宋体"/>
      <w:sz w:val="24"/>
    </w:rPr>
  </w:style>
  <w:style w:type="character" w:customStyle="1" w:styleId="75">
    <w:name w:val="标题 字符"/>
    <w:link w:val="41"/>
    <w:qFormat/>
    <w:uiPriority w:val="0"/>
    <w:rPr>
      <w:rFonts w:ascii="Cambria" w:hAnsi="Cambria"/>
      <w:b/>
      <w:bCs/>
      <w:kern w:val="2"/>
      <w:sz w:val="32"/>
      <w:szCs w:val="32"/>
    </w:rPr>
  </w:style>
  <w:style w:type="character" w:customStyle="1" w:styleId="76">
    <w:name w:val="批注主题 字符"/>
    <w:link w:val="42"/>
    <w:qFormat/>
    <w:uiPriority w:val="0"/>
    <w:rPr>
      <w:rFonts w:ascii="Times New Roman" w:hAnsi="Times New Roman" w:eastAsia="宋体"/>
      <w:b/>
      <w:kern w:val="2"/>
      <w:sz w:val="24"/>
    </w:rPr>
  </w:style>
  <w:style w:type="character" w:customStyle="1" w:styleId="77">
    <w:name w:val="正文首行缩进 字符"/>
    <w:link w:val="43"/>
    <w:qFormat/>
    <w:uiPriority w:val="0"/>
    <w:rPr>
      <w:kern w:val="2"/>
      <w:sz w:val="21"/>
    </w:rPr>
  </w:style>
  <w:style w:type="character" w:customStyle="1" w:styleId="78">
    <w:name w:val="正文首行缩进 2 字符"/>
    <w:link w:val="44"/>
    <w:qFormat/>
    <w:uiPriority w:val="0"/>
    <w:rPr>
      <w:rFonts w:ascii="Calibri" w:hAnsi="Calibri" w:eastAsia="宋体"/>
      <w:kern w:val="2"/>
      <w:sz w:val="21"/>
      <w:szCs w:val="24"/>
    </w:rPr>
  </w:style>
  <w:style w:type="character" w:customStyle="1" w:styleId="79">
    <w:name w:val="apple-converted-space"/>
    <w:qFormat/>
    <w:uiPriority w:val="0"/>
  </w:style>
  <w:style w:type="character" w:customStyle="1" w:styleId="80">
    <w:name w:val="16"/>
    <w:qFormat/>
    <w:uiPriority w:val="0"/>
  </w:style>
  <w:style w:type="character" w:customStyle="1" w:styleId="81">
    <w:name w:val="页脚 Char"/>
    <w:qFormat/>
    <w:uiPriority w:val="99"/>
    <w:rPr>
      <w:rFonts w:eastAsia="Calibri"/>
      <w:sz w:val="21"/>
    </w:rPr>
  </w:style>
  <w:style w:type="character" w:customStyle="1" w:styleId="82">
    <w:name w:val="hzw书正文 Char"/>
    <w:link w:val="83"/>
    <w:qFormat/>
    <w:uiPriority w:val="0"/>
    <w:rPr>
      <w:kern w:val="2"/>
      <w:sz w:val="24"/>
      <w:szCs w:val="22"/>
    </w:rPr>
  </w:style>
  <w:style w:type="paragraph" w:customStyle="1" w:styleId="83">
    <w:name w:val="hzw书正文"/>
    <w:basedOn w:val="1"/>
    <w:link w:val="82"/>
    <w:qFormat/>
    <w:uiPriority w:val="0"/>
    <w:pPr>
      <w:spacing w:line="360" w:lineRule="auto"/>
      <w:ind w:firstLine="200" w:firstLineChars="200"/>
    </w:pPr>
    <w:rPr>
      <w:sz w:val="24"/>
      <w:szCs w:val="22"/>
    </w:rPr>
  </w:style>
  <w:style w:type="character" w:customStyle="1" w:styleId="84">
    <w:name w:val="font01"/>
    <w:qFormat/>
    <w:uiPriority w:val="0"/>
    <w:rPr>
      <w:rFonts w:hint="eastAsia" w:ascii="宋体" w:hAnsi="宋体" w:eastAsia="宋体"/>
      <w:color w:val="000000"/>
      <w:sz w:val="21"/>
      <w:szCs w:val="21"/>
      <w:u w:val="none"/>
    </w:rPr>
  </w:style>
  <w:style w:type="character" w:customStyle="1" w:styleId="85">
    <w:name w:val="普通(网站) 字符"/>
    <w:qFormat/>
    <w:uiPriority w:val="0"/>
    <w:rPr>
      <w:rFonts w:ascii="宋体" w:hAnsi="宋体" w:eastAsia="宋体" w:cs="Times New Roman"/>
      <w:color w:val="000000"/>
      <w:kern w:val="0"/>
      <w:sz w:val="24"/>
      <w:szCs w:val="24"/>
      <w:lang w:val="zh-CN" w:eastAsia="zh-CN"/>
    </w:rPr>
  </w:style>
  <w:style w:type="character" w:customStyle="1" w:styleId="86">
    <w:name w:val="font81"/>
    <w:qFormat/>
    <w:uiPriority w:val="0"/>
    <w:rPr>
      <w:rFonts w:hint="default" w:ascii="Times New Roman" w:hAnsi="Times New Roman" w:cs="Times New Roman"/>
      <w:color w:val="000000"/>
      <w:sz w:val="21"/>
      <w:szCs w:val="21"/>
      <w:u w:val="none"/>
    </w:rPr>
  </w:style>
  <w:style w:type="character" w:customStyle="1" w:styleId="87">
    <w:name w:val="font61"/>
    <w:qFormat/>
    <w:uiPriority w:val="0"/>
    <w:rPr>
      <w:rFonts w:hint="eastAsia" w:ascii="宋体" w:hAnsi="宋体" w:eastAsia="宋体" w:cs="宋体"/>
      <w:color w:val="000000"/>
      <w:sz w:val="21"/>
      <w:szCs w:val="21"/>
      <w:u w:val="none"/>
    </w:rPr>
  </w:style>
  <w:style w:type="character" w:customStyle="1" w:styleId="88">
    <w:name w:val="font21"/>
    <w:qFormat/>
    <w:uiPriority w:val="0"/>
    <w:rPr>
      <w:rFonts w:hint="eastAsia" w:ascii="宋体" w:hAnsi="宋体" w:eastAsia="宋体" w:cs="宋体"/>
      <w:color w:val="000000"/>
      <w:sz w:val="21"/>
      <w:szCs w:val="21"/>
      <w:u w:val="none"/>
      <w:vertAlign w:val="subscript"/>
    </w:rPr>
  </w:style>
  <w:style w:type="character" w:customStyle="1" w:styleId="89">
    <w:name w:val="表格啊啊 Char"/>
    <w:link w:val="90"/>
    <w:qFormat/>
    <w:uiPriority w:val="0"/>
    <w:rPr>
      <w:rFonts w:ascii="Calibri" w:hAnsi="宋体"/>
      <w:kern w:val="2"/>
      <w:sz w:val="21"/>
      <w:szCs w:val="21"/>
    </w:rPr>
  </w:style>
  <w:style w:type="paragraph" w:customStyle="1" w:styleId="90">
    <w:name w:val="表格啊啊"/>
    <w:basedOn w:val="1"/>
    <w:link w:val="89"/>
    <w:qFormat/>
    <w:uiPriority w:val="0"/>
    <w:pPr>
      <w:autoSpaceDE w:val="0"/>
      <w:autoSpaceDN w:val="0"/>
      <w:adjustRightInd w:val="0"/>
      <w:snapToGrid w:val="0"/>
      <w:jc w:val="center"/>
    </w:pPr>
    <w:rPr>
      <w:rFonts w:ascii="Calibri" w:hAnsi="宋体"/>
      <w:szCs w:val="21"/>
    </w:rPr>
  </w:style>
  <w:style w:type="character" w:customStyle="1" w:styleId="91">
    <w:name w:val="页脚 字符"/>
    <w:qFormat/>
    <w:uiPriority w:val="99"/>
  </w:style>
  <w:style w:type="character" w:customStyle="1" w:styleId="92">
    <w:name w:val="鲍伟 正文 Char"/>
    <w:link w:val="93"/>
    <w:qFormat/>
    <w:uiPriority w:val="0"/>
    <w:rPr>
      <w:rFonts w:ascii="宋体" w:hAnsi="宋体"/>
      <w:sz w:val="24"/>
      <w:lang w:val="en-US" w:eastAsia="zh-CN" w:bidi="ar-SA"/>
    </w:rPr>
  </w:style>
  <w:style w:type="paragraph" w:customStyle="1" w:styleId="93">
    <w:name w:val="鲍伟 正文"/>
    <w:link w:val="92"/>
    <w:qFormat/>
    <w:uiPriority w:val="0"/>
    <w:pPr>
      <w:spacing w:line="360" w:lineRule="auto"/>
      <w:ind w:left="-4" w:leftChars="-2" w:firstLine="480" w:firstLineChars="200"/>
      <w:jc w:val="both"/>
    </w:pPr>
    <w:rPr>
      <w:rFonts w:ascii="宋体" w:hAnsi="宋体" w:eastAsia="宋体" w:cs="Times New Roman"/>
      <w:sz w:val="24"/>
      <w:lang w:val="en-US" w:eastAsia="zh-CN" w:bidi="ar-SA"/>
    </w:rPr>
  </w:style>
  <w:style w:type="character" w:customStyle="1" w:styleId="94">
    <w:name w:val="普通(网站) Char"/>
    <w:qFormat/>
    <w:uiPriority w:val="0"/>
    <w:rPr>
      <w:rFonts w:ascii="宋体" w:hAnsi="宋体" w:eastAsia="宋体"/>
      <w:sz w:val="24"/>
    </w:rPr>
  </w:style>
  <w:style w:type="character" w:customStyle="1" w:styleId="95">
    <w:name w:val="正文首行缩进 Char1"/>
    <w:qFormat/>
    <w:uiPriority w:val="0"/>
    <w:rPr>
      <w:kern w:val="2"/>
      <w:sz w:val="21"/>
    </w:rPr>
  </w:style>
  <w:style w:type="character" w:customStyle="1" w:styleId="96">
    <w:name w:val="D新正文 Char"/>
    <w:qFormat/>
    <w:uiPriority w:val="0"/>
    <w:rPr>
      <w:sz w:val="24"/>
    </w:rPr>
  </w:style>
  <w:style w:type="character" w:customStyle="1" w:styleId="97">
    <w:name w:val="info3"/>
    <w:qFormat/>
    <w:uiPriority w:val="0"/>
  </w:style>
  <w:style w:type="character" w:customStyle="1" w:styleId="98">
    <w:name w:val="D图表小四 Char"/>
    <w:link w:val="99"/>
    <w:qFormat/>
    <w:uiPriority w:val="0"/>
    <w:rPr>
      <w:b/>
      <w:kern w:val="2"/>
      <w:sz w:val="24"/>
      <w:szCs w:val="24"/>
    </w:rPr>
  </w:style>
  <w:style w:type="paragraph" w:customStyle="1" w:styleId="99">
    <w:name w:val="D图表小四"/>
    <w:basedOn w:val="1"/>
    <w:link w:val="98"/>
    <w:qFormat/>
    <w:uiPriority w:val="0"/>
    <w:pPr>
      <w:spacing w:before="120" w:after="120"/>
      <w:jc w:val="center"/>
    </w:pPr>
    <w:rPr>
      <w:b/>
      <w:sz w:val="24"/>
    </w:rPr>
  </w:style>
  <w:style w:type="character" w:customStyle="1" w:styleId="100">
    <w:name w:val="font71"/>
    <w:qFormat/>
    <w:uiPriority w:val="0"/>
    <w:rPr>
      <w:rFonts w:hint="default" w:ascii="Times New Roman" w:hAnsi="Times New Roman" w:cs="Times New Roman"/>
      <w:color w:val="000000"/>
      <w:sz w:val="21"/>
      <w:szCs w:val="21"/>
      <w:u w:val="none"/>
    </w:rPr>
  </w:style>
  <w:style w:type="character" w:customStyle="1" w:styleId="101">
    <w:name w:val="表格 Char"/>
    <w:link w:val="102"/>
    <w:qFormat/>
    <w:uiPriority w:val="0"/>
    <w:rPr>
      <w:rFonts w:ascii="宋体"/>
      <w:sz w:val="21"/>
    </w:rPr>
  </w:style>
  <w:style w:type="paragraph" w:customStyle="1" w:styleId="102">
    <w:name w:val="表格"/>
    <w:basedOn w:val="1"/>
    <w:next w:val="1"/>
    <w:link w:val="101"/>
    <w:qFormat/>
    <w:uiPriority w:val="0"/>
    <w:pPr>
      <w:adjustRightInd w:val="0"/>
      <w:snapToGrid w:val="0"/>
      <w:spacing w:beforeLines="10" w:afterLines="10" w:line="259" w:lineRule="auto"/>
      <w:jc w:val="center"/>
    </w:pPr>
    <w:rPr>
      <w:rFonts w:ascii="宋体"/>
      <w:kern w:val="0"/>
      <w:szCs w:val="20"/>
    </w:rPr>
  </w:style>
  <w:style w:type="character" w:customStyle="1" w:styleId="103">
    <w:name w:val="表格 32 Char"/>
    <w:link w:val="104"/>
    <w:qFormat/>
    <w:uiPriority w:val="0"/>
    <w:rPr>
      <w:rFonts w:eastAsia="楷体_GB2312"/>
      <w:sz w:val="24"/>
    </w:rPr>
  </w:style>
  <w:style w:type="paragraph" w:customStyle="1" w:styleId="104">
    <w:name w:val="表格 32"/>
    <w:basedOn w:val="1"/>
    <w:link w:val="103"/>
    <w:qFormat/>
    <w:uiPriority w:val="0"/>
    <w:pPr>
      <w:autoSpaceDE w:val="0"/>
      <w:autoSpaceDN w:val="0"/>
      <w:adjustRightInd w:val="0"/>
      <w:spacing w:line="360" w:lineRule="auto"/>
      <w:jc w:val="center"/>
      <w:textAlignment w:val="baseline"/>
    </w:pPr>
    <w:rPr>
      <w:rFonts w:eastAsia="楷体_GB2312"/>
      <w:kern w:val="0"/>
      <w:sz w:val="24"/>
      <w:szCs w:val="20"/>
    </w:rPr>
  </w:style>
  <w:style w:type="character" w:customStyle="1" w:styleId="105">
    <w:name w:val="表格文字 Char"/>
    <w:qFormat/>
    <w:uiPriority w:val="0"/>
    <w:rPr>
      <w:rFonts w:eastAsia="宋体"/>
      <w:kern w:val="2"/>
      <w:sz w:val="21"/>
      <w:lang w:val="en-US" w:eastAsia="zh-CN" w:bidi="ar-SA"/>
    </w:rPr>
  </w:style>
  <w:style w:type="character" w:customStyle="1" w:styleId="106">
    <w:name w:val="正 Char"/>
    <w:link w:val="107"/>
    <w:qFormat/>
    <w:uiPriority w:val="0"/>
    <w:rPr>
      <w:kern w:val="2"/>
      <w:sz w:val="24"/>
      <w:szCs w:val="24"/>
    </w:rPr>
  </w:style>
  <w:style w:type="paragraph" w:customStyle="1" w:styleId="107">
    <w:name w:val="正"/>
    <w:basedOn w:val="1"/>
    <w:link w:val="106"/>
    <w:qFormat/>
    <w:uiPriority w:val="0"/>
    <w:pPr>
      <w:adjustRightInd w:val="0"/>
      <w:snapToGrid w:val="0"/>
      <w:spacing w:line="360" w:lineRule="auto"/>
      <w:ind w:left="11" w:leftChars="11" w:firstLine="200" w:firstLineChars="200"/>
    </w:pPr>
    <w:rPr>
      <w:sz w:val="24"/>
    </w:rPr>
  </w:style>
  <w:style w:type="character" w:customStyle="1" w:styleId="108">
    <w:name w:val="正文文本 字符1"/>
    <w:semiHidden/>
    <w:qFormat/>
    <w:uiPriority w:val="0"/>
    <w:rPr>
      <w:rFonts w:ascii="Times New Roman" w:hAnsi="Times New Roman" w:eastAsia="宋体"/>
      <w:sz w:val="24"/>
    </w:rPr>
  </w:style>
  <w:style w:type="character" w:customStyle="1" w:styleId="109">
    <w:name w:val="页眉 Char2"/>
    <w:qFormat/>
    <w:uiPriority w:val="0"/>
    <w:rPr>
      <w:kern w:val="2"/>
      <w:sz w:val="18"/>
      <w:szCs w:val="18"/>
    </w:rPr>
  </w:style>
  <w:style w:type="character" w:customStyle="1" w:styleId="110">
    <w:name w:val="副标题 Char1"/>
    <w:qFormat/>
    <w:uiPriority w:val="11"/>
    <w:rPr>
      <w:rFonts w:ascii="Cambria" w:hAnsi="Cambria" w:eastAsia="宋体" w:cs="Times New Roman"/>
      <w:b/>
      <w:bCs/>
      <w:kern w:val="28"/>
      <w:sz w:val="32"/>
      <w:szCs w:val="32"/>
    </w:rPr>
  </w:style>
  <w:style w:type="character" w:customStyle="1" w:styleId="111">
    <w:name w:val="中大正文 Char"/>
    <w:qFormat/>
    <w:uiPriority w:val="0"/>
    <w:rPr>
      <w:rFonts w:hint="eastAsia" w:ascii="宋体" w:hAnsi="宋体" w:eastAsia="宋体" w:cs="宋体"/>
      <w:sz w:val="24"/>
      <w:lang w:val="zh-CN"/>
    </w:rPr>
  </w:style>
  <w:style w:type="character" w:customStyle="1" w:styleId="112">
    <w:name w:val="样式 左侧:  0.99 厘米 Char Char"/>
    <w:link w:val="113"/>
    <w:qFormat/>
    <w:uiPriority w:val="0"/>
    <w:rPr>
      <w:rFonts w:ascii="宋体"/>
      <w:sz w:val="28"/>
    </w:rPr>
  </w:style>
  <w:style w:type="paragraph" w:customStyle="1" w:styleId="113">
    <w:name w:val="样式 左侧:  0.99 厘米"/>
    <w:basedOn w:val="1"/>
    <w:link w:val="112"/>
    <w:qFormat/>
    <w:uiPriority w:val="0"/>
    <w:pPr>
      <w:adjustRightInd w:val="0"/>
      <w:spacing w:line="360" w:lineRule="auto"/>
      <w:jc w:val="left"/>
      <w:textAlignment w:val="baseline"/>
    </w:pPr>
    <w:rPr>
      <w:rFonts w:ascii="宋体"/>
      <w:kern w:val="0"/>
      <w:sz w:val="28"/>
      <w:szCs w:val="20"/>
    </w:rPr>
  </w:style>
  <w:style w:type="character" w:customStyle="1" w:styleId="114">
    <w:name w:val="批注文字 字符1"/>
    <w:semiHidden/>
    <w:qFormat/>
    <w:uiPriority w:val="0"/>
    <w:rPr>
      <w:rFonts w:ascii="Times New Roman" w:hAnsi="Times New Roman" w:eastAsia="宋体"/>
      <w:sz w:val="24"/>
    </w:rPr>
  </w:style>
  <w:style w:type="character" w:customStyle="1" w:styleId="115">
    <w:name w:val="样式 样式 样式 四号 行距: 1.5 倍行距 + 首行缩进:  2 字符 + (西文) 宋体 (中文) 仿宋_GB2312... Char1"/>
    <w:link w:val="116"/>
    <w:qFormat/>
    <w:uiPriority w:val="0"/>
    <w:rPr>
      <w:sz w:val="28"/>
      <w:szCs w:val="28"/>
      <w:lang w:val="zh-CN"/>
    </w:rPr>
  </w:style>
  <w:style w:type="paragraph" w:customStyle="1" w:styleId="116">
    <w:name w:val="样式 样式 样式 四号 行距: 1.5 倍行距 + 首行缩进:  2 字符 + (西文) 宋体 (中文) 仿宋_GB2312..."/>
    <w:basedOn w:val="1"/>
    <w:link w:val="115"/>
    <w:qFormat/>
    <w:uiPriority w:val="0"/>
    <w:pPr>
      <w:widowControl/>
      <w:spacing w:line="500" w:lineRule="atLeast"/>
      <w:ind w:firstLine="560" w:firstLineChars="200"/>
      <w:jc w:val="left"/>
    </w:pPr>
    <w:rPr>
      <w:kern w:val="0"/>
      <w:sz w:val="28"/>
      <w:szCs w:val="28"/>
      <w:lang w:val="zh-CN"/>
    </w:rPr>
  </w:style>
  <w:style w:type="character" w:customStyle="1" w:styleId="117">
    <w:name w:val="页眉 Char"/>
    <w:qFormat/>
    <w:uiPriority w:val="99"/>
  </w:style>
  <w:style w:type="character" w:customStyle="1" w:styleId="118">
    <w:name w:val="样式 正文 +"/>
    <w:qFormat/>
    <w:uiPriority w:val="0"/>
    <w:rPr>
      <w:rFonts w:ascii="Calibri" w:hAnsi="Calibri"/>
      <w:spacing w:val="8"/>
      <w:kern w:val="0"/>
    </w:rPr>
  </w:style>
  <w:style w:type="character" w:customStyle="1" w:styleId="119">
    <w:name w:val="样式19 Char"/>
    <w:link w:val="120"/>
    <w:qFormat/>
    <w:uiPriority w:val="0"/>
    <w:rPr>
      <w:szCs w:val="21"/>
    </w:rPr>
  </w:style>
  <w:style w:type="paragraph" w:customStyle="1" w:styleId="120">
    <w:name w:val="样式19"/>
    <w:basedOn w:val="1"/>
    <w:link w:val="119"/>
    <w:qFormat/>
    <w:uiPriority w:val="0"/>
    <w:pPr>
      <w:spacing w:line="360" w:lineRule="auto"/>
      <w:jc w:val="center"/>
      <w:textAlignment w:val="baseline"/>
    </w:pPr>
    <w:rPr>
      <w:kern w:val="0"/>
      <w:sz w:val="20"/>
      <w:szCs w:val="21"/>
    </w:rPr>
  </w:style>
  <w:style w:type="character" w:customStyle="1" w:styleId="121">
    <w:name w:val="font51"/>
    <w:qFormat/>
    <w:uiPriority w:val="0"/>
    <w:rPr>
      <w:rFonts w:hint="default" w:ascii="Times New Roman" w:hAnsi="Times New Roman" w:cs="Times New Roman"/>
      <w:color w:val="FF0000"/>
      <w:sz w:val="21"/>
      <w:szCs w:val="21"/>
      <w:u w:val="none"/>
    </w:rPr>
  </w:style>
  <w:style w:type="character" w:customStyle="1" w:styleId="122">
    <w:name w:val="纯文本 Char"/>
    <w:qFormat/>
    <w:uiPriority w:val="0"/>
    <w:rPr>
      <w:rFonts w:ascii="Arial Unicode MS" w:hAnsi="Arial Unicode MS" w:eastAsia="Arial Unicode MS" w:cs="Arial Unicode MS"/>
      <w:color w:val="000000"/>
      <w:spacing w:val="0"/>
      <w:w w:val="100"/>
      <w:sz w:val="24"/>
      <w:szCs w:val="24"/>
      <w:u w:val="none" w:color="000000"/>
      <w:vertAlign w:val="baseline"/>
      <w:lang w:val="en-US" w:eastAsia="zh-CN" w:bidi="ar-SA"/>
    </w:rPr>
  </w:style>
  <w:style w:type="character" w:customStyle="1" w:styleId="123">
    <w:name w:val="日期 字符"/>
    <w:semiHidden/>
    <w:qFormat/>
    <w:uiPriority w:val="0"/>
    <w:rPr>
      <w:rFonts w:ascii="Times New Roman" w:hAnsi="Times New Roman" w:eastAsia="宋体"/>
      <w:sz w:val="24"/>
    </w:rPr>
  </w:style>
  <w:style w:type="character" w:customStyle="1" w:styleId="124">
    <w:name w:val="表格文字 Char Char"/>
    <w:link w:val="125"/>
    <w:qFormat/>
    <w:uiPriority w:val="0"/>
    <w:rPr>
      <w:szCs w:val="21"/>
    </w:rPr>
  </w:style>
  <w:style w:type="paragraph" w:customStyle="1" w:styleId="125">
    <w:name w:val="表格文字"/>
    <w:basedOn w:val="1"/>
    <w:link w:val="124"/>
    <w:qFormat/>
    <w:uiPriority w:val="0"/>
    <w:pPr>
      <w:adjustRightInd w:val="0"/>
      <w:jc w:val="center"/>
      <w:textAlignment w:val="baseline"/>
    </w:pPr>
    <w:rPr>
      <w:kern w:val="0"/>
      <w:sz w:val="20"/>
      <w:szCs w:val="21"/>
    </w:rPr>
  </w:style>
  <w:style w:type="character" w:customStyle="1" w:styleId="126">
    <w:name w:val="标题 3 Char5"/>
    <w:qFormat/>
    <w:uiPriority w:val="0"/>
    <w:rPr>
      <w:b/>
      <w:kern w:val="2"/>
      <w:sz w:val="32"/>
      <w:szCs w:val="32"/>
    </w:rPr>
  </w:style>
  <w:style w:type="character" w:customStyle="1" w:styleId="127">
    <w:name w:val="表头 Char Char"/>
    <w:qFormat/>
    <w:uiPriority w:val="0"/>
    <w:rPr>
      <w:rFonts w:eastAsia="黑体"/>
      <w:spacing w:val="10"/>
      <w:sz w:val="28"/>
    </w:rPr>
  </w:style>
  <w:style w:type="character" w:customStyle="1" w:styleId="128">
    <w:name w:val="正文格式 Char Char"/>
    <w:link w:val="129"/>
    <w:qFormat/>
    <w:uiPriority w:val="0"/>
    <w:rPr>
      <w:rFonts w:cs="宋体"/>
      <w:sz w:val="24"/>
      <w:szCs w:val="24"/>
    </w:rPr>
  </w:style>
  <w:style w:type="paragraph" w:customStyle="1" w:styleId="129">
    <w:name w:val="正文格式"/>
    <w:basedOn w:val="1"/>
    <w:link w:val="128"/>
    <w:qFormat/>
    <w:uiPriority w:val="0"/>
    <w:pPr>
      <w:spacing w:line="360" w:lineRule="auto"/>
      <w:ind w:firstLine="544" w:firstLineChars="200"/>
    </w:pPr>
    <w:rPr>
      <w:kern w:val="0"/>
      <w:sz w:val="24"/>
    </w:rPr>
  </w:style>
  <w:style w:type="character" w:customStyle="1" w:styleId="130">
    <w:name w:val="中大表格内容 Char"/>
    <w:link w:val="131"/>
    <w:qFormat/>
    <w:uiPriority w:val="0"/>
    <w:rPr>
      <w:rFonts w:ascii="宋体" w:hAnsi="宋体"/>
      <w:szCs w:val="21"/>
      <w:lang w:val="zh-CN"/>
    </w:rPr>
  </w:style>
  <w:style w:type="paragraph" w:customStyle="1" w:styleId="131">
    <w:name w:val="中大表格内容"/>
    <w:basedOn w:val="1"/>
    <w:link w:val="130"/>
    <w:qFormat/>
    <w:uiPriority w:val="0"/>
    <w:pPr>
      <w:wordWrap w:val="0"/>
      <w:autoSpaceDE w:val="0"/>
      <w:autoSpaceDN w:val="0"/>
      <w:adjustRightInd w:val="0"/>
      <w:jc w:val="center"/>
    </w:pPr>
    <w:rPr>
      <w:rFonts w:ascii="宋体" w:hAnsi="宋体"/>
      <w:kern w:val="0"/>
      <w:sz w:val="20"/>
      <w:szCs w:val="21"/>
      <w:lang w:val="zh-CN"/>
    </w:rPr>
  </w:style>
  <w:style w:type="character" w:customStyle="1" w:styleId="132">
    <w:name w:val="正文缩进 Char"/>
    <w:qFormat/>
    <w:uiPriority w:val="0"/>
    <w:rPr>
      <w:rFonts w:ascii="Times New Roman" w:eastAsia="宋体"/>
      <w:color w:val="000000"/>
      <w:spacing w:val="0"/>
      <w:w w:val="100"/>
      <w:kern w:val="2"/>
      <w:sz w:val="21"/>
      <w:u w:val="none" w:color="000000"/>
      <w:vertAlign w:val="baseline"/>
      <w:lang w:val="en-US" w:eastAsia="zh-CN" w:bidi="ar-SA"/>
    </w:rPr>
  </w:style>
  <w:style w:type="character" w:customStyle="1" w:styleId="133">
    <w:name w:val="标题 Char1"/>
    <w:qFormat/>
    <w:uiPriority w:val="10"/>
    <w:rPr>
      <w:rFonts w:ascii="Cambria" w:hAnsi="Cambria" w:eastAsia="宋体" w:cs="Times New Roman"/>
      <w:b/>
      <w:bCs/>
      <w:sz w:val="32"/>
      <w:szCs w:val="32"/>
    </w:rPr>
  </w:style>
  <w:style w:type="character" w:customStyle="1" w:styleId="134">
    <w:name w:val="表头 Char"/>
    <w:link w:val="135"/>
    <w:qFormat/>
    <w:uiPriority w:val="0"/>
    <w:rPr>
      <w:rFonts w:eastAsia="黑体"/>
      <w:spacing w:val="10"/>
      <w:kern w:val="2"/>
      <w:sz w:val="28"/>
      <w:lang w:val="en-US" w:eastAsia="zh-CN" w:bidi="ar-SA"/>
    </w:rPr>
  </w:style>
  <w:style w:type="paragraph" w:customStyle="1" w:styleId="135">
    <w:name w:val="表头"/>
    <w:basedOn w:val="1"/>
    <w:link w:val="134"/>
    <w:qFormat/>
    <w:uiPriority w:val="0"/>
    <w:pPr>
      <w:spacing w:beforeLines="50" w:afterLines="50" w:line="500" w:lineRule="exact"/>
      <w:jc w:val="center"/>
    </w:pPr>
    <w:rPr>
      <w:rFonts w:eastAsia="黑体"/>
      <w:spacing w:val="10"/>
      <w:sz w:val="28"/>
      <w:szCs w:val="20"/>
    </w:rPr>
  </w:style>
  <w:style w:type="character" w:customStyle="1" w:styleId="136">
    <w:name w:val="yt表头 Char"/>
    <w:link w:val="137"/>
    <w:qFormat/>
    <w:uiPriority w:val="0"/>
    <w:rPr>
      <w:b/>
      <w:kern w:val="2"/>
      <w:sz w:val="21"/>
      <w:szCs w:val="21"/>
    </w:rPr>
  </w:style>
  <w:style w:type="paragraph" w:customStyle="1" w:styleId="137">
    <w:name w:val="yt表头"/>
    <w:basedOn w:val="1"/>
    <w:next w:val="1"/>
    <w:link w:val="136"/>
    <w:qFormat/>
    <w:uiPriority w:val="0"/>
    <w:pPr>
      <w:spacing w:before="50" w:beforeLines="50"/>
      <w:jc w:val="center"/>
    </w:pPr>
    <w:rPr>
      <w:b/>
      <w:szCs w:val="21"/>
    </w:rPr>
  </w:style>
  <w:style w:type="character" w:customStyle="1" w:styleId="138">
    <w:name w:val="hzw表标题 Char"/>
    <w:link w:val="139"/>
    <w:qFormat/>
    <w:uiPriority w:val="0"/>
    <w:rPr>
      <w:b/>
      <w:kern w:val="2"/>
      <w:sz w:val="21"/>
      <w:szCs w:val="22"/>
    </w:rPr>
  </w:style>
  <w:style w:type="paragraph" w:customStyle="1" w:styleId="139">
    <w:name w:val="hzw表标题"/>
    <w:basedOn w:val="1"/>
    <w:link w:val="138"/>
    <w:qFormat/>
    <w:uiPriority w:val="0"/>
    <w:pPr>
      <w:jc w:val="center"/>
      <w:outlineLvl w:val="8"/>
    </w:pPr>
    <w:rPr>
      <w:b/>
      <w:szCs w:val="22"/>
    </w:rPr>
  </w:style>
  <w:style w:type="character" w:customStyle="1" w:styleId="140">
    <w:name w:val="正文文本缩进 Char1"/>
    <w:semiHidden/>
    <w:qFormat/>
    <w:uiPriority w:val="99"/>
    <w:rPr>
      <w:rFonts w:ascii="Times New Roman" w:hAnsi="Times New Roman" w:eastAsia="宋体" w:cs="Times New Roman"/>
      <w:szCs w:val="24"/>
    </w:rPr>
  </w:style>
  <w:style w:type="paragraph" w:customStyle="1" w:styleId="141">
    <w:name w:val="正文样式1"/>
    <w:basedOn w:val="1"/>
    <w:qFormat/>
    <w:uiPriority w:val="0"/>
    <w:pPr>
      <w:adjustRightInd w:val="0"/>
      <w:spacing w:line="480" w:lineRule="atLeast"/>
      <w:ind w:firstLine="567"/>
      <w:jc w:val="left"/>
      <w:textAlignment w:val="baseline"/>
    </w:pPr>
    <w:rPr>
      <w:kern w:val="0"/>
      <w:sz w:val="28"/>
      <w:szCs w:val="20"/>
    </w:rPr>
  </w:style>
  <w:style w:type="paragraph" w:customStyle="1" w:styleId="142">
    <w:name w:val="小表格中内容"/>
    <w:basedOn w:val="1"/>
    <w:qFormat/>
    <w:uiPriority w:val="0"/>
    <w:pPr>
      <w:shd w:val="solid" w:color="FFFFFF" w:fill="auto"/>
      <w:tabs>
        <w:tab w:val="left" w:pos="960"/>
      </w:tabs>
      <w:autoSpaceDN w:val="0"/>
      <w:ind w:firstLine="0" w:firstLineChars="0"/>
      <w:jc w:val="center"/>
    </w:pPr>
    <w:rPr>
      <w:rFonts w:ascii="宋体" w:hAnsi="宋体"/>
      <w:sz w:val="21"/>
      <w:szCs w:val="21"/>
      <w:shd w:val="clear" w:color="auto" w:fill="FFFFFF"/>
    </w:rPr>
  </w:style>
  <w:style w:type="paragraph" w:customStyle="1" w:styleId="143">
    <w:name w:val=" Char Char Char Char Char Char"/>
    <w:basedOn w:val="1"/>
    <w:qFormat/>
    <w:uiPriority w:val="0"/>
    <w:pPr>
      <w:adjustRightInd w:val="0"/>
      <w:spacing w:line="312" w:lineRule="atLeast"/>
      <w:ind w:firstLine="0" w:firstLineChars="0"/>
      <w:textAlignment w:val="baseline"/>
    </w:pPr>
    <w:rPr>
      <w:rFonts w:ascii="Times New Roman" w:hAnsi="Times New Roman"/>
      <w:bCs/>
      <w:kern w:val="0"/>
    </w:rPr>
  </w:style>
  <w:style w:type="paragraph" w:customStyle="1" w:styleId="14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Char Char Char Char2"/>
    <w:basedOn w:val="1"/>
    <w:qFormat/>
    <w:uiPriority w:val="0"/>
    <w:pPr>
      <w:spacing w:line="360" w:lineRule="auto"/>
      <w:ind w:firstLine="200" w:firstLineChars="200"/>
    </w:pPr>
    <w:rPr>
      <w:rFonts w:ascii="宋体" w:hAnsi="宋体" w:cs="宋体"/>
      <w:sz w:val="24"/>
    </w:rPr>
  </w:style>
  <w:style w:type="paragraph" w:customStyle="1" w:styleId="146">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147">
    <w:name w:val="六表内容"/>
    <w:basedOn w:val="1"/>
    <w:qFormat/>
    <w:uiPriority w:val="0"/>
    <w:pPr>
      <w:spacing w:line="340" w:lineRule="exact"/>
      <w:jc w:val="center"/>
    </w:pPr>
    <w:rPr>
      <w:rFonts w:ascii="Calibri" w:hAnsi="Calibri"/>
      <w:szCs w:val="21"/>
    </w:rPr>
  </w:style>
  <w:style w:type="paragraph" w:customStyle="1" w:styleId="148">
    <w:name w:val="表格文字112"/>
    <w:basedOn w:val="1"/>
    <w:qFormat/>
    <w:uiPriority w:val="0"/>
    <w:pPr>
      <w:widowControl w:val="0"/>
      <w:wordWrap w:val="0"/>
      <w:autoSpaceDE w:val="0"/>
      <w:autoSpaceDN w:val="0"/>
      <w:snapToGrid/>
      <w:spacing w:line="240" w:lineRule="auto"/>
      <w:ind w:firstLine="0" w:firstLineChars="0"/>
      <w:jc w:val="center"/>
    </w:pPr>
    <w:rPr>
      <w:kern w:val="0"/>
      <w:sz w:val="21"/>
      <w:szCs w:val="24"/>
    </w:rPr>
  </w:style>
  <w:style w:type="paragraph" w:customStyle="1" w:styleId="149">
    <w:name w:val="p15"/>
    <w:basedOn w:val="1"/>
    <w:qFormat/>
    <w:uiPriority w:val="0"/>
    <w:pPr>
      <w:widowControl/>
      <w:snapToGrid w:val="0"/>
      <w:spacing w:before="40" w:line="240" w:lineRule="atLeast"/>
      <w:ind w:firstLine="420"/>
      <w:jc w:val="center"/>
    </w:pPr>
    <w:rPr>
      <w:rFonts w:ascii="宋体" w:hAnsi="宋体" w:cs="宋体"/>
      <w:kern w:val="0"/>
      <w:szCs w:val="21"/>
    </w:rPr>
  </w:style>
  <w:style w:type="paragraph" w:customStyle="1" w:styleId="150">
    <w:name w:val="报告"/>
    <w:basedOn w:val="1"/>
    <w:qFormat/>
    <w:uiPriority w:val="0"/>
    <w:pPr>
      <w:spacing w:line="360" w:lineRule="auto"/>
      <w:ind w:firstLine="560" w:firstLineChars="200"/>
    </w:pPr>
    <w:rPr>
      <w:sz w:val="28"/>
    </w:rPr>
  </w:style>
  <w:style w:type="paragraph" w:customStyle="1" w:styleId="151">
    <w:name w:val="Char Char5 Char Char"/>
    <w:basedOn w:val="1"/>
    <w:next w:val="1"/>
    <w:qFormat/>
    <w:uiPriority w:val="0"/>
    <w:pPr>
      <w:spacing w:line="360" w:lineRule="auto"/>
      <w:ind w:firstLine="200" w:firstLineChars="200"/>
    </w:pPr>
    <w:rPr>
      <w:szCs w:val="20"/>
    </w:rPr>
  </w:style>
  <w:style w:type="paragraph" w:customStyle="1" w:styleId="152">
    <w:name w:val="xl26"/>
    <w:qFormat/>
    <w:uiPriority w:val="0"/>
    <w:pPr>
      <w:pBdr>
        <w:top w:val="none" w:color="000000" w:sz="0" w:space="3"/>
        <w:left w:val="single" w:color="000000" w:sz="4" w:space="0"/>
        <w:bottom w:val="single" w:color="000000" w:sz="4" w:space="0"/>
        <w:right w:val="single" w:color="000000" w:sz="4" w:space="0"/>
        <w:between w:val="none" w:color="000000" w:sz="0" w:space="0"/>
      </w:pBdr>
      <w:spacing w:before="100" w:beforeAutospacing="1" w:after="100" w:afterAutospacing="1" w:line="360" w:lineRule="auto"/>
      <w:jc w:val="center"/>
    </w:pPr>
    <w:rPr>
      <w:rFonts w:ascii="宋体" w:hAnsi="宋体" w:eastAsia="宋体" w:cs="Times New Roman"/>
      <w:kern w:val="1"/>
      <w:sz w:val="24"/>
      <w:szCs w:val="21"/>
      <w:lang w:val="en-US" w:eastAsia="zh-CN" w:bidi="ar-SA"/>
    </w:rPr>
  </w:style>
  <w:style w:type="paragraph" w:customStyle="1" w:styleId="153">
    <w:name w:val="样式 小四 行距: 1.5 倍行距2"/>
    <w:qFormat/>
    <w:uiPriority w:val="0"/>
    <w:pPr>
      <w:widowControl w:val="0"/>
      <w:spacing w:line="360" w:lineRule="auto"/>
      <w:ind w:firstLine="480"/>
      <w:jc w:val="both"/>
    </w:pPr>
    <w:rPr>
      <w:rFonts w:ascii="Times New Roman" w:hAnsi="Times New Roman" w:eastAsia="宋体" w:cs="宋体"/>
      <w:kern w:val="1"/>
      <w:sz w:val="24"/>
      <w:lang w:val="en-US" w:eastAsia="zh-CN" w:bidi="ar-SA"/>
    </w:rPr>
  </w:style>
  <w:style w:type="paragraph" w:customStyle="1" w:styleId="154">
    <w:name w:val="503定义正文"/>
    <w:basedOn w:val="1"/>
    <w:qFormat/>
    <w:uiPriority w:val="0"/>
    <w:pPr>
      <w:adjustRightInd w:val="0"/>
      <w:snapToGrid w:val="0"/>
      <w:spacing w:line="360" w:lineRule="auto"/>
      <w:ind w:firstLine="200" w:firstLineChars="200"/>
    </w:pPr>
    <w:rPr>
      <w:sz w:val="24"/>
    </w:rPr>
  </w:style>
  <w:style w:type="paragraph" w:customStyle="1" w:styleId="155">
    <w:name w:val="D表内1磅"/>
    <w:basedOn w:val="1"/>
    <w:qFormat/>
    <w:uiPriority w:val="0"/>
    <w:pPr>
      <w:spacing w:before="20" w:after="20"/>
      <w:jc w:val="center"/>
    </w:pPr>
    <w:rPr>
      <w:szCs w:val="21"/>
    </w:rPr>
  </w:style>
  <w:style w:type="paragraph" w:customStyle="1" w:styleId="156">
    <w:name w:val="Char Char Char Char"/>
    <w:basedOn w:val="1"/>
    <w:next w:val="157"/>
    <w:qFormat/>
    <w:uiPriority w:val="0"/>
    <w:pPr>
      <w:spacing w:line="360" w:lineRule="auto"/>
      <w:ind w:firstLine="200" w:firstLineChars="200"/>
    </w:pPr>
    <w:rPr>
      <w:rFonts w:ascii="宋体" w:hAnsi="宋体" w:cs="宋体"/>
      <w:sz w:val="24"/>
    </w:rPr>
  </w:style>
  <w:style w:type="paragraph" w:customStyle="1" w:styleId="157">
    <w:name w:val="正文 New New New New New New New New New New New New New New New New New New New New New New New New New"/>
    <w:next w:val="158"/>
    <w:qFormat/>
    <w:uiPriority w:val="0"/>
    <w:pPr>
      <w:widowControl w:val="0"/>
      <w:jc w:val="both"/>
    </w:pPr>
    <w:rPr>
      <w:rFonts w:ascii="Times New Roman" w:hAnsi="Times New Roman" w:eastAsia="宋体" w:cs="Times New Roman"/>
      <w:sz w:val="21"/>
      <w:lang w:val="en-US" w:eastAsia="zh-CN" w:bidi="ar-SA"/>
    </w:rPr>
  </w:style>
  <w:style w:type="paragraph" w:customStyle="1" w:styleId="158">
    <w:name w:val="xl48"/>
    <w:basedOn w:val="1"/>
    <w:next w:val="159"/>
    <w:qFormat/>
    <w:uiPriority w:val="0"/>
    <w:pPr>
      <w:widowControl/>
      <w:spacing w:before="280" w:after="280" w:line="360" w:lineRule="auto"/>
    </w:pPr>
    <w:rPr>
      <w:rFonts w:ascii="宋体"/>
    </w:rPr>
  </w:style>
  <w:style w:type="paragraph" w:customStyle="1" w:styleId="159">
    <w:name w:val="我的标题2"/>
    <w:basedOn w:val="1"/>
    <w:next w:val="32"/>
    <w:qFormat/>
    <w:uiPriority w:val="0"/>
    <w:pPr>
      <w:spacing w:line="300" w:lineRule="exact"/>
      <w:ind w:firstLine="23"/>
    </w:pPr>
    <w:rPr>
      <w:sz w:val="18"/>
    </w:rPr>
  </w:style>
  <w:style w:type="paragraph" w:customStyle="1" w:styleId="160">
    <w:name w:val="样式7"/>
    <w:basedOn w:val="1"/>
    <w:qFormat/>
    <w:uiPriority w:val="0"/>
    <w:pPr>
      <w:spacing w:line="500" w:lineRule="atLeast"/>
      <w:ind w:firstLine="560" w:firstLineChars="200"/>
    </w:pPr>
    <w:rPr>
      <w:rFonts w:cs="宋体"/>
      <w:color w:val="000000"/>
      <w:sz w:val="28"/>
      <w:szCs w:val="20"/>
    </w:rPr>
  </w:style>
  <w:style w:type="paragraph" w:customStyle="1" w:styleId="161">
    <w:name w:val="p0"/>
    <w:basedOn w:val="1"/>
    <w:qFormat/>
    <w:uiPriority w:val="0"/>
    <w:pPr>
      <w:widowControl/>
    </w:pPr>
    <w:rPr>
      <w:kern w:val="0"/>
      <w:szCs w:val="21"/>
    </w:rPr>
  </w:style>
  <w:style w:type="paragraph" w:customStyle="1" w:styleId="162">
    <w:name w:val="Char Char Char Char1"/>
    <w:basedOn w:val="1"/>
    <w:qFormat/>
    <w:uiPriority w:val="0"/>
    <w:pPr>
      <w:spacing w:line="360" w:lineRule="auto"/>
      <w:ind w:firstLine="200" w:firstLineChars="200"/>
    </w:pPr>
    <w:rPr>
      <w:rFonts w:ascii="宋体" w:hAnsi="宋体" w:cs="宋体"/>
      <w:sz w:val="24"/>
    </w:rPr>
  </w:style>
  <w:style w:type="paragraph" w:customStyle="1" w:styleId="163">
    <w:name w:val="超伦表头"/>
    <w:basedOn w:val="10"/>
    <w:qFormat/>
    <w:uiPriority w:val="0"/>
    <w:pPr>
      <w:spacing w:line="240" w:lineRule="auto"/>
      <w:ind w:firstLine="0" w:firstLineChars="0"/>
      <w:jc w:val="center"/>
    </w:pPr>
    <w:rPr>
      <w:rFonts w:ascii="Times New Roman" w:hAnsi="Times New Roman" w:eastAsia="宋体"/>
      <w:b/>
      <w:sz w:val="21"/>
      <w:szCs w:val="24"/>
    </w:rPr>
  </w:style>
  <w:style w:type="paragraph" w:customStyle="1" w:styleId="164">
    <w:name w:val="Char Char1"/>
    <w:basedOn w:val="1"/>
    <w:qFormat/>
    <w:uiPriority w:val="0"/>
    <w:pPr>
      <w:snapToGrid w:val="0"/>
      <w:spacing w:line="360" w:lineRule="auto"/>
      <w:ind w:firstLine="529" w:firstLineChars="200"/>
    </w:pPr>
    <w:rPr>
      <w:rFonts w:ascii="宋体" w:hAnsi="宋体"/>
      <w:b/>
    </w:rPr>
  </w:style>
  <w:style w:type="paragraph" w:customStyle="1" w:styleId="165">
    <w:name w:val="reader-word-layer"/>
    <w:basedOn w:val="1"/>
    <w:qFormat/>
    <w:uiPriority w:val="0"/>
    <w:pPr>
      <w:widowControl/>
      <w:spacing w:beforeAutospacing="1" w:afterAutospacing="1"/>
      <w:jc w:val="left"/>
    </w:pPr>
    <w:rPr>
      <w:rFonts w:hint="eastAsia" w:ascii="宋体" w:hAnsi="宋体"/>
      <w:kern w:val="0"/>
      <w:sz w:val="24"/>
    </w:rPr>
  </w:style>
  <w:style w:type="paragraph" w:customStyle="1" w:styleId="166">
    <w:name w:val="1"/>
    <w:basedOn w:val="1"/>
    <w:qFormat/>
    <w:uiPriority w:val="0"/>
    <w:pPr>
      <w:spacing w:line="360" w:lineRule="auto"/>
      <w:ind w:firstLine="200" w:firstLineChars="200"/>
    </w:pPr>
    <w:rPr>
      <w:rFonts w:ascii="宋体" w:hAnsi="宋体" w:cs="宋体"/>
      <w:sz w:val="24"/>
    </w:rPr>
  </w:style>
  <w:style w:type="paragraph" w:customStyle="1" w:styleId="167">
    <w:name w:val="declear1"/>
    <w:basedOn w:val="1"/>
    <w:qFormat/>
    <w:uiPriority w:val="0"/>
    <w:pPr>
      <w:widowControl/>
      <w:spacing w:after="30" w:line="240" w:lineRule="atLeast"/>
      <w:jc w:val="left"/>
    </w:pPr>
    <w:rPr>
      <w:rFonts w:ascii="宋体" w:hAnsi="宋体" w:cs="宋体"/>
      <w:vanish/>
      <w:color w:val="999999"/>
      <w:kern w:val="0"/>
      <w:sz w:val="18"/>
      <w:szCs w:val="18"/>
    </w:rPr>
  </w:style>
  <w:style w:type="paragraph" w:customStyle="1" w:styleId="168">
    <w:name w:val="三级标题"/>
    <w:basedOn w:val="1"/>
    <w:next w:val="44"/>
    <w:qFormat/>
    <w:uiPriority w:val="0"/>
    <w:pPr>
      <w:adjustRightInd w:val="0"/>
      <w:snapToGrid w:val="0"/>
      <w:spacing w:line="360" w:lineRule="exact"/>
      <w:jc w:val="center"/>
    </w:pPr>
    <w:rPr>
      <w:bCs/>
      <w:sz w:val="24"/>
      <w:szCs w:val="20"/>
    </w:rPr>
  </w:style>
  <w:style w:type="paragraph" w:customStyle="1" w:styleId="1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70">
    <w:name w:val="1 Char Char Char Char Char Char Char Char"/>
    <w:basedOn w:val="1"/>
    <w:qFormat/>
    <w:uiPriority w:val="0"/>
    <w:rPr>
      <w:sz w:val="24"/>
    </w:rPr>
  </w:style>
  <w:style w:type="paragraph" w:customStyle="1" w:styleId="171">
    <w:name w:val="图表头"/>
    <w:basedOn w:val="1"/>
    <w:qFormat/>
    <w:uiPriority w:val="0"/>
    <w:pPr>
      <w:adjustRightInd w:val="0"/>
      <w:spacing w:line="288" w:lineRule="auto"/>
      <w:jc w:val="center"/>
      <w:textAlignment w:val="baseline"/>
    </w:pPr>
    <w:rPr>
      <w:rFonts w:hAnsi="宋体"/>
      <w:szCs w:val="20"/>
    </w:rPr>
  </w:style>
  <w:style w:type="paragraph" w:customStyle="1" w:styleId="172">
    <w:name w:val="标准正文"/>
    <w:basedOn w:val="1"/>
    <w:qFormat/>
    <w:uiPriority w:val="0"/>
    <w:pPr>
      <w:spacing w:line="280" w:lineRule="exact"/>
      <w:ind w:firstLine="480" w:firstLineChars="200"/>
    </w:pPr>
    <w:rPr>
      <w:rFonts w:hAnsi="宋体"/>
      <w:bCs/>
    </w:rPr>
  </w:style>
  <w:style w:type="paragraph" w:customStyle="1" w:styleId="173">
    <w:name w:val="样式 标题 4 + (西文) Times New Roman (中文) 宋体 四号 行距: 固定值 24 磅"/>
    <w:basedOn w:val="1"/>
    <w:qFormat/>
    <w:uiPriority w:val="0"/>
    <w:pPr>
      <w:tabs>
        <w:tab w:val="left" w:pos="0"/>
      </w:tabs>
    </w:pPr>
    <w:rPr>
      <w:rFonts w:ascii="宋体"/>
      <w:sz w:val="26"/>
      <w:szCs w:val="20"/>
    </w:rPr>
  </w:style>
  <w:style w:type="paragraph" w:customStyle="1" w:styleId="174">
    <w:name w:val="正文首行缩进1 Char Char Char1 Char Char Char Char Char Char Char Char Char Char"/>
    <w:basedOn w:val="1"/>
    <w:next w:val="1"/>
    <w:qFormat/>
    <w:uiPriority w:val="0"/>
    <w:rPr>
      <w:sz w:val="30"/>
    </w:rPr>
  </w:style>
  <w:style w:type="paragraph" w:customStyle="1" w:styleId="175">
    <w:name w:val="font0"/>
    <w:basedOn w:val="1"/>
    <w:qFormat/>
    <w:uiPriority w:val="0"/>
    <w:pPr>
      <w:widowControl/>
      <w:spacing w:before="100" w:after="100" w:line="140" w:lineRule="atLeast"/>
      <w:jc w:val="left"/>
    </w:pPr>
    <w:rPr>
      <w:rFonts w:hint="eastAsia" w:ascii="宋体" w:hAnsi="宋体"/>
      <w:kern w:val="0"/>
      <w:sz w:val="24"/>
      <w:szCs w:val="20"/>
    </w:rPr>
  </w:style>
  <w:style w:type="paragraph" w:customStyle="1" w:styleId="176">
    <w:name w:val="列出段落2"/>
    <w:basedOn w:val="1"/>
    <w:unhideWhenUsed/>
    <w:qFormat/>
    <w:uiPriority w:val="99"/>
    <w:pPr>
      <w:ind w:firstLine="420" w:firstLineChars="200"/>
    </w:pPr>
  </w:style>
  <w:style w:type="paragraph" w:customStyle="1" w:styleId="177">
    <w:name w:val="样式 标题 2 + Times New Roman 左侧:  0 厘米 首行缩进:  0 厘米 行距: 固定值 24 磅"/>
    <w:basedOn w:val="1"/>
    <w:qFormat/>
    <w:uiPriority w:val="0"/>
    <w:pPr>
      <w:tabs>
        <w:tab w:val="left" w:pos="274"/>
      </w:tabs>
      <w:ind w:left="274" w:hanging="274"/>
    </w:pPr>
    <w:rPr>
      <w:rFonts w:ascii="宋体"/>
      <w:sz w:val="26"/>
      <w:szCs w:val="20"/>
    </w:rPr>
  </w:style>
  <w:style w:type="paragraph" w:customStyle="1" w:styleId="178">
    <w:name w:val="样式 样式 样式 标题 1 + 居中 左侧:  0 厘米 首行缩进:  0 厘米 段前: 0.5 行 段后: 0.5 行 行距:..."/>
    <w:basedOn w:val="1"/>
    <w:qFormat/>
    <w:uiPriority w:val="0"/>
    <w:pPr>
      <w:tabs>
        <w:tab w:val="left" w:pos="0"/>
      </w:tabs>
      <w:ind w:left="680" w:hanging="680"/>
    </w:pPr>
    <w:rPr>
      <w:rFonts w:ascii="宋体"/>
      <w:sz w:val="26"/>
      <w:szCs w:val="20"/>
    </w:rPr>
  </w:style>
  <w:style w:type="paragraph" w:customStyle="1" w:styleId="179">
    <w:name w:val="Table Paragraph"/>
    <w:basedOn w:val="1"/>
    <w:next w:val="156"/>
    <w:qFormat/>
    <w:uiPriority w:val="99"/>
    <w:pPr>
      <w:jc w:val="left"/>
    </w:pPr>
    <w:rPr>
      <w:rFonts w:ascii="Calibri" w:hAnsi="Calibri"/>
      <w:kern w:val="0"/>
      <w:sz w:val="22"/>
      <w:szCs w:val="22"/>
    </w:rPr>
  </w:style>
  <w:style w:type="paragraph" w:customStyle="1" w:styleId="180">
    <w:name w:val="样式17"/>
    <w:basedOn w:val="1"/>
    <w:qFormat/>
    <w:uiPriority w:val="0"/>
    <w:pPr>
      <w:spacing w:beforeLines="50" w:afterLines="50" w:line="360" w:lineRule="auto"/>
      <w:ind w:firstLine="480" w:firstLineChars="200"/>
      <w:jc w:val="left"/>
    </w:pPr>
  </w:style>
  <w:style w:type="paragraph" w:customStyle="1" w:styleId="181">
    <w:name w:val="标题样式2"/>
    <w:basedOn w:val="1"/>
    <w:qFormat/>
    <w:uiPriority w:val="0"/>
    <w:pPr>
      <w:adjustRightInd w:val="0"/>
      <w:spacing w:line="480" w:lineRule="atLeast"/>
      <w:jc w:val="left"/>
      <w:textAlignment w:val="baseline"/>
    </w:pPr>
    <w:rPr>
      <w:kern w:val="0"/>
      <w:sz w:val="28"/>
      <w:szCs w:val="20"/>
    </w:rPr>
  </w:style>
  <w:style w:type="paragraph" w:customStyle="1" w:styleId="182">
    <w:name w:val="表"/>
    <w:basedOn w:val="1"/>
    <w:qFormat/>
    <w:uiPriority w:val="0"/>
    <w:pPr>
      <w:snapToGrid w:val="0"/>
      <w:jc w:val="center"/>
    </w:pPr>
    <w:rPr>
      <w:spacing w:val="2"/>
      <w:sz w:val="24"/>
      <w:szCs w:val="20"/>
    </w:rPr>
  </w:style>
  <w:style w:type="paragraph" w:customStyle="1" w:styleId="183">
    <w:name w:val="彩色列表 - 强调文字颜色 11"/>
    <w:basedOn w:val="1"/>
    <w:qFormat/>
    <w:uiPriority w:val="0"/>
    <w:pPr>
      <w:ind w:firstLine="420" w:firstLineChars="200"/>
    </w:pPr>
  </w:style>
  <w:style w:type="paragraph" w:customStyle="1" w:styleId="184">
    <w:name w:val="图表名00"/>
    <w:basedOn w:val="1"/>
    <w:next w:val="38"/>
    <w:qFormat/>
    <w:uiPriority w:val="0"/>
    <w:pPr>
      <w:jc w:val="center"/>
    </w:pPr>
    <w:rPr>
      <w:rFonts w:ascii="仿宋" w:hAnsi="仿宋" w:eastAsia="仿宋_GB2312"/>
      <w:b/>
      <w:iCs/>
      <w:sz w:val="30"/>
      <w:szCs w:val="30"/>
    </w:rPr>
  </w:style>
  <w:style w:type="paragraph" w:customStyle="1" w:styleId="185">
    <w:name w:val="样式 (符号) 宋体 四号 黑色 行距: 固定值 28磅"/>
    <w:basedOn w:val="1"/>
    <w:qFormat/>
    <w:uiPriority w:val="0"/>
    <w:pPr>
      <w:spacing w:line="360" w:lineRule="auto"/>
      <w:ind w:firstLine="480" w:firstLineChars="200"/>
      <w:jc w:val="left"/>
    </w:pPr>
    <w:rPr>
      <w:rFonts w:hint="eastAsia" w:ascii="宋体" w:hAnsi="宋体"/>
      <w:sz w:val="24"/>
      <w:szCs w:val="20"/>
    </w:rPr>
  </w:style>
  <w:style w:type="paragraph" w:customStyle="1" w:styleId="186">
    <w:name w:val="报告书正文-宇宏"/>
    <w:basedOn w:val="1"/>
    <w:qFormat/>
    <w:uiPriority w:val="0"/>
    <w:pPr>
      <w:spacing w:line="480" w:lineRule="exact"/>
      <w:ind w:firstLine="200" w:firstLineChars="200"/>
    </w:pPr>
    <w:rPr>
      <w:sz w:val="24"/>
    </w:rPr>
  </w:style>
  <w:style w:type="paragraph" w:customStyle="1" w:styleId="187">
    <w:name w:val="bt"/>
    <w:basedOn w:val="1"/>
    <w:qFormat/>
    <w:uiPriority w:val="0"/>
    <w:pPr>
      <w:spacing w:line="288" w:lineRule="auto"/>
      <w:jc w:val="center"/>
    </w:pPr>
    <w:rPr>
      <w:b/>
      <w:bCs/>
      <w:sz w:val="24"/>
      <w:szCs w:val="21"/>
    </w:rPr>
  </w:style>
  <w:style w:type="paragraph" w:customStyle="1" w:styleId="188">
    <w:name w:val="正文罗"/>
    <w:basedOn w:val="1"/>
    <w:qFormat/>
    <w:uiPriority w:val="0"/>
    <w:pPr>
      <w:topLinePunct w:val="0"/>
      <w:adjustRightInd/>
      <w:snapToGrid/>
    </w:pPr>
    <w:rPr>
      <w:rFonts w:cs="宋体"/>
      <w:color w:val="000000"/>
      <w:kern w:val="2"/>
    </w:rPr>
  </w:style>
  <w:style w:type="paragraph" w:customStyle="1" w:styleId="189">
    <w:name w:val="hzw表格内文字"/>
    <w:basedOn w:val="139"/>
    <w:qFormat/>
    <w:uiPriority w:val="0"/>
    <w:pPr>
      <w:snapToGrid w:val="0"/>
      <w:outlineLvl w:val="9"/>
    </w:pPr>
    <w:rPr>
      <w:b w:val="0"/>
      <w:sz w:val="20"/>
      <w:szCs w:val="21"/>
    </w:rPr>
  </w:style>
  <w:style w:type="paragraph" w:customStyle="1" w:styleId="190">
    <w:name w:val="表格内容格式"/>
    <w:basedOn w:val="1"/>
    <w:qFormat/>
    <w:uiPriority w:val="0"/>
    <w:pPr>
      <w:tabs>
        <w:tab w:val="left" w:pos="1755"/>
      </w:tabs>
      <w:spacing w:line="360" w:lineRule="auto"/>
      <w:jc w:val="center"/>
      <w:textAlignment w:val="baseline"/>
    </w:pPr>
    <w:rPr>
      <w:snapToGrid w:val="0"/>
      <w:sz w:val="28"/>
      <w:szCs w:val="20"/>
    </w:rPr>
  </w:style>
  <w:style w:type="paragraph" w:customStyle="1" w:styleId="191">
    <w:name w:val="Char8"/>
    <w:basedOn w:val="1"/>
    <w:qFormat/>
    <w:uiPriority w:val="0"/>
    <w:pPr>
      <w:adjustRightInd w:val="0"/>
      <w:spacing w:line="360" w:lineRule="auto"/>
      <w:ind w:firstLine="560" w:firstLineChars="200"/>
      <w:jc w:val="left"/>
    </w:pPr>
    <w:rPr>
      <w:rFonts w:ascii="宋体"/>
      <w:sz w:val="28"/>
      <w:szCs w:val="20"/>
    </w:rPr>
  </w:style>
  <w:style w:type="paragraph" w:customStyle="1" w:styleId="192">
    <w:name w:val="正文标准样式"/>
    <w:basedOn w:val="1"/>
    <w:qFormat/>
    <w:uiPriority w:val="0"/>
    <w:pPr>
      <w:adjustRightInd w:val="0"/>
      <w:spacing w:line="300" w:lineRule="auto"/>
      <w:ind w:firstLine="482"/>
      <w:textAlignment w:val="baseline"/>
    </w:pPr>
    <w:rPr>
      <w:rFonts w:ascii="Calibri" w:hAnsi="Calibri"/>
      <w:kern w:val="0"/>
      <w:sz w:val="24"/>
      <w:szCs w:val="20"/>
    </w:rPr>
  </w:style>
  <w:style w:type="paragraph" w:customStyle="1" w:styleId="193">
    <w:name w:val="Char"/>
    <w:basedOn w:val="1"/>
    <w:qFormat/>
    <w:uiPriority w:val="0"/>
    <w:pPr>
      <w:spacing w:line="140" w:lineRule="atLeast"/>
    </w:pPr>
    <w:rPr>
      <w:sz w:val="28"/>
      <w:szCs w:val="20"/>
    </w:rPr>
  </w:style>
  <w:style w:type="paragraph" w:customStyle="1" w:styleId="194">
    <w:name w:val="中文报告书样式"/>
    <w:basedOn w:val="1"/>
    <w:qFormat/>
    <w:uiPriority w:val="0"/>
    <w:pPr>
      <w:tabs>
        <w:tab w:val="left" w:pos="360"/>
      </w:tabs>
      <w:adjustRightInd w:val="0"/>
      <w:snapToGrid w:val="0"/>
      <w:jc w:val="center"/>
      <w:textAlignment w:val="baseline"/>
    </w:pPr>
    <w:rPr>
      <w:rFonts w:ascii="Calibri" w:hAnsi="Calibri"/>
    </w:rPr>
  </w:style>
  <w:style w:type="paragraph" w:customStyle="1" w:styleId="195">
    <w:name w:val="表格内居中文字"/>
    <w:basedOn w:val="1"/>
    <w:qFormat/>
    <w:uiPriority w:val="0"/>
    <w:pPr>
      <w:adjustRightInd w:val="0"/>
      <w:snapToGrid w:val="0"/>
      <w:jc w:val="center"/>
    </w:pPr>
    <w:rPr>
      <w:snapToGrid w:val="0"/>
      <w:spacing w:val="-2"/>
      <w:kern w:val="0"/>
      <w:szCs w:val="20"/>
    </w:rPr>
  </w:style>
  <w:style w:type="paragraph" w:customStyle="1" w:styleId="196">
    <w:name w:val="列出段落1"/>
    <w:basedOn w:val="1"/>
    <w:qFormat/>
    <w:uiPriority w:val="99"/>
    <w:pPr>
      <w:ind w:firstLine="420" w:firstLineChars="200"/>
    </w:pPr>
    <w:rPr>
      <w:rFonts w:ascii="Calibri" w:hAnsi="Calibri"/>
      <w:szCs w:val="22"/>
    </w:rPr>
  </w:style>
  <w:style w:type="paragraph" w:customStyle="1" w:styleId="197">
    <w:name w:val="5文章(治)"/>
    <w:basedOn w:val="1"/>
    <w:qFormat/>
    <w:uiPriority w:val="0"/>
    <w:pPr>
      <w:widowControl/>
      <w:snapToGrid w:val="0"/>
      <w:spacing w:line="520" w:lineRule="exact"/>
      <w:ind w:firstLine="480" w:firstLineChars="200"/>
      <w:jc w:val="left"/>
    </w:pPr>
    <w:rPr>
      <w:rFonts w:ascii="宋体" w:hAnsi="宋体"/>
      <w:bCs/>
      <w:kern w:val="0"/>
      <w:sz w:val="24"/>
    </w:rPr>
  </w:style>
  <w:style w:type="paragraph" w:customStyle="1" w:styleId="198">
    <w:name w:val="表格式"/>
    <w:basedOn w:val="30"/>
    <w:qFormat/>
    <w:uiPriority w:val="0"/>
    <w:pPr>
      <w:spacing w:beforeLines="50" w:afterLines="50" w:line="240" w:lineRule="exact"/>
      <w:ind w:left="0" w:firstLine="0" w:firstLineChars="0"/>
      <w:jc w:val="center"/>
    </w:pPr>
    <w:rPr>
      <w:szCs w:val="20"/>
    </w:rPr>
  </w:style>
  <w:style w:type="paragraph" w:customStyle="1" w:styleId="199">
    <w:name w:val="Char1"/>
    <w:basedOn w:val="1"/>
    <w:qFormat/>
    <w:uiPriority w:val="0"/>
  </w:style>
  <w:style w:type="paragraph" w:customStyle="1" w:styleId="200">
    <w:name w:val="报告书表格"/>
    <w:basedOn w:val="1"/>
    <w:qFormat/>
    <w:uiPriority w:val="0"/>
    <w:pPr>
      <w:adjustRightInd w:val="0"/>
      <w:spacing w:before="60" w:after="60" w:line="240" w:lineRule="atLeast"/>
      <w:jc w:val="center"/>
    </w:pPr>
    <w:rPr>
      <w:kern w:val="0"/>
    </w:rPr>
  </w:style>
  <w:style w:type="paragraph" w:customStyle="1" w:styleId="201">
    <w:name w:val="报告书正文"/>
    <w:basedOn w:val="1"/>
    <w:qFormat/>
    <w:uiPriority w:val="0"/>
    <w:pPr>
      <w:spacing w:after="60" w:line="500" w:lineRule="exact"/>
      <w:ind w:firstLine="200" w:firstLineChars="200"/>
    </w:pPr>
    <w:rPr>
      <w:sz w:val="24"/>
      <w:szCs w:val="24"/>
    </w:rPr>
  </w:style>
  <w:style w:type="paragraph" w:customStyle="1" w:styleId="202">
    <w:name w:val="报告表正文格式"/>
    <w:basedOn w:val="1"/>
    <w:qFormat/>
    <w:uiPriority w:val="0"/>
    <w:pPr>
      <w:widowControl/>
      <w:tabs>
        <w:tab w:val="center" w:pos="0"/>
      </w:tabs>
      <w:spacing w:line="520" w:lineRule="exact"/>
      <w:ind w:firstLine="640" w:firstLineChars="200"/>
      <w:jc w:val="left"/>
    </w:pPr>
    <w:rPr>
      <w:rFonts w:ascii="Calibri" w:hAnsi="Calibri"/>
      <w:sz w:val="24"/>
      <w:szCs w:val="20"/>
    </w:rPr>
  </w:style>
  <w:style w:type="paragraph" w:customStyle="1" w:styleId="203">
    <w:name w:val="表格正文"/>
    <w:basedOn w:val="1"/>
    <w:qFormat/>
    <w:uiPriority w:val="0"/>
    <w:pPr>
      <w:jc w:val="center"/>
    </w:pPr>
    <w:rPr>
      <w:rFonts w:hAnsi="宋体" w:cs="宋体"/>
      <w:kern w:val="0"/>
      <w:sz w:val="24"/>
      <w:szCs w:val="20"/>
    </w:rPr>
  </w:style>
  <w:style w:type="paragraph" w:customStyle="1" w:styleId="204">
    <w:name w:val="正文样式"/>
    <w:basedOn w:val="1"/>
    <w:qFormat/>
    <w:uiPriority w:val="0"/>
    <w:pPr>
      <w:adjustRightInd w:val="0"/>
      <w:snapToGrid w:val="0"/>
      <w:spacing w:line="520" w:lineRule="exact"/>
      <w:ind w:firstLine="562"/>
    </w:pPr>
    <w:rPr>
      <w:rFonts w:ascii="Times New Roman" w:hAnsi="Times New Roman" w:eastAsia="宋体" w:cs="宋体"/>
      <w:color w:val="000000"/>
      <w:kern w:val="0"/>
      <w:sz w:val="28"/>
      <w:szCs w:val="28"/>
    </w:rPr>
  </w:style>
  <w:style w:type="paragraph" w:customStyle="1" w:styleId="205">
    <w:name w:val="段落1"/>
    <w:basedOn w:val="1"/>
    <w:qFormat/>
    <w:uiPriority w:val="0"/>
    <w:pPr>
      <w:spacing w:line="480" w:lineRule="exact"/>
      <w:ind w:firstLine="200" w:firstLineChars="200"/>
    </w:pPr>
    <w:rPr>
      <w:rFonts w:eastAsia="楷体_GB2312"/>
      <w:spacing w:val="6"/>
      <w:sz w:val="28"/>
      <w:szCs w:val="20"/>
    </w:rPr>
  </w:style>
  <w:style w:type="paragraph" w:customStyle="1" w:styleId="206">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207">
    <w:name w:val="Char Char Char Char3"/>
    <w:basedOn w:val="1"/>
    <w:qFormat/>
    <w:uiPriority w:val="0"/>
    <w:pPr>
      <w:spacing w:line="360" w:lineRule="auto"/>
      <w:ind w:firstLine="200" w:firstLineChars="200"/>
    </w:pPr>
    <w:rPr>
      <w:rFonts w:ascii="宋体" w:hAnsi="宋体" w:cs="宋体"/>
      <w:sz w:val="24"/>
    </w:rPr>
  </w:style>
  <w:style w:type="paragraph" w:customStyle="1" w:styleId="208">
    <w:name w:val="ZH表头"/>
    <w:basedOn w:val="1"/>
    <w:qFormat/>
    <w:uiPriority w:val="0"/>
    <w:pPr>
      <w:spacing w:beforeLines="50" w:line="360" w:lineRule="auto"/>
      <w:jc w:val="center"/>
    </w:pPr>
    <w:rPr>
      <w:b/>
    </w:rPr>
  </w:style>
  <w:style w:type="paragraph" w:customStyle="1" w:styleId="209">
    <w:name w:val="列表段落1"/>
    <w:basedOn w:val="1"/>
    <w:unhideWhenUsed/>
    <w:qFormat/>
    <w:uiPriority w:val="99"/>
    <w:pPr>
      <w:ind w:firstLine="420" w:firstLineChars="200"/>
    </w:pPr>
  </w:style>
  <w:style w:type="paragraph" w:customStyle="1" w:styleId="210">
    <w:name w:val="无间隔1"/>
    <w:basedOn w:val="1"/>
    <w:qFormat/>
    <w:uiPriority w:val="1"/>
    <w:pPr>
      <w:spacing w:beforeLines="25" w:afterLines="25" w:line="240" w:lineRule="auto"/>
      <w:ind w:firstLine="0" w:firstLineChars="0"/>
      <w:jc w:val="center"/>
    </w:pPr>
    <w:rPr>
      <w:sz w:val="21"/>
      <w:szCs w:val="21"/>
    </w:rPr>
  </w:style>
  <w:style w:type="paragraph" w:customStyle="1" w:styleId="211">
    <w:name w:val="普通(网站)1"/>
    <w:basedOn w:val="1"/>
    <w:qFormat/>
    <w:uiPriority w:val="0"/>
    <w:pPr>
      <w:widowControl/>
      <w:spacing w:beforeAutospacing="1" w:afterAutospacing="1"/>
      <w:jc w:val="left"/>
    </w:pPr>
    <w:rPr>
      <w:rFonts w:hint="eastAsia" w:ascii="宋体" w:hAnsi="宋体"/>
      <w:kern w:val="0"/>
      <w:sz w:val="24"/>
    </w:rPr>
  </w:style>
  <w:style w:type="table" w:customStyle="1" w:styleId="212">
    <w:name w:val="网格型2"/>
    <w:basedOn w:val="4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3">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NormalCharacter"/>
    <w:qFormat/>
    <w:uiPriority w:val="0"/>
  </w:style>
  <w:style w:type="paragraph" w:customStyle="1" w:styleId="215">
    <w:name w:val="正文首行缩进11"/>
    <w:basedOn w:val="1"/>
    <w:link w:val="216"/>
    <w:qFormat/>
    <w:uiPriority w:val="0"/>
    <w:pPr>
      <w:ind w:firstLine="454"/>
    </w:pPr>
  </w:style>
  <w:style w:type="character" w:customStyle="1" w:styleId="216">
    <w:name w:val="正文文本首行缩进 字符"/>
    <w:link w:val="215"/>
    <w:qFormat/>
    <w:uiPriority w:val="0"/>
    <w:rPr>
      <w:kern w:val="2"/>
      <w:sz w:val="21"/>
      <w:szCs w:val="24"/>
    </w:rPr>
  </w:style>
  <w:style w:type="character" w:customStyle="1" w:styleId="217">
    <w:name w:val="表号、图号 Char"/>
    <w:link w:val="218"/>
    <w:qFormat/>
    <w:uiPriority w:val="0"/>
    <w:rPr>
      <w:rFonts w:eastAsia="黑体"/>
      <w:kern w:val="2"/>
      <w:sz w:val="24"/>
      <w:szCs w:val="24"/>
    </w:rPr>
  </w:style>
  <w:style w:type="paragraph" w:customStyle="1" w:styleId="218">
    <w:name w:val="表号、图号"/>
    <w:basedOn w:val="1"/>
    <w:link w:val="217"/>
    <w:qFormat/>
    <w:uiPriority w:val="0"/>
    <w:pPr>
      <w:numPr>
        <w:ilvl w:val="4"/>
        <w:numId w:val="2"/>
      </w:numPr>
      <w:ind w:left="0"/>
      <w:jc w:val="center"/>
    </w:pPr>
    <w:rPr>
      <w:rFonts w:eastAsia="黑体"/>
      <w:sz w:val="24"/>
    </w:rPr>
  </w:style>
  <w:style w:type="character" w:customStyle="1" w:styleId="219">
    <w:name w:val="05表格 Char"/>
    <w:link w:val="220"/>
    <w:qFormat/>
    <w:uiPriority w:val="0"/>
    <w:rPr>
      <w:color w:val="000000"/>
      <w:kern w:val="2"/>
      <w:sz w:val="21"/>
      <w:szCs w:val="21"/>
    </w:rPr>
  </w:style>
  <w:style w:type="paragraph" w:customStyle="1" w:styleId="220">
    <w:name w:val="05表格"/>
    <w:basedOn w:val="1"/>
    <w:link w:val="219"/>
    <w:qFormat/>
    <w:uiPriority w:val="0"/>
    <w:pPr>
      <w:widowControl/>
      <w:adjustRightInd w:val="0"/>
      <w:snapToGrid w:val="0"/>
      <w:jc w:val="center"/>
      <w:textAlignment w:val="center"/>
    </w:pPr>
    <w:rPr>
      <w:color w:val="000000"/>
      <w:szCs w:val="21"/>
    </w:rPr>
  </w:style>
  <w:style w:type="paragraph" w:customStyle="1" w:styleId="221">
    <w:name w:val="7表格(治)"/>
    <w:qFormat/>
    <w:uiPriority w:val="0"/>
    <w:pPr>
      <w:jc w:val="center"/>
    </w:pPr>
    <w:rPr>
      <w:rFonts w:ascii="Times New Roman" w:hAnsi="Times New Roman" w:eastAsia="楷体_GB2312" w:cs="Times New Roman"/>
      <w:color w:val="000000"/>
      <w:sz w:val="21"/>
      <w:lang w:val="en-US" w:eastAsia="zh-CN" w:bidi="ar-SA"/>
    </w:rPr>
  </w:style>
  <w:style w:type="paragraph" w:customStyle="1" w:styleId="222">
    <w:name w:val="_Style 221"/>
    <w:unhideWhenUsed/>
    <w:qFormat/>
    <w:uiPriority w:val="99"/>
    <w:rPr>
      <w:rFonts w:ascii="Times New Roman" w:hAnsi="Times New Roman" w:eastAsia="宋体" w:cs="Times New Roman"/>
      <w:kern w:val="2"/>
      <w:sz w:val="21"/>
      <w:szCs w:val="24"/>
      <w:lang w:val="en-US" w:eastAsia="zh-CN" w:bidi="ar-SA"/>
    </w:rPr>
  </w:style>
  <w:style w:type="paragraph" w:customStyle="1" w:styleId="223">
    <w:name w:val="表格内容"/>
    <w:basedOn w:val="1"/>
    <w:qFormat/>
    <w:uiPriority w:val="0"/>
    <w:pPr>
      <w:pBdr>
        <w:top w:val="none" w:color="auto" w:sz="0" w:space="0"/>
        <w:left w:val="none" w:color="auto" w:sz="0" w:space="0"/>
        <w:bottom w:val="none" w:color="auto" w:sz="0" w:space="0"/>
        <w:right w:val="none" w:color="auto" w:sz="0" w:space="0"/>
        <w:between w:val="none" w:color="auto" w:sz="0" w:space="0"/>
      </w:pBdr>
      <w:adjustRightInd w:val="0"/>
      <w:snapToGrid w:val="0"/>
      <w:jc w:val="both"/>
    </w:pPr>
    <w:rPr>
      <w:rFonts w:ascii="Times New Roman" w:hAnsi="Times New Roman" w:eastAsia="宋体" w:cs="Times New Roman"/>
      <w:szCs w:val="21"/>
      <w:lang w:val="en-US" w:eastAsia="zh-CN"/>
    </w:rPr>
  </w:style>
  <w:style w:type="paragraph" w:customStyle="1" w:styleId="224">
    <w:name w:val="_Style 13"/>
    <w:qFormat/>
    <w:uiPriority w:val="0"/>
    <w:pPr>
      <w:spacing w:before="120" w:after="120" w:line="288" w:lineRule="auto"/>
      <w:ind w:left="0"/>
      <w:jc w:val="left"/>
    </w:pPr>
    <w:rPr>
      <w:rFonts w:ascii="Arial" w:hAnsi="Arial" w:eastAsia="等线" w:cs="Arial"/>
      <w:sz w:val="22"/>
      <w:szCs w:val="22"/>
    </w:rPr>
  </w:style>
  <w:style w:type="character" w:customStyle="1" w:styleId="225">
    <w:name w:val="font11"/>
    <w:basedOn w:val="48"/>
    <w:qFormat/>
    <w:uiPriority w:val="0"/>
    <w:rPr>
      <w:rFonts w:hint="default" w:ascii="等线" w:hAnsi="等线" w:eastAsia="等线" w:cs="等线"/>
      <w:color w:val="000000"/>
      <w:sz w:val="21"/>
      <w:szCs w:val="21"/>
      <w:u w:val="none"/>
    </w:rPr>
  </w:style>
  <w:style w:type="character" w:customStyle="1" w:styleId="226">
    <w:name w:val="font31"/>
    <w:basedOn w:val="48"/>
    <w:qFormat/>
    <w:uiPriority w:val="0"/>
    <w:rPr>
      <w:rFonts w:hint="default" w:ascii="Times New Roman" w:hAnsi="Times New Roman" w:cs="Times New Roman"/>
      <w:color w:val="000000"/>
      <w:sz w:val="21"/>
      <w:szCs w:val="21"/>
      <w:u w:val="none"/>
    </w:rPr>
  </w:style>
  <w:style w:type="paragraph" w:customStyle="1" w:styleId="227">
    <w:name w:val="07 环评表格内容"/>
    <w:basedOn w:val="1"/>
    <w:qFormat/>
    <w:uiPriority w:val="0"/>
    <w:pPr>
      <w:widowControl/>
      <w:topLinePunct/>
      <w:spacing w:line="240" w:lineRule="auto"/>
      <w:ind w:firstLine="0" w:firstLineChars="0"/>
      <w:contextualSpacing/>
      <w:jc w:val="center"/>
      <w:textAlignment w:val="center"/>
    </w:pPr>
    <w:rPr>
      <w:rFonts w:ascii="Times New Roman" w:hAnsi="Times New Roman" w:eastAsia="宋体"/>
      <w:color w:val="000000"/>
      <w:sz w:val="21"/>
      <w:szCs w:val="21"/>
    </w:rPr>
  </w:style>
  <w:style w:type="paragraph" w:customStyle="1" w:styleId="228">
    <w:name w:val="0正文"/>
    <w:basedOn w:val="16"/>
    <w:semiHidden/>
    <w:qFormat/>
    <w:uiPriority w:val="0"/>
    <w:pPr>
      <w:spacing w:after="0" w:line="360" w:lineRule="auto"/>
      <w:ind w:left="0" w:leftChars="0" w:firstLine="200" w:firstLineChars="200"/>
    </w:pPr>
    <w:rPr>
      <w:kern w:val="0"/>
      <w:sz w:val="24"/>
      <w:szCs w:val="22"/>
    </w:rPr>
  </w:style>
  <w:style w:type="table" w:customStyle="1" w:styleId="229">
    <w:name w:val="Table Normal"/>
    <w:unhideWhenUsed/>
    <w:qFormat/>
    <w:uiPriority w:val="0"/>
    <w:tblPr>
      <w:tblCellMar>
        <w:top w:w="0" w:type="dxa"/>
        <w:left w:w="0" w:type="dxa"/>
        <w:bottom w:w="0" w:type="dxa"/>
        <w:right w:w="0" w:type="dxa"/>
      </w:tblCellMar>
    </w:tblPr>
  </w:style>
  <w:style w:type="paragraph" w:customStyle="1" w:styleId="230">
    <w:name w:val="Table Text"/>
    <w:basedOn w:val="1"/>
    <w:semiHidden/>
    <w:qFormat/>
    <w:uiPriority w:val="0"/>
    <w:rPr>
      <w:rFonts w:ascii="宋体" w:hAnsi="宋体" w:eastAsia="宋体" w:cs="宋体"/>
      <w:sz w:val="24"/>
      <w:szCs w:val="24"/>
      <w:lang w:val="en-US" w:eastAsia="en-US" w:bidi="ar-SA"/>
    </w:rPr>
  </w:style>
  <w:style w:type="paragraph" w:customStyle="1" w:styleId="231">
    <w:name w:val="1图标题"/>
    <w:basedOn w:val="1"/>
    <w:next w:val="1"/>
    <w:qFormat/>
    <w:uiPriority w:val="0"/>
    <w:pPr>
      <w:adjustRightInd w:val="0"/>
      <w:snapToGrid w:val="0"/>
      <w:jc w:val="center"/>
    </w:pPr>
    <w:rPr>
      <w:rFonts w:ascii="Times New Roman" w:hAnsi="Times New Roman" w:eastAsia="黑体" w:cs="Times New Roman"/>
      <w:b/>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54.png"/><Relationship Id="rId67" Type="http://schemas.openxmlformats.org/officeDocument/2006/relationships/image" Target="media/image53.wmf"/><Relationship Id="rId66" Type="http://schemas.openxmlformats.org/officeDocument/2006/relationships/oleObject" Target="embeddings/oleObject4.bin"/><Relationship Id="rId65" Type="http://schemas.openxmlformats.org/officeDocument/2006/relationships/image" Target="media/image52.png"/><Relationship Id="rId64" Type="http://schemas.openxmlformats.org/officeDocument/2006/relationships/image" Target="media/image51.jpe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emf"/><Relationship Id="rId54" Type="http://schemas.openxmlformats.org/officeDocument/2006/relationships/image" Target="media/image41.emf"/><Relationship Id="rId53" Type="http://schemas.openxmlformats.org/officeDocument/2006/relationships/image" Target="media/image40.emf"/><Relationship Id="rId52" Type="http://schemas.openxmlformats.org/officeDocument/2006/relationships/image" Target="media/image39.emf"/><Relationship Id="rId51" Type="http://schemas.openxmlformats.org/officeDocument/2006/relationships/image" Target="media/image38.emf"/><Relationship Id="rId50" Type="http://schemas.openxmlformats.org/officeDocument/2006/relationships/image" Target="media/image37.emf"/><Relationship Id="rId5" Type="http://schemas.openxmlformats.org/officeDocument/2006/relationships/header" Target="header2.xml"/><Relationship Id="rId49" Type="http://schemas.openxmlformats.org/officeDocument/2006/relationships/image" Target="media/image36.emf"/><Relationship Id="rId48" Type="http://schemas.openxmlformats.org/officeDocument/2006/relationships/image" Target="media/image35.emf"/><Relationship Id="rId47" Type="http://schemas.openxmlformats.org/officeDocument/2006/relationships/image" Target="media/image34.emf"/><Relationship Id="rId46" Type="http://schemas.openxmlformats.org/officeDocument/2006/relationships/image" Target="media/image33.emf"/><Relationship Id="rId45" Type="http://schemas.openxmlformats.org/officeDocument/2006/relationships/image" Target="media/image32.emf"/><Relationship Id="rId44" Type="http://schemas.openxmlformats.org/officeDocument/2006/relationships/image" Target="media/image31.emf"/><Relationship Id="rId43" Type="http://schemas.openxmlformats.org/officeDocument/2006/relationships/image" Target="media/image30.emf"/><Relationship Id="rId42" Type="http://schemas.openxmlformats.org/officeDocument/2006/relationships/image" Target="media/image29.emf"/><Relationship Id="rId41" Type="http://schemas.openxmlformats.org/officeDocument/2006/relationships/image" Target="media/image28.emf"/><Relationship Id="rId40" Type="http://schemas.openxmlformats.org/officeDocument/2006/relationships/image" Target="media/image27.emf"/><Relationship Id="rId4" Type="http://schemas.openxmlformats.org/officeDocument/2006/relationships/footer" Target="footer1.xml"/><Relationship Id="rId39" Type="http://schemas.openxmlformats.org/officeDocument/2006/relationships/image" Target="media/image26.emf"/><Relationship Id="rId38" Type="http://schemas.openxmlformats.org/officeDocument/2006/relationships/image" Target="media/image25.emf"/><Relationship Id="rId37" Type="http://schemas.openxmlformats.org/officeDocument/2006/relationships/image" Target="media/image24.emf"/><Relationship Id="rId36" Type="http://schemas.openxmlformats.org/officeDocument/2006/relationships/image" Target="media/image23.emf"/><Relationship Id="rId35" Type="http://schemas.openxmlformats.org/officeDocument/2006/relationships/image" Target="media/image22.emf"/><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3.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emf"/><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"/>
    </extobj>
  </extobjs>
</s:customData>
</file>

<file path=customXml/item2.xml><?xml version="1.0" encoding="utf-8"?>
<contractReview xmlns="http://schemas.wps.cn/vas-ai-hub/contract-review">
  <reviewItems>
    <reviewItem>
      <errorID>9c420a37-1ab2-4730-bd48-45e085ba909e</errorID>
      <errorWord>内部一</errorWord>
      <group>L1_Grammar</group>
      <groupName>语法问题</groupName>
      <ability>L2_Order</ability>
      <abilityName>语序不当</abilityName>
      <candidateList>
        <item>一内部</item>
      </candidateList>
      <explain>句子可能没有遵循时空、逻辑顺序，或者介词、关联词等位置不当。</explain>
      <paraID>7F9EF166</paraID>
      <start>13</start>
      <end>16</end>
      <status>unmodified</status>
      <modifiedWord/>
      <trackRevisions>false</trackRevisions>
    </reviewItem>
    <reviewItem>
      <errorID>90a11f05-6326-416f-9fa4-e7325b9f0488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2F6257E3</paraID>
      <start>22</start>
      <end>23</end>
      <status>unmodified</status>
      <modifiedWord/>
      <trackRevisions>false</trackRevisions>
    </reviewItem>
    <reviewItem>
      <errorID>11ed7d7a-a202-4e01-9158-56ee5931b193</errorID>
      <errorWord>-</errorWord>
      <group>L1_Format</group>
      <groupName>格式问题</groupName>
      <ability>L2_HalfPunc</ability>
      <abilityName>全半角检查</abilityName>
      <candidateList>
        <item>－</item>
      </candidateList>
      <explain>文本全半角错误。</explain>
      <paraID>62A3E0E3</paraID>
      <start>0</start>
      <end>1</end>
      <status>unmodified</status>
      <modifiedWord/>
      <trackRevisions>false</trackRevisions>
    </reviewItem>
    <reviewItem>
      <errorID>94bb52bb-5f72-4024-98ba-025fa234d5d4</errorID>
      <errorWord>后</errorWord>
      <group>L1_Word</group>
      <groupName>字词问题</groupName>
      <ability>L2_Typo</ability>
      <abilityName>字词错误</abilityName>
      <candidateList>
        <item>后将</item>
      </candidateList>
      <explain/>
      <paraID> 4B6E203</paraID>
      <start>193</start>
      <end>195</end>
      <status>modified</status>
      <modifiedWord>后将</modifiedWord>
      <trackRevisions>false</trackRevisions>
    </reviewItem>
    <reviewItem>
      <errorID>a81a17e0-e84f-4805-ae85-1bf45e91c9e8</errorID>
      <errorWord>《</errorWord>
      <group>L1_Punc</group>
      <groupName>标点问题</groupName>
      <ability>L2_Punc</ability>
      <abilityName>标点符号检查</abilityName>
      <candidateList/>
      <explain>同一形式括号套用。</explain>
      <paraID>4C20A33A</paraID>
      <start>72</start>
      <end>73</end>
      <status>unmodified</status>
      <modifiedWord/>
      <trackRevisions>false</trackRevisions>
    </reviewItem>
    <reviewItem>
      <errorID>6624d784-9ab1-49f9-a472-9a7bc9518886</errorID>
      <errorWord>》</errorWord>
      <group>L1_Punc</group>
      <groupName>标点问题</groupName>
      <ability>L2_Punc</ability>
      <abilityName>标点符号检查</abilityName>
      <candidateList/>
      <explain>同一形式括号套用。</explain>
      <paraID>4C20A33A</paraID>
      <start>95</start>
      <end>96</end>
      <status>unmodified</status>
      <modifiedWord/>
      <trackRevisions>false</trackRevisions>
    </reviewItem>
    <reviewItem>
      <errorID>26f73741-bc43-42aa-aef3-82e027e8cea4</errorID>
      <errorWord>物资</errorWord>
      <group>L1_Grammar</group>
      <groupName>语法问题</groupName>
      <ability>L2_Grammar</ability>
      <abilityName>语法错误</abilityName>
      <candidateList>
        <item>补给</item>
      </candidateList>
      <explain>“物资～能力”搭配不当，建议修改为“补给～能力”。</explain>
      <paraID>4BA22A3D</paraID>
      <start>104</start>
      <end>106</end>
      <status>unmodified</status>
      <modifiedWord/>
      <trackRevisions>false</trackRevisions>
    </reviewItem>
    <reviewItem>
      <errorID>e46c6ea3-3c44-4ec7-9998-d1ae6dd1673b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49A647A0</paraID>
      <start>0</start>
      <end>2</end>
      <status>unmodified</status>
      <modifiedWord/>
      <trackRevisions>false</trackRevisions>
    </reviewItem>
    <reviewItem>
      <errorID>7bf7d076-a60e-4cec-a9b2-041dc4977ff8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756953CA</paraID>
      <start>0</start>
      <end>2</end>
      <status>unmodified</status>
      <modifiedWord/>
      <trackRevisions>false</trackRevisions>
    </reviewItem>
    <reviewItem>
      <errorID>9873b736-a79c-483f-b1e6-76fe90270756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5452FFF8</paraID>
      <start>0</start>
      <end>2</end>
      <status>unmodified</status>
      <modifiedWord/>
      <trackRevisions>false</trackRevisions>
    </reviewItem>
    <reviewItem>
      <errorID>9900b863-e340-49fe-8ab5-576d9bed591e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6BE4D1B8</paraID>
      <start>0</start>
      <end>2</end>
      <status>unmodified</status>
      <modifiedWord/>
      <trackRevisions>false</trackRevisions>
    </reviewItem>
    <reviewItem>
      <errorID>3fc18dcf-f4fb-4163-af88-343a78c5af3c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79D377A9</paraID>
      <start>0</start>
      <end>2</end>
      <status>unmodified</status>
      <modifiedWord/>
      <trackRevisions>false</trackRevisions>
    </reviewItem>
    <reviewItem>
      <errorID>8ddd008f-fcf0-410d-b42d-1e475a319746</errorID>
      <errorWord>防治陆源污染物污染损害海洋环境管理条例</errorWord>
      <group>L1_Knowledge</group>
      <groupName>知识性问题</groupName>
      <ability>L2_Knowledge</ability>
      <abilityName>其他知识</abilityName>
      <candidateList>
        <item>中华人民共和国防治陆源污染物污染损害海洋环境管理条例</item>
      </candidateList>
      <explain>当前法律法规名称使用简称，请注意是否应当使用全称。</explain>
      <paraID>79D377A9</paraID>
      <start>101</start>
      <end>127</end>
      <status>modified</status>
      <modifiedWord>中华人民共和国防治陆源污染物污染损害海洋环境管理条例</modifiedWord>
      <trackRevisions>false</trackRevisions>
    </reviewItem>
    <reviewItem>
      <errorID>29648e82-ee70-481a-bf3a-736b869d7339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37A18697</paraID>
      <start>0</start>
      <end>2</end>
      <status>unmodified</status>
      <modifiedWord/>
      <trackRevisions>false</trackRevisions>
    </reviewItem>
    <reviewItem>
      <errorID>33f5d6cb-f85c-481b-8564-1b1f47e5adbc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2A387D74</paraID>
      <start>0</start>
      <end>2</end>
      <status>unmodified</status>
      <modifiedWord/>
      <trackRevisions>false</trackRevisions>
    </reviewItem>
    <reviewItem>
      <errorID>25ba8918-9a70-480c-a666-683a4170156b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3FAAD0D2</paraID>
      <start>0</start>
      <end>2</end>
      <status>unmodified</status>
      <modifiedWord/>
      <trackRevisions>false</trackRevisions>
    </reviewItem>
    <reviewItem>
      <errorID>ceadd4b1-5d5c-41a2-8f1b-fd7ed51ef0bc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1816957</paraID>
      <start>0</start>
      <end>2</end>
      <status>unmodified</status>
      <modifiedWord/>
      <trackRevisions>false</trackRevisions>
    </reviewItem>
    <reviewItem>
      <errorID>0334e3d6-2013-4b5d-995c-71b13a2a5663</errorID>
      <errorWord>施行</errorWord>
      <group>L1_Word</group>
      <groupName>字词问题</groupName>
      <ability>L2_Typo</ability>
      <abilityName>字词错误</abilityName>
      <candidateList>
        <item>实行</item>
      </candidateList>
      <explain>存在发音相同字词的误用。</explain>
      <paraID> 1816957</paraID>
      <start>88</start>
      <end>90</end>
      <status>unmodified</status>
      <modifiedWord/>
      <trackRevisions>false</trackRevisions>
    </reviewItem>
    <reviewItem>
      <errorID>665f697c-43fe-4e92-aa22-7d899a801498</errorID>
      <errorWord>沙</errorWord>
      <group>L1_Word</group>
      <groupName>字词问题</groupName>
      <ability>L2_Typo</ability>
      <abilityName>字词错误</abilityName>
      <candidateList>
        <item>砂</item>
      </candidateList>
      <explain>存在发音相同字词的误用。</explain>
      <paraID> 1816957</paraID>
      <start>180</start>
      <end>181</end>
      <status>modified</status>
      <modifiedWord>砂</modifiedWord>
      <trackRevisions>false</trackRevisions>
    </reviewItem>
    <reviewItem>
      <errorID>ef4e56f8-d12b-4b1d-81f9-9ac19cc81e44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6013C1B7</paraID>
      <start>0</start>
      <end>2</end>
      <status>unmodified</status>
      <modifiedWord/>
      <trackRevisions>false</trackRevisions>
    </reviewItem>
    <reviewItem>
      <errorID>4b5c9645-b1f4-4be6-8359-92cefc0bc254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7666A490</paraID>
      <start>0</start>
      <end>2</end>
      <status>unmodified</status>
      <modifiedWord/>
      <trackRevisions>false</trackRevisions>
    </reviewItem>
    <reviewItem>
      <errorID>7c2ff37e-d756-4be4-9aac-7325014f746b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75EFBE3E</paraID>
      <start>0</start>
      <end>2</end>
      <status>unmodified</status>
      <modifiedWord/>
      <trackRevisions>false</trackRevisions>
    </reviewItem>
    <reviewItem>
      <errorID>4b210209-1e06-454f-8805-74001e2c35cd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13E95AB8</paraID>
      <start>0</start>
      <end>2</end>
      <status>unmodified</status>
      <modifiedWord/>
      <trackRevisions>false</trackRevisions>
    </reviewItem>
    <reviewItem>
      <errorID>dcc3d753-32d0-4ce8-8f04-7eb86caa9269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CA8B6C3</paraID>
      <start>0</start>
      <end>2</end>
      <status>unmodified</status>
      <modifiedWord/>
      <trackRevisions>false</trackRevisions>
    </reviewItem>
    <reviewItem>
      <errorID>eb423dec-7025-45d3-a74d-b0f71f5a98ff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79047C6A</paraID>
      <start>0</start>
      <end>2</end>
      <status>unmodified</status>
      <modifiedWord/>
      <trackRevisions>false</trackRevisions>
    </reviewItem>
    <reviewItem>
      <errorID>3abc8180-03b5-420d-ad0c-3af5e9f03651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2F478998</paraID>
      <start>0</start>
      <end>2</end>
      <status>unmodified</status>
      <modifiedWord/>
      <trackRevisions>false</trackRevisions>
    </reviewItem>
    <reviewItem>
      <errorID>6c026ac4-87fa-488e-a1f2-b5add66183df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3CB12040</paraID>
      <start>0</start>
      <end>2</end>
      <status>unmodified</status>
      <modifiedWord/>
      <trackRevisions>false</trackRevisions>
    </reviewItem>
    <reviewItem>
      <errorID>75a19915-a0a7-4764-a569-b90a120997b3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70298DA8</paraID>
      <start>0</start>
      <end>2</end>
      <status>unmodified</status>
      <modifiedWord/>
      <trackRevisions>false</trackRevisions>
    </reviewItem>
    <reviewItem>
      <errorID>3f2a77cc-fde3-4911-9139-213bf131f1e8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3139C4C5</paraID>
      <start>0</start>
      <end>2</end>
      <status>unmodified</status>
      <modifiedWord/>
      <trackRevisions>false</trackRevisions>
    </reviewItem>
    <reviewItem>
      <errorID>a7e98f7b-96b6-46f5-b567-14139e3d2f6c</errorID>
      <errorWord>&lt;</errorWord>
      <group>L1_Format</group>
      <groupName>格式问题</groupName>
      <ability>L2_HalfPunc</ability>
      <abilityName>全半角检查</abilityName>
      <candidateList>
        <item>〈</item>
      </candidateList>
      <explain>文本全半角错误。</explain>
      <paraID>769396D0</paraID>
      <start>15</start>
      <end>16</end>
      <status>unmodified</status>
      <modifiedWord/>
      <trackRevisions>false</trackRevisions>
    </reviewItem>
    <reviewItem>
      <errorID>12b8a966-9a13-4b18-859d-63554855fc69</errorID>
      <errorWord>&gt;》</errorWord>
      <group>L1_Punc</group>
      <groupName>标点问题</groupName>
      <ability>L2_Punc</ability>
      <abilityName>标点符号检查</abilityName>
      <candidateList>
        <item>》</item>
      </candidateList>
      <explain/>
      <paraID>769396D0</paraID>
      <start>43</start>
      <end>45</end>
      <status>unmodified</status>
      <modifiedWord/>
      <trackRevisions>false</trackRevisions>
    </reviewItem>
    <reviewItem>
      <errorID>090bf536-ee02-4f2d-bde7-e15952a83f4f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193FA13F</paraID>
      <start>0</start>
      <end>2</end>
      <status>unmodified</status>
      <modifiedWord/>
      <trackRevisions>false</trackRevisions>
    </reviewItem>
    <reviewItem>
      <errorID>9bb85683-0ad2-4010-b368-1f073f13fcbc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158B12FA</paraID>
      <start>0</start>
      <end>2</end>
      <status>unmodified</status>
      <modifiedWord/>
      <trackRevisions>false</trackRevisions>
    </reviewItem>
    <reviewItem>
      <errorID>06d8671b-bef0-4686-8980-fe6a3dc73839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19BDEED2</paraID>
      <start>0</start>
      <end>2</end>
      <status>unmodified</status>
      <modifiedWord/>
      <trackRevisions>false</trackRevisions>
    </reviewItem>
    <reviewItem>
      <errorID>ac1a262c-3076-4298-87af-06981ccafdb6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434D198D</paraID>
      <start>0</start>
      <end>2</end>
      <status>unmodified</status>
      <modifiedWord/>
      <trackRevisions>false</trackRevisions>
    </reviewItem>
    <reviewItem>
      <errorID>755ae343-88dd-4c88-a2e9-d8c5d682a234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190E323A</paraID>
      <start>0</start>
      <end>2</end>
      <status>unmodified</status>
      <modifiedWord/>
      <trackRevisions>false</trackRevisions>
    </reviewItem>
    <reviewItem>
      <errorID>9fdf6bc7-9bad-4023-94cc-da8a3b07dae6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51E16702</paraID>
      <start>0</start>
      <end>2</end>
      <status>unmodified</status>
      <modifiedWord/>
      <trackRevisions>false</trackRevisions>
    </reviewItem>
    <reviewItem>
      <errorID>986d8795-2c4e-4cc4-b24a-a308d391b2b0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2248BE39</paraID>
      <start>0</start>
      <end>2</end>
      <status>unmodified</status>
      <modifiedWord/>
      <trackRevisions>false</trackRevisions>
    </reviewItem>
    <reviewItem>
      <errorID>2c603d14-415f-49c2-ba34-bbb1cdcc53c0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20184CCC</paraID>
      <start>0</start>
      <end>2</end>
      <status>unmodified</status>
      <modifiedWord/>
      <trackRevisions>false</trackRevisions>
    </reviewItem>
    <reviewItem>
      <errorID>ecae71cb-9c2f-4885-b90b-62ea969cc5d3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6EE1C809</paraID>
      <start>0</start>
      <end>2</end>
      <status>unmodified</status>
      <modifiedWord/>
      <trackRevisions>false</trackRevisions>
    </reviewItem>
    <reviewItem>
      <errorID>59f83ef6-b4fc-4e7e-b5b3-8cb458ce04fa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1FF2F4A2</paraID>
      <start>0</start>
      <end>3</end>
      <status>unmodified</status>
      <modifiedWord/>
      <trackRevisions>false</trackRevisions>
    </reviewItem>
    <reviewItem>
      <errorID>c87362d1-4620-4b0a-8008-8b10564d4902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4DC9E24</paraID>
      <start>0</start>
      <end>3</end>
      <status>unmodified</status>
      <modifiedWord/>
      <trackRevisions>false</trackRevisions>
    </reviewItem>
    <reviewItem>
      <errorID>47f17b71-f472-45e6-a70c-a5b184eb492e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7C8190C2</paraID>
      <start>0</start>
      <end>3</end>
      <status>unmodified</status>
      <modifiedWord/>
      <trackRevisions>false</trackRevisions>
    </reviewItem>
    <reviewItem>
      <errorID>3d4668ad-7433-4579-8f85-fda87bc62c55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122EB0A</paraID>
      <start>0</start>
      <end>3</end>
      <status>unmodified</status>
      <modifiedWord/>
      <trackRevisions>false</trackRevisions>
    </reviewItem>
    <reviewItem>
      <errorID>01bd8ce3-52b2-43ae-a9f9-d23aba83cbe8</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382B9CC7</paraID>
      <start>0</start>
      <end>3</end>
      <status>unmodified</status>
      <modifiedWord/>
      <trackRevisions>false</trackRevisions>
    </reviewItem>
    <reviewItem>
      <errorID>c2e202e4-491d-40c3-828f-c2d5f75f6eb8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1811E84B</paraID>
      <start>0</start>
      <end>3</end>
      <status>unmodified</status>
      <modifiedWord/>
      <trackRevisions>false</trackRevisions>
    </reviewItem>
    <reviewItem>
      <errorID>02873f89-9fb7-4ddb-a0b2-547189b51288</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1AE0A6E2</paraID>
      <start>0</start>
      <end>3</end>
      <status>unmodified</status>
      <modifiedWord/>
      <trackRevisions>false</trackRevisions>
    </reviewItem>
    <reviewItem>
      <errorID>91c3be85-d979-4a3f-8547-e27ebea946b4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3DB8B34F</paraID>
      <start>0</start>
      <end>3</end>
      <status>unmodified</status>
      <modifiedWord/>
      <trackRevisions>false</trackRevisions>
    </reviewItem>
    <reviewItem>
      <errorID>b02f9808-a51e-4a19-8397-0980a7034818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5F845A65</paraID>
      <start>0</start>
      <end>2</end>
      <status>unmodified</status>
      <modifiedWord/>
      <trackRevisions>false</trackRevisions>
    </reviewItem>
    <reviewItem>
      <errorID>c42e6f2f-6424-4308-9cb3-8bb1e474cc06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3BEBF13B</paraID>
      <start>0</start>
      <end>2</end>
      <status>unmodified</status>
      <modifiedWord/>
      <trackRevisions>false</trackRevisions>
    </reviewItem>
    <reviewItem>
      <errorID>7e916198-35b1-407e-a54b-d0328e21c0ae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1A7A9D65</paraID>
      <start>0</start>
      <end>2</end>
      <status>unmodified</status>
      <modifiedWord/>
      <trackRevisions>false</trackRevisions>
    </reviewItem>
    <reviewItem>
      <errorID>474d302a-85b4-4e79-81bf-8fb88b0d0aeb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75B57A65</paraID>
      <start>0</start>
      <end>2</end>
      <status>unmodified</status>
      <modifiedWord/>
      <trackRevisions>false</trackRevisions>
    </reviewItem>
    <reviewItem>
      <errorID>f8e2e839-656f-4d6b-b3fa-33704527fe00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7B84CE3</paraID>
      <start>0</start>
      <end>2</end>
      <status>unmodified</status>
      <modifiedWord/>
      <trackRevisions>false</trackRevisions>
    </reviewItem>
    <reviewItem>
      <errorID>229f0448-1ec6-45b2-abff-7769f69298d9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A858194</paraID>
      <start>0</start>
      <end>2</end>
      <status>unmodified</status>
      <modifiedWord/>
      <trackRevisions>false</trackRevisions>
    </reviewItem>
    <reviewItem>
      <errorID>21e8264f-fdcc-4ca2-9506-747649c7b8d4</errorID>
      <errorWord>，</errorWord>
      <group>L1_Word</group>
      <groupName>字词问题</groupName>
      <ability>L2_Typo</ability>
      <abilityName>字词错误</abilityName>
      <candidateList>
        <item>，在</item>
      </candidateList>
      <explain/>
      <paraID> A858194</paraID>
      <start>21</start>
      <end>22</end>
      <status>unmodified</status>
      <modifiedWord/>
      <trackRevisions>false</trackRevisions>
    </reviewItem>
    <reviewItem>
      <errorID>b8f950b2-afeb-4a82-9d9e-04af35cd704c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1EAC9492</paraID>
      <start>0</start>
      <end>2</end>
      <status>unmodified</status>
      <modifiedWord/>
      <trackRevisions>false</trackRevisions>
    </reviewItem>
    <reviewItem>
      <errorID>55d56fc3-dc83-4903-ae54-e834d4d39ed3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6172A285</paraID>
      <start>0</start>
      <end>2</end>
      <status>unmodified</status>
      <modifiedWord/>
      <trackRevisions>false</trackRevisions>
    </reviewItem>
    <reviewItem>
      <errorID>86153d10-4e0c-47b1-90e4-304804978dec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1D9B2DC5</paraID>
      <start>0</start>
      <end>2</end>
      <status>unmodified</status>
      <modifiedWord/>
      <trackRevisions>false</trackRevisions>
    </reviewItem>
    <reviewItem>
      <errorID>943ac000-ca29-44df-b493-42394e50ef99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1CA516B2</paraID>
      <start>0</start>
      <end>3</end>
      <status>unmodified</status>
      <modifiedWord/>
      <trackRevisions>false</trackRevisions>
    </reviewItem>
    <reviewItem>
      <errorID>df724e37-7d96-43f1-a927-512c1936eab9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2ECECD29</paraID>
      <start>0</start>
      <end>3</end>
      <status>unmodified</status>
      <modifiedWord/>
      <trackRevisions>false</trackRevisions>
    </reviewItem>
    <reviewItem>
      <errorID>a7b2a49f-8405-4635-9dd6-bd1a2a34d946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2DEAECE8</paraID>
      <start>0</start>
      <end>3</end>
      <status>unmodified</status>
      <modifiedWord/>
      <trackRevisions>false</trackRevisions>
    </reviewItem>
    <reviewItem>
      <errorID>95b56a76-45f1-406c-a4d9-7b089f2ab345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4C181A30</paraID>
      <start>0</start>
      <end>3</end>
      <status>unmodified</status>
      <modifiedWord/>
      <trackRevisions>false</trackRevisions>
    </reviewItem>
    <reviewItem>
      <errorID>ea21459e-7290-459b-9929-30ae0a0985a6</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55D2CA40</paraID>
      <start>0</start>
      <end>3</end>
      <status>unmodified</status>
      <modifiedWord/>
      <trackRevisions>false</trackRevisions>
    </reviewItem>
    <reviewItem>
      <errorID>9b91f3e1-20c6-4322-8f70-772fa29b93dd</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7F404976</paraID>
      <start>0</start>
      <end>3</end>
      <status>unmodified</status>
      <modifiedWord/>
      <trackRevisions>false</trackRevisions>
    </reviewItem>
    <reviewItem>
      <errorID>9f99f159-a38e-484e-b958-e55999fd5cc6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48DA11BB</paraID>
      <start>0</start>
      <end>2</end>
      <status>unmodified</status>
      <modifiedWord/>
      <trackRevisions>false</trackRevisions>
    </reviewItem>
    <reviewItem>
      <errorID>b08a3200-dacd-454a-8458-3579967cfa29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B481300</paraID>
      <start>0</start>
      <end>2</end>
      <status>unmodified</status>
      <modifiedWord/>
      <trackRevisions>false</trackRevisions>
    </reviewItem>
    <reviewItem>
      <errorID>f9d8b2b1-cf15-4fb0-80fb-85d5f221013c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21A02F66</paraID>
      <start>0</start>
      <end>2</end>
      <status>unmodified</status>
      <modifiedWord/>
      <trackRevisions>false</trackRevisions>
    </reviewItem>
    <reviewItem>
      <errorID>f4937fc0-a6ba-440d-a0a4-d72d7013ebba</errorID>
      <errorWord>用地土壤</errorWord>
      <group>L1_Knowledge</group>
      <groupName>知识性问题</groupName>
      <ability>L2_Term</ability>
      <abilityName>专业术语</abilityName>
      <candidateList>
        <item>迹地土壤</item>
      </candidateList>
      <explain/>
      <paraID>21A02F66</paraID>
      <start>113</start>
      <end>117</end>
      <status>unmodified</status>
      <modifiedWord/>
      <trackRevisions>false</trackRevisions>
    </reviewItem>
    <reviewItem>
      <errorID>7df6ba3f-098a-4cd0-8690-bb66bb7c210d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1243B25C</paraID>
      <start>0</start>
      <end>2</end>
      <status>unmodified</status>
      <modifiedWord/>
      <trackRevisions>false</trackRevisions>
    </reviewItem>
    <reviewItem>
      <errorID>e3fc5fe8-f08b-4a95-825f-1a438ce40e40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6B65F5BC</paraID>
      <start>0</start>
      <end>2</end>
      <status>unmodified</status>
      <modifiedWord/>
      <trackRevisions>false</trackRevisions>
    </reviewItem>
    <reviewItem>
      <errorID>7e6fadcb-7943-4fec-8d5f-502a79084ad9</errorID>
      <errorWord>矿石</errorWord>
      <group>L1_Word</group>
      <groupName>字词问题</groupName>
      <ability>L2_Typo</ability>
      <abilityName>字词错误</abilityName>
      <candidateList>
        <item>矿山</item>
      </candidateList>
      <explain/>
      <paraID>6B65F5BC</paraID>
      <start>17</start>
      <end>19</end>
      <status>unmodified</status>
      <modifiedWord/>
      <trackRevisions>false</trackRevisions>
    </reviewItem>
    <reviewItem>
      <errorID>ba2144d4-b278-4acf-9370-96fdeab3026b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7C0FCD52</paraID>
      <start>0</start>
      <end>2</end>
      <status>unmodified</status>
      <modifiedWord/>
      <trackRevisions>false</trackRevisions>
    </reviewItem>
    <reviewItem>
      <errorID>2744c92a-54af-402a-8ff1-61339bf1de00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25B22188</paraID>
      <start>0</start>
      <end>2</end>
      <status>unmodified</status>
      <modifiedWord/>
      <trackRevisions>false</trackRevisions>
    </reviewItem>
    <reviewItem>
      <errorID>cfead12a-0de1-4306-8659-6861d9f334a8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4E4D9A51</paraID>
      <start>0</start>
      <end>2</end>
      <status>unmodified</status>
      <modifiedWord/>
      <trackRevisions>false</trackRevisions>
    </reviewItem>
    <reviewItem>
      <errorID>31009453-f8d9-4ae1-ba2c-1f3c9248d16c</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4E4D9A51</paraID>
      <start>40</start>
      <end>47</end>
      <status>unmodified</status>
      <modifiedWord/>
      <trackRevisions>false</trackRevisions>
    </reviewItem>
    <reviewItem>
      <errorID>a0930413-2f1a-4540-884a-6f48bc3fd7ad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6A927F71</paraID>
      <start>0</start>
      <end>2</end>
      <status>unmodified</status>
      <modifiedWord/>
      <trackRevisions>false</trackRevisions>
    </reviewItem>
    <reviewItem>
      <errorID>41741b1d-419b-4692-8c51-b95b393fa2af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6B636CA3</paraID>
      <start>0</start>
      <end>2</end>
      <status>unmodified</status>
      <modifiedWord/>
      <trackRevisions>false</trackRevisions>
    </reviewItem>
    <reviewItem>
      <errorID>f24ade5e-6d26-4a1c-bdf4-0c90a3a23b38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185DEDFB</paraID>
      <start>0</start>
      <end>2</end>
      <status>unmodified</status>
      <modifiedWord/>
      <trackRevisions>false</trackRevisions>
    </reviewItem>
    <reviewItem>
      <errorID>065c7488-12d8-4b89-a023-be8f41c2b630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42AE712B</paraID>
      <start>0</start>
      <end>2</end>
      <status>unmodified</status>
      <modifiedWord/>
      <trackRevisions>false</trackRevisions>
    </reviewItem>
    <reviewItem>
      <errorID>5bf5d708-8c17-497c-8e17-b41009b641be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2AF07E16</paraID>
      <start>0</start>
      <end>2</end>
      <status>unmodified</status>
      <modifiedWord/>
      <trackRevisions>false</trackRevisions>
    </reviewItem>
    <reviewItem>
      <errorID>bd1e3cc9-fa96-4df3-b719-d03201a736fb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6AD81335</paraID>
      <start>0</start>
      <end>2</end>
      <status>unmodified</status>
      <modifiedWord/>
      <trackRevisions>false</trackRevisions>
    </reviewItem>
    <reviewItem>
      <errorID>c4fb0bd9-f88d-4c6d-98f4-6bf543a3ce95</errorID>
      <errorWord>域</errorWord>
      <group>L1_Word</group>
      <groupName>字词问题</groupName>
      <ability>L2_Typo</ability>
      <abilityName>字词错误</abilityName>
      <candidateList>
        <item>域保</item>
      </candidateList>
      <explain/>
      <paraID>7DE75FC8</paraID>
      <start>8</start>
      <end>9</end>
      <status>unmodified</status>
      <modifiedWord/>
      <trackRevisions>false</trackRevisions>
    </reviewItem>
    <reviewItem>
      <errorID>36be7b61-abb0-4267-9f0c-d7e57dd93c03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61F477C9</paraID>
      <start>0</start>
      <end>2</end>
      <status>unmodified</status>
      <modifiedWord/>
      <trackRevisions>false</trackRevisions>
    </reviewItem>
    <reviewItem>
      <errorID>71da74f6-01a0-4b80-a0e7-23a0cf289494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23B478C1</paraID>
      <start>0</start>
      <end>2</end>
      <status>unmodified</status>
      <modifiedWord/>
      <trackRevisions>false</trackRevisions>
    </reviewItem>
    <reviewItem>
      <errorID>18b5430e-d7d4-4040-b479-41c1151bf72a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6A0AB2D1</paraID>
      <start>0</start>
      <end>2</end>
      <status>unmodified</status>
      <modifiedWord/>
      <trackRevisions>false</trackRevisions>
    </reviewItem>
    <reviewItem>
      <errorID>fed8fb04-8b78-4f26-a7b6-1da6d1654b78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1FFDD0F6</paraID>
      <start>0</start>
      <end>2</end>
      <status>unmodified</status>
      <modifiedWord/>
      <trackRevisions>false</trackRevisions>
    </reviewItem>
    <reviewItem>
      <errorID>fc9413b6-5edf-484f-b5e0-979476778a79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704E356A</paraID>
      <start>0</start>
      <end>2</end>
      <status>unmodified</status>
      <modifiedWord/>
      <trackRevisions>false</trackRevisions>
    </reviewItem>
    <reviewItem>
      <errorID>befa1bf1-57ef-4e7b-8a34-64504881fa7e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5E68DB9B</paraID>
      <start>0</start>
      <end>2</end>
      <status>unmodified</status>
      <modifiedWord/>
      <trackRevisions>false</trackRevisions>
    </reviewItem>
    <reviewItem>
      <errorID>77faf580-a57a-4d59-8f19-0d717e8ad1c1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3CB6F31D</paraID>
      <start>0</start>
      <end>2</end>
      <status>unmodified</status>
      <modifiedWord/>
      <trackRevisions>false</trackRevisions>
    </reviewItem>
    <reviewItem>
      <errorID>6f2ff625-cd46-4c22-9f0e-03e33435e3e1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59C01C1B</paraID>
      <start>0</start>
      <end>2</end>
      <status>unmodified</status>
      <modifiedWord/>
      <trackRevisions>false</trackRevisions>
    </reviewItem>
    <reviewItem>
      <errorID>c6cbdd7e-1583-47bc-bd7a-c4fe20607218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6AF8196C</paraID>
      <start>0</start>
      <end>2</end>
      <status>unmodified</status>
      <modifiedWord/>
      <trackRevisions>false</trackRevisions>
    </reviewItem>
    <reviewItem>
      <errorID>df3130e3-48f3-49be-840e-5003fc0a22bd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6E5DB4EA</paraID>
      <start>0</start>
      <end>2</end>
      <status>unmodified</status>
      <modifiedWord/>
      <trackRevisions>false</trackRevisions>
    </reviewItem>
    <reviewItem>
      <errorID>7b2fc167-369a-45e4-867b-71f16e18590f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19454F7</paraID>
      <start>0</start>
      <end>2</end>
      <status>unmodified</status>
      <modifiedWord/>
      <trackRevisions>false</trackRevisions>
    </reviewItem>
    <reviewItem>
      <errorID>02d72c68-bb5c-428c-9754-d6f6548da127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47EB3227</paraID>
      <start>0</start>
      <end>2</end>
      <status>unmodified</status>
      <modifiedWord/>
      <trackRevisions>false</trackRevisions>
    </reviewItem>
    <reviewItem>
      <errorID>9579ca8f-e18a-4849-9139-cbc9964746bb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3E4495ED</paraID>
      <start>0</start>
      <end>2</end>
      <status>unmodified</status>
      <modifiedWord/>
      <trackRevisions>false</trackRevisions>
    </reviewItem>
    <reviewItem>
      <errorID>7ff2ff76-b65c-468b-bdd6-f9de863becd8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D406E5</paraID>
      <start>0</start>
      <end>2</end>
      <status>unmodified</status>
      <modifiedWord/>
      <trackRevisions>false</trackRevisions>
    </reviewItem>
    <reviewItem>
      <errorID>41327ff5-21c6-4fa0-84bc-908438ace9d1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6D20B532</paraID>
      <start>21</start>
      <end>22</end>
      <status>unmodified</status>
      <modifiedWord/>
      <trackRevisions>false</trackRevisions>
    </reviewItem>
    <reviewItem>
      <errorID>e76106f0-fec1-4543-9243-5aa94625d9c5</errorID>
      <errorWord>-</errorWord>
      <group>L1_Format</group>
      <groupName>格式问题</groupName>
      <ability>L2_HalfPunc</ability>
      <abilityName>全半角检查</abilityName>
      <candidateList>
        <item>－</item>
      </candidateList>
      <explain>文本全半角错误。</explain>
      <paraID>6D20B532</paraID>
      <start>62</start>
      <end>63</end>
      <status>unmodified</status>
      <modifiedWord/>
      <trackRevisions>false</trackRevisions>
    </reviewItem>
    <reviewItem>
      <errorID>346df2d8-fbdb-438f-a579-6898856e0cef</errorID>
      <errorWord>(</errorWord>
      <group>L1_Format</group>
      <groupName>格式问题</groupName>
      <ability>L2_HalfPunc</ability>
      <abilityName>全半角检查</abilityName>
      <candidateList>
        <item>（</item>
      </candidateList>
      <explain>文本全半角错误。</explain>
      <paraID>353924E8</paraID>
      <start>56</start>
      <end>57</end>
      <status>unmodified</status>
      <modifiedWord/>
      <trackRevisions>false</trackRevisions>
    </reviewItem>
    <reviewItem>
      <errorID>5c7b4bb7-6dd0-47b8-9bb9-180b998fce2e</errorID>
      <errorWord>)</errorWord>
      <group>L1_Format</group>
      <groupName>格式问题</groupName>
      <ability>L2_HalfPunc</ability>
      <abilityName>全半角检查</abilityName>
      <candidateList>
        <item>）</item>
      </candidateList>
      <explain>文本全半角错误。</explain>
      <paraID>353924E8</paraID>
      <start>65</start>
      <end>66</end>
      <status>unmodified</status>
      <modifiedWord/>
      <trackRevisions>false</trackRevisions>
    </reviewItem>
    <reviewItem>
      <errorID>1b14ea53-c6ed-4f3f-b92e-845252659a02</errorID>
      <errorWord>-</errorWord>
      <group>L1_Format</group>
      <groupName>格式问题</groupName>
      <ability>L2_HalfPunc</ability>
      <abilityName>全半角检查</abilityName>
      <candidateList>
        <item>－</item>
      </candidateList>
      <explain>文本全半角错误。</explain>
      <paraID>6599079E</paraID>
      <start>56</start>
      <end>57</end>
      <status>unmodified</status>
      <modifiedWord/>
      <trackRevisions>false</trackRevisions>
    </reviewItem>
    <reviewItem>
      <errorID>e965d6be-9902-48e6-97e1-37b47a04a338</errorID>
      <errorWord>(</errorWord>
      <group>L1_Format</group>
      <groupName>格式问题</groupName>
      <ability>L2_HalfPunc</ability>
      <abilityName>全半角检查</abilityName>
      <candidateList>
        <item>（</item>
      </candidateList>
      <explain>文本全半角错误。</explain>
      <paraID>6599079E</paraID>
      <start>95</start>
      <end>96</end>
      <status>unmodified</status>
      <modifiedWord/>
      <trackRevisions>false</trackRevisions>
    </reviewItem>
    <reviewItem>
      <errorID>66b3b993-48e4-49ac-b54c-1da6b98f3224</errorID>
      <errorWord>)</errorWord>
      <group>L1_Format</group>
      <groupName>格式问题</groupName>
      <ability>L2_HalfPunc</ability>
      <abilityName>全半角检查</abilityName>
      <candidateList>
        <item>）</item>
      </candidateList>
      <explain>文本全半角错误。</explain>
      <paraID>6599079E</paraID>
      <start>104</start>
      <end>105</end>
      <status>unmodified</status>
      <modifiedWord/>
      <trackRevisions>false</trackRevisions>
    </reviewItem>
    <reviewItem>
      <errorID>67237c8c-19da-4b30-84b6-d46e34c8c5c3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432BD5F8</paraID>
      <start>21</start>
      <end>22</end>
      <status>unmodified</status>
      <modifiedWord/>
      <trackRevisions>false</trackRevisions>
    </reviewItem>
    <reviewItem>
      <errorID>4e222c34-c4ea-42da-9e69-a6a75e2877b3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99087BA</paraID>
      <start>17</start>
      <end>18</end>
      <status>unmodified</status>
      <modifiedWord/>
      <trackRevisions>false</trackRevisions>
    </reviewItem>
    <reviewItem>
      <errorID>67292a73-8002-42ac-9786-1711eed6aeb9</errorID>
      <errorWord>(</errorWord>
      <group>L1_Format</group>
      <groupName>格式问题</groupName>
      <ability>L2_HalfPunc</ability>
      <abilityName>全半角检查</abilityName>
      <candidateList>
        <item>（</item>
      </candidateList>
      <explain>文本全半角错误。</explain>
      <paraID>52078C88</paraID>
      <start>164</start>
      <end>165</end>
      <status>unmodified</status>
      <modifiedWord/>
      <trackRevisions>false</trackRevisions>
    </reviewItem>
    <reviewItem>
      <errorID>cc492ba9-9b67-4f60-b038-21ffb90bd299</errorID>
      <errorWord>)</errorWord>
      <group>L1_Format</group>
      <groupName>格式问题</groupName>
      <ability>L2_HalfPunc</ability>
      <abilityName>全半角检查</abilityName>
      <candidateList>
        <item>）</item>
      </candidateList>
      <explain>文本全半角错误。</explain>
      <paraID>52078C88</paraID>
      <start>167</start>
      <end>168</end>
      <status>unmodified</status>
      <modifiedWord/>
      <trackRevisions>false</trackRevisions>
    </reviewItem>
    <reviewItem>
      <errorID>312cffcf-0d20-4dc1-bae8-cf90c0e95abf</errorID>
      <errorWord>(</errorWord>
      <group>L1_Format</group>
      <groupName>格式问题</groupName>
      <ability>L2_HalfPunc</ability>
      <abilityName>全半角检查</abilityName>
      <candidateList>
        <item>（</item>
      </candidateList>
      <explain>文本全半角错误。</explain>
      <paraID>52078C88</paraID>
      <start>210</start>
      <end>211</end>
      <status>unmodified</status>
      <modifiedWord/>
      <trackRevisions>false</trackRevisions>
    </reviewItem>
    <reviewItem>
      <errorID>28b4018d-102f-4311-a7b1-b1b62a8d3943</errorID>
      <errorWord>)</errorWord>
      <group>L1_Format</group>
      <groupName>格式问题</groupName>
      <ability>L2_HalfPunc</ability>
      <abilityName>全半角检查</abilityName>
      <candidateList>
        <item>）</item>
      </candidateList>
      <explain>文本全半角错误。</explain>
      <paraID>52078C88</paraID>
      <start>222</start>
      <end>223</end>
      <status>unmodified</status>
      <modifiedWord/>
      <trackRevisions>false</trackRevisions>
    </reviewItem>
    <reviewItem>
      <errorID>b61dd927-312d-4791-9969-64e0cdec5e60</errorID>
      <errorWord>件</errorWord>
      <group>L1_Word</group>
      <groupName>字词问题</groupName>
      <ability>L2_Typo</ability>
      <abilityName>字词错误</abilityName>
      <candidateList>
        <item>件和</item>
      </candidateList>
      <explain/>
      <paraID>52078C88</paraID>
      <start>368</start>
      <end>369</end>
      <status>unmodified</status>
      <modifiedWord/>
      <trackRevisions>false</trackRevisions>
    </reviewItem>
    <reviewItem>
      <errorID>6d87b93d-3c33-4306-b93a-eb85d8002d04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52078C88</paraID>
      <start>420</start>
      <end>421</end>
      <status>unmodified</status>
      <modifiedWord/>
      <trackRevisions>false</trackRevisions>
    </reviewItem>
    <reviewItem>
      <errorID>454ebc86-fe3e-4a39-ab1d-6bd49fe3b768</errorID>
      <errorWord>II级</errorWord>
      <group>L1_Knowledge</group>
      <groupName>知识性问题</groupName>
      <ability>L2_Knowledge</ability>
      <abilityName>其他知识</abilityName>
      <candidateList>
        <item>Ⅱ级</item>
      </candidateList>
      <explain/>
      <paraID>4D62A83A</paraID>
      <start>285</start>
      <end>288</end>
      <status>unmodified</status>
      <modifiedWord/>
      <trackRevisions>false</trackRevisions>
    </reviewItem>
    <reviewItem>
      <errorID>2390a9ae-9005-4070-b294-e35fc6e60ec1</errorID>
      <errorWord>(</errorWord>
      <group>L1_Format</group>
      <groupName>格式问题</groupName>
      <ability>L2_HalfPunc</ability>
      <abilityName>全半角检查</abilityName>
      <candidateList>
        <item>（</item>
      </candidateList>
      <explain>文本全半角错误。</explain>
      <paraID>2DBB97D7</paraID>
      <start>237</start>
      <end>238</end>
      <status>unmodified</status>
      <modifiedWord/>
      <trackRevisions>false</trackRevisions>
    </reviewItem>
    <reviewItem>
      <errorID>3640d348-4678-4cae-8a85-299cc52f3eea</errorID>
      <errorWord>)</errorWord>
      <group>L1_Format</group>
      <groupName>格式问题</groupName>
      <ability>L2_HalfPunc</ability>
      <abilityName>全半角检查</abilityName>
      <candidateList>
        <item>）</item>
      </candidateList>
      <explain>文本全半角错误。</explain>
      <paraID>2DBB97D7</paraID>
      <start>240</start>
      <end>241</end>
      <status>unmodified</status>
      <modifiedWord/>
      <trackRevisions>false</trackRevisions>
    </reviewItem>
    <reviewItem>
      <errorID>0a1e219c-8245-4c7d-9f34-03b32a97f5e6</errorID>
      <errorWord>(</errorWord>
      <group>L1_Format</group>
      <groupName>格式问题</groupName>
      <ability>L2_HalfPunc</ability>
      <abilityName>全半角检查</abilityName>
      <candidateList>
        <item>（</item>
      </candidateList>
      <explain>文本全半角错误。</explain>
      <paraID>2DBB97D7</paraID>
      <start>283</start>
      <end>284</end>
      <status>unmodified</status>
      <modifiedWord/>
      <trackRevisions>false</trackRevisions>
    </reviewItem>
    <reviewItem>
      <errorID>a005e8e8-75ca-400c-9a5b-e6e1a9640d9f</errorID>
      <errorWord>)</errorWord>
      <group>L1_Format</group>
      <groupName>格式问题</groupName>
      <ability>L2_HalfPunc</ability>
      <abilityName>全半角检查</abilityName>
      <candidateList>
        <item>）</item>
      </candidateList>
      <explain>文本全半角错误。</explain>
      <paraID>2DBB97D7</paraID>
      <start>295</start>
      <end>296</end>
      <status>unmodified</status>
      <modifiedWord/>
      <trackRevisions>false</trackRevisions>
    </reviewItem>
    <reviewItem>
      <errorID>14ada2aa-d3c6-4c0a-9d74-756edb339be7</errorID>
      <errorWord>(</errorWord>
      <group>L1_Format</group>
      <groupName>格式问题</groupName>
      <ability>L2_HalfPunc</ability>
      <abilityName>全半角检查</abilityName>
      <candidateList>
        <item>（</item>
      </candidateList>
      <explain>文本全半角错误。</explain>
      <paraID>2DBB97D7</paraID>
      <start>332</start>
      <end>333</end>
      <status>unmodified</status>
      <modifiedWord/>
      <trackRevisions>false</trackRevisions>
    </reviewItem>
    <reviewItem>
      <errorID>a3a9688b-ee95-4652-b44b-29c72d8932e0</errorID>
      <errorWord>)</errorWord>
      <group>L1_Format</group>
      <groupName>格式问题</groupName>
      <ability>L2_HalfPunc</ability>
      <abilityName>全半角检查</abilityName>
      <candidateList>
        <item>）</item>
      </candidateList>
      <explain>文本全半角错误。</explain>
      <paraID>2DBB97D7</paraID>
      <start>335</start>
      <end>336</end>
      <status>unmodified</status>
      <modifiedWord/>
      <trackRevisions>false</trackRevisions>
    </reviewItem>
    <reviewItem>
      <errorID>09adaebb-6e7a-4649-ad3b-2aab68f9bde1</errorID>
      <errorWord>0.5~7万</errorWord>
      <group>L1_Knowledge</group>
      <groupName>知识性问题</groupName>
      <ability>L2_Knowledge</ability>
      <abilityName>其他知识</abilityName>
      <candidateList>
        <item>0.5万～7万</item>
      </candidateList>
      <explain>1. “0.5~7万”中的单位“万”仅出现在后一个数字上，容易引起歧义；根据《现代汉语标点符号数字用法规范手册》，数字表示范围两边需要使用统一的格式。2.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 C548ACD</paraID>
      <start>26</start>
      <end>32</end>
      <status>unmodified</status>
      <modifiedWord/>
      <trackRevisions>false</trackRevisions>
    </reviewItem>
    <reviewItem>
      <errorID>8a1db036-e415-4cd1-81bd-8e089f05bc0c</errorID>
      <errorWord>~</errorWord>
      <group>L1_Format</group>
      <groupName>格式问题</groupName>
      <ability>L2_HalfPunc</ability>
      <abilityName>全半角检查</abilityName>
      <candidateList>
        <item>～</item>
      </candidateList>
      <explain>文本全半角错误。</explain>
      <paraID> C548ACD</paraID>
      <start>48</start>
      <end>49</end>
      <status>unmodified</status>
      <modifiedWord/>
      <trackRevisions>false</trackRevisions>
    </reviewItem>
    <reviewItem>
      <errorID>0c1f6958-f8f6-4d75-8279-18428e683a39</errorID>
      <errorWord>(</errorWord>
      <group>L1_Format</group>
      <groupName>格式问题</groupName>
      <ability>L2_HalfPunc</ability>
      <abilityName>全半角检查</abilityName>
      <candidateList>
        <item>（</item>
      </candidateList>
      <explain>文本全半角错误。</explain>
      <paraID>54E0838E</paraID>
      <start>4</start>
      <end>5</end>
      <status>unmodified</status>
      <modifiedWord/>
      <trackRevisions>false</trackRevisions>
    </reviewItem>
    <reviewItem>
      <errorID>1e04df3d-e5ac-4fbd-9f20-00483f9bcf78</errorID>
      <errorWord>)</errorWord>
      <group>L1_Format</group>
      <groupName>格式问题</groupName>
      <ability>L2_HalfPunc</ability>
      <abilityName>全半角检查</abilityName>
      <candidateList>
        <item>）</item>
      </candidateList>
      <explain>文本全半角错误。</explain>
      <paraID>54E0838E</paraID>
      <start>6</start>
      <end>7</end>
      <status>unmodified</status>
      <modifiedWord/>
      <trackRevisions>false</trackRevisions>
    </reviewItem>
    <reviewItem>
      <errorID>09f7ae00-6918-4808-85f1-5ed98f147bb4</errorID>
      <errorWord>用时</errorWord>
      <group>L1_Word</group>
      <groupName>字词问题</groupName>
      <ability>L2_Typo</ability>
      <abilityName>字词错误</abilityName>
      <candidateList>
        <item>同时</item>
      </candidateList>
      <explain>存在发音相近字词的误用。</explain>
      <paraID>50B86510</paraID>
      <start>32</start>
      <end>34</end>
      <status>modified</status>
      <modifiedWord>同时</modifiedWord>
      <trackRevisions>false</trackRevisions>
    </reviewItem>
    <reviewItem>
      <errorID>46d0792b-87a0-4593-a341-0189a676774b</errorID>
      <errorWord>)</errorWord>
      <group>L1_Format</group>
      <groupName>格式问题</groupName>
      <ability>L2_HalfPunc</ability>
      <abilityName>全半角检查</abilityName>
      <candidateList>
        <item>）</item>
      </candidateList>
      <explain>文本全半角错误。</explain>
      <paraID> 7B1DC95</paraID>
      <start>207</start>
      <end>208</end>
      <status>unmodified</status>
      <modifiedWord/>
      <trackRevisions>false</trackRevisions>
    </reviewItem>
    <reviewItem>
      <errorID>119cb1e1-a3bd-4a7a-b81e-94b8e769a305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6F4079A1</paraID>
      <start>0</start>
      <end>2</end>
      <status>unmodified</status>
      <modifiedWord/>
      <trackRevisions>false</trackRevisions>
    </reviewItem>
    <reviewItem>
      <errorID>29281878-f1a3-4dd3-969e-06455a0cb9ce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705A2009</paraID>
      <start>19</start>
      <end>20</end>
      <status>unmodified</status>
      <modifiedWord/>
      <trackRevisions>false</trackRevisions>
    </reviewItem>
    <reviewItem>
      <errorID>b116f21a-8edc-4d31-ae96-ef3be6657133</errorID>
      <errorWord>-</errorWord>
      <group>L1_Format</group>
      <groupName>格式问题</groupName>
      <ability>L2_HalfPunc</ability>
      <abilityName>全半角检查</abilityName>
      <candidateList>
        <item>－</item>
      </candidateList>
      <explain>文本全半角错误。</explain>
      <paraID>705A2009</paraID>
      <start>58</start>
      <end>59</end>
      <status>unmodified</status>
      <modifiedWord/>
      <trackRevisions>false</trackRevisions>
    </reviewItem>
    <reviewItem>
      <errorID>90758bd8-9bd7-4551-80fe-937a815c10eb</errorID>
      <errorWord>-</errorWord>
      <group>L1_Format</group>
      <groupName>格式问题</groupName>
      <ability>L2_HalfPunc</ability>
      <abilityName>全半角检查</abilityName>
      <candidateList>
        <item>－</item>
      </candidateList>
      <explain>文本全半角错误。</explain>
      <paraID>705A2009</paraID>
      <start>62</start>
      <end>63</end>
      <status>unmodified</status>
      <modifiedWord/>
      <trackRevisions>false</trackRevisions>
    </reviewItem>
    <reviewItem>
      <errorID>edd08db6-5ed8-4a47-b0c3-a6ea61abfaa8</errorID>
      <errorWord>-</errorWord>
      <group>L1_Format</group>
      <groupName>格式问题</groupName>
      <ability>L2_HalfPunc</ability>
      <abilityName>全半角检查</abilityName>
      <candidateList>
        <item>－</item>
      </candidateList>
      <explain>文本全半角错误。</explain>
      <paraID>28CA96DD</paraID>
      <start>171</start>
      <end>172</end>
      <status>unmodified</status>
      <modifiedWord/>
      <trackRevisions>false</trackRevisions>
    </reviewItem>
    <reviewItem>
      <errorID>c8f27b46-e454-41ee-99db-fe2e7f05fa86</errorID>
      <errorWord>-</errorWord>
      <group>L1_Format</group>
      <groupName>格式问题</groupName>
      <ability>L2_HalfPunc</ability>
      <abilityName>全半角检查</abilityName>
      <candidateList>
        <item>－</item>
      </candidateList>
      <explain>文本全半角错误。</explain>
      <paraID>28CA96DD</paraID>
      <start>175</start>
      <end>176</end>
      <status>unmodified</status>
      <modifiedWord/>
      <trackRevisions>false</trackRevisions>
    </reviewItem>
    <reviewItem>
      <errorID>1646e218-b99f-41a2-b48f-3242fefc9a79</errorID>
      <errorWord>(</errorWord>
      <group>L1_Format</group>
      <groupName>格式问题</groupName>
      <ability>L2_HalfPunc</ability>
      <abilityName>全半角检查</abilityName>
      <candidateList>
        <item>（</item>
      </candidateList>
      <explain>文本全半角错误。</explain>
      <paraID>1BBF4B2F</paraID>
      <start>57</start>
      <end>58</end>
      <status>unmodified</status>
      <modifiedWord/>
      <trackRevisions>false</trackRevisions>
    </reviewItem>
    <reviewItem>
      <errorID>add5a91f-a224-4056-8b7e-ae3f0cb4452a</errorID>
      <errorWord>)</errorWord>
      <group>L1_Format</group>
      <groupName>格式问题</groupName>
      <ability>L2_HalfPunc</ability>
      <abilityName>全半角检查</abilityName>
      <candidateList>
        <item>）</item>
      </candidateList>
      <explain>文本全半角错误。</explain>
      <paraID>1BBF4B2F</paraID>
      <start>67</start>
      <end>68</end>
      <status>unmodified</status>
      <modifiedWord/>
      <trackRevisions>false</trackRevisions>
    </reviewItem>
    <reviewItem>
      <errorID>73a60595-9e8e-42f1-81ad-44b9e0a07841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5B02D08</paraID>
      <start>66</start>
      <end>67</end>
      <status>unmodified</status>
      <modifiedWord/>
      <trackRevisions>false</trackRevisions>
    </reviewItem>
    <reviewItem>
      <errorID>c6971e27-c51a-40b3-a573-58fa808c38e5</errorID>
      <errorWord>(</errorWord>
      <group>L1_Format</group>
      <groupName>格式问题</groupName>
      <ability>L2_HalfPunc</ability>
      <abilityName>全半角检查</abilityName>
      <candidateList>
        <item>（</item>
      </candidateList>
      <explain>文本全半角错误。</explain>
      <paraID>10657CCE</paraID>
      <start>38</start>
      <end>39</end>
      <status>unmodified</status>
      <modifiedWord/>
      <trackRevisions>false</trackRevisions>
    </reviewItem>
    <reviewItem>
      <errorID>48861d76-ee83-4afb-bcb4-15651b8c0a63</errorID>
      <errorWord>)</errorWord>
      <group>L1_Format</group>
      <groupName>格式问题</groupName>
      <ability>L2_HalfPunc</ability>
      <abilityName>全半角检查</abilityName>
      <candidateList>
        <item>）</item>
      </candidateList>
      <explain>文本全半角错误。</explain>
      <paraID>10657CCE</paraID>
      <start>50</start>
      <end>51</end>
      <status>unmodified</status>
      <modifiedWord/>
      <trackRevisions>false</trackRevisions>
    </reviewItem>
    <reviewItem>
      <errorID>4c1806d1-1d8d-4122-b6a1-c932aa49b925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5049540F</paraID>
      <start>0</start>
      <end>2</end>
      <status>unmodified</status>
      <modifiedWord/>
      <trackRevisions>false</trackRevisions>
    </reviewItem>
    <reviewItem>
      <errorID>7a54c417-0e93-4979-9206-7e15726ff0b0</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794ABFA</paraID>
      <start>20</start>
      <end>21</end>
      <status>modified</status>
      <modifiedWord>等</modifiedWord>
      <trackRevisions>false</trackRevisions>
    </reviewItem>
    <reviewItem>
      <errorID>212ac998-47a1-4d81-8e0e-f295edf6b41c</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6B171604</paraID>
      <start>13</start>
      <end>16</end>
      <status>unmodified</status>
      <modifiedWord/>
      <trackRevisions>false</trackRevisions>
    </reviewItem>
    <reviewItem>
      <errorID>68560095-b55b-4a73-bbf4-46c514b3f10a</errorID>
      <errorWord>（</errorWord>
      <group>L1_Punc</group>
      <groupName>标点问题</groupName>
      <ability>L2_Punc</ability>
      <abilityName>标点符号检查</abilityName>
      <candidateList/>
      <explain>同一形式括号套用。</explain>
      <paraID> 347FA1C</paraID>
      <start>18</start>
      <end>19</end>
      <status>unmodified</status>
      <modifiedWord/>
      <trackRevisions>false</trackRevisions>
    </reviewItem>
    <reviewItem>
      <errorID>253d2d66-d282-4d9e-938e-4482466afc26</errorID>
      <errorWord>）</errorWord>
      <group>L1_Punc</group>
      <groupName>标点问题</groupName>
      <ability>L2_Punc</ability>
      <abilityName>标点符号检查</abilityName>
      <candidateList/>
      <explain>同一形式括号套用。</explain>
      <paraID> 347FA1C</paraID>
      <start>23</start>
      <end>24</end>
      <status>unmodified</status>
      <modifiedWord/>
      <trackRevisions>false</trackRevisions>
    </reviewItem>
    <reviewItem>
      <errorID>974d6f55-dfe2-4387-88a7-67b1cf66a1d3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8F66409</paraID>
      <start>0</start>
      <end>2</end>
      <status>unmodified</status>
      <modifiedWord/>
      <trackRevisions>false</trackRevisions>
    </reviewItem>
    <reviewItem>
      <errorID>2955a48d-527d-4eb2-b2ac-b7839ceff59c</errorID>
      <errorWord>）</errorWord>
      <group>L1_Format</group>
      <groupName>格式问题</groupName>
      <ability>L2_HalfPunc</ability>
      <abilityName>全半角检查</abilityName>
      <candidateList>
        <item>)</item>
      </candidateList>
      <explain>文本全半角错误。</explain>
      <paraID>491CD4BF</paraID>
      <start>11</start>
      <end>12</end>
      <status>unmodified</status>
      <modifiedWord/>
      <trackRevisions>false</trackRevisions>
    </reviewItem>
    <reviewItem>
      <errorID>fb46a0dc-527b-4a5c-86cb-259fcb3a3195</errorID>
      <errorWord>）</errorWord>
      <group>L1_Format</group>
      <groupName>格式问题</groupName>
      <ability>L2_HalfPunc</ability>
      <abilityName>全半角检查</abilityName>
      <candidateList>
        <item>)</item>
      </candidateList>
      <explain>文本全半角错误。</explain>
      <paraID>7E5F73CE</paraID>
      <start>10</start>
      <end>11</end>
      <status>unmodified</status>
      <modifiedWord/>
      <trackRevisions>false</trackRevisions>
    </reviewItem>
    <reviewItem>
      <errorID>a823ef2c-4030-49d5-ad24-2ff07f79b5d6</errorID>
      <errorWord>）</errorWord>
      <group>L1_Format</group>
      <groupName>格式问题</groupName>
      <ability>L2_HalfPunc</ability>
      <abilityName>全半角检查</abilityName>
      <candidateList>
        <item>)</item>
      </candidateList>
      <explain>文本全半角错误。</explain>
      <paraID>75F02A08</paraID>
      <start>10</start>
      <end>11</end>
      <status>unmodified</status>
      <modifiedWord/>
      <trackRevisions>false</trackRevisions>
    </reviewItem>
    <reviewItem>
      <errorID>32cdc936-9842-4595-86cb-bb767b5fc1e0</errorID>
      <errorWord>）</errorWord>
      <group>L1_Format</group>
      <groupName>格式问题</groupName>
      <ability>L2_HalfPunc</ability>
      <abilityName>全半角检查</abilityName>
      <candidateList>
        <item>)</item>
      </candidateList>
      <explain>文本全半角错误。</explain>
      <paraID>2C4AAF3F</paraID>
      <start>10</start>
      <end>11</end>
      <status>unmodified</status>
      <modifiedWord/>
      <trackRevisions>false</trackRevisions>
    </reviewItem>
    <reviewItem>
      <errorID>9cc36e84-cdbf-4603-8626-36b5a8cc3ec8</errorID>
      <errorWord>）</errorWord>
      <group>L1_Format</group>
      <groupName>格式问题</groupName>
      <ability>L2_HalfPunc</ability>
      <abilityName>全半角检查</abilityName>
      <candidateList>
        <item>)</item>
      </candidateList>
      <explain>文本全半角错误。</explain>
      <paraID>4F0873BA</paraID>
      <start>11</start>
      <end>12</end>
      <status>unmodified</status>
      <modifiedWord/>
      <trackRevisions>false</trackRevisions>
    </reviewItem>
    <reviewItem>
      <errorID>cfda0772-ee68-4c46-b8d2-6b955a7586eb</errorID>
      <errorWord>）</errorWord>
      <group>L1_Format</group>
      <groupName>格式问题</groupName>
      <ability>L2_HalfPunc</ability>
      <abilityName>全半角检查</abilityName>
      <candidateList>
        <item>)</item>
      </candidateList>
      <explain>文本全半角错误。</explain>
      <paraID>4D8A7FEC</paraID>
      <start>10</start>
      <end>11</end>
      <status>unmodified</status>
      <modifiedWord/>
      <trackRevisions>false</trackRevisions>
    </reviewItem>
    <reviewItem>
      <errorID>37bf5eef-b66e-4ff9-a891-ade3613c9ae2</errorID>
      <errorWord>）</errorWord>
      <group>L1_Format</group>
      <groupName>格式问题</groupName>
      <ability>L2_HalfPunc</ability>
      <abilityName>全半角检查</abilityName>
      <candidateList>
        <item>)</item>
      </candidateList>
      <explain>文本全半角错误。</explain>
      <paraID>4EF6EC15</paraID>
      <start>12</start>
      <end>13</end>
      <status>unmodified</status>
      <modifiedWord/>
      <trackRevisions>false</trackRevisions>
    </reviewItem>
    <reviewItem>
      <errorID>2a3a3d89-b4b2-4695-a0f0-b81cfe16ba2c</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2D04C5EA</paraID>
      <start>13</start>
      <end>16</end>
      <status>unmodified</status>
      <modifiedWord/>
      <trackRevisions>false</trackRevisions>
    </reviewItem>
    <reviewItem>
      <errorID>fbb429f9-de92-47c4-b618-d0df45918d68</errorID>
      <errorWord>）</errorWord>
      <group>L1_Format</group>
      <groupName>格式问题</groupName>
      <ability>L2_HalfPunc</ability>
      <abilityName>全半角检查</abilityName>
      <candidateList>
        <item>)</item>
      </candidateList>
      <explain>文本全半角错误。</explain>
      <paraID>4AAA5E7B</paraID>
      <start>10</start>
      <end>11</end>
      <status>unmodified</status>
      <modifiedWord/>
      <trackRevisions>false</trackRevisions>
    </reviewItem>
    <reviewItem>
      <errorID>1356af6e-09e8-47a5-b165-df1bcf092fa4</errorID>
      <errorWord>）</errorWord>
      <group>L1_Format</group>
      <groupName>格式问题</groupName>
      <ability>L2_HalfPunc</ability>
      <abilityName>全半角检查</abilityName>
      <candidateList>
        <item>)</item>
      </candidateList>
      <explain>文本全半角错误。</explain>
      <paraID>4FF73B1C</paraID>
      <start>10</start>
      <end>11</end>
      <status>unmodified</status>
      <modifiedWord/>
      <trackRevisions>false</trackRevisions>
    </reviewItem>
    <reviewItem>
      <errorID>e3bdec1e-74e7-4e12-98d6-966675184a5d</errorID>
      <errorWord>)</errorWord>
      <group>L1_Format</group>
      <groupName>格式问题</groupName>
      <ability>L2_HalfPunc</ability>
      <abilityName>全半角检查</abilityName>
      <candidateList>
        <item>）</item>
      </candidateList>
      <explain>文本全半角错误。</explain>
      <paraID>7BEB697D</paraID>
      <start>18</start>
      <end>19</end>
      <status>unmodified</status>
      <modifiedWord/>
      <trackRevisions>false</trackRevisions>
    </reviewItem>
    <reviewItem>
      <errorID>5ec90ba7-135c-44fc-b805-26909fe2be67</errorID>
      <errorWord>*</errorWord>
      <group>L1_Punc</group>
      <groupName>标点问题</groupName>
      <ability>L2_Punc</ability>
      <abilityName>标点符号检查</abilityName>
      <candidateList/>
      <explain/>
      <paraID>2D1A7F38</paraID>
      <start>0</start>
      <end>1</end>
      <status>unmodified</status>
      <modifiedWord/>
      <trackRevisions>false</trackRevisions>
    </reviewItem>
    <reviewItem>
      <errorID>dcc895b2-9057-4d63-a581-bbeb5d845a98</errorID>
      <errorWord>&lt;</errorWord>
      <group>L1_Format</group>
      <groupName>格式问题</groupName>
      <ability>L2_HalfPunc</ability>
      <abilityName>全半角检查</abilityName>
      <candidateList>
        <item>〈</item>
      </candidateList>
      <explain>文本全半角错误。</explain>
      <paraID>2D1A7F38</paraID>
      <start>15</start>
      <end>16</end>
      <status>unmodified</status>
      <modifiedWord/>
      <trackRevisions>false</trackRevisions>
    </reviewItem>
    <reviewItem>
      <errorID>f54e0739-66e6-4109-be36-64bb6c196f71</errorID>
      <errorWord>(&gt;</errorWord>
      <group>L1_Punc</group>
      <groupName>标点问题</groupName>
      <ability>L2_Punc</ability>
      <abilityName>标点符号检查</abilityName>
      <candidateList>
        <item>(</item>
      </candidateList>
      <explain/>
      <paraID> AFE311C</paraID>
      <start>0</start>
      <end>2</end>
      <status>unmodified</status>
      <modifiedWord/>
      <trackRevisions>false</trackRevisions>
    </reviewItem>
    <reviewItem>
      <errorID>51d49be1-6e53-47ce-bf2a-9c4dbdc2b18f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6EA0F1FF</paraID>
      <start>0</start>
      <end>1</end>
      <status>unmodified</status>
      <modifiedWord/>
      <trackRevisions>false</trackRevisions>
    </reviewItem>
    <reviewItem>
      <errorID>df2992b7-9ad5-4cb3-9a0d-1c30691a414f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6EA0F1FF</paraID>
      <start>10</start>
      <end>11</end>
      <status>unmodified</status>
      <modifiedWord/>
      <trackRevisions>false</trackRevisions>
    </reviewItem>
    <reviewItem>
      <errorID>ac075408-10ce-4cd4-9c2a-44ef17fb0a9c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5CB00266</paraID>
      <start>0</start>
      <end>1</end>
      <status>unmodified</status>
      <modifiedWord/>
      <trackRevisions>false</trackRevisions>
    </reviewItem>
    <reviewItem>
      <errorID>21948a7c-1507-4d5a-9de8-162d3b241a1a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5CB00266</paraID>
      <start>10</start>
      <end>11</end>
      <status>unmodified</status>
      <modifiedWord/>
      <trackRevisions>false</trackRevisions>
    </reviewItem>
    <reviewItem>
      <errorID>9fd74337-bb9f-4f82-9f80-888f5aa9cdc3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4D7BD94C</paraID>
      <start>0</start>
      <end>1</end>
      <status>unmodified</status>
      <modifiedWord/>
      <trackRevisions>false</trackRevisions>
    </reviewItem>
    <reviewItem>
      <errorID>4b53c14b-ddd8-4710-b302-a2d9a656b9e8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4D7BD94C</paraID>
      <start>9</start>
      <end>10</end>
      <status>unmodified</status>
      <modifiedWord/>
      <trackRevisions>false</trackRevisions>
    </reviewItem>
    <reviewItem>
      <errorID>08ac052d-719b-4df5-b32d-c911e920fef6</errorID>
      <errorWord>*</errorWord>
      <group>L1_Punc</group>
      <groupName>标点问题</groupName>
      <ability>L2_Punc</ability>
      <abilityName>标点符号检查</abilityName>
      <candidateList/>
      <explain/>
      <paraID>37BACA10</paraID>
      <start>0</start>
      <end>1</end>
      <status>unmodified</status>
      <modifiedWord/>
      <trackRevisions>false</trackRevisions>
    </reviewItem>
    <reviewItem>
      <errorID>59253406-cee9-42c4-8845-b2e1123d8ec7</errorID>
      <errorWord>(</errorWord>
      <group>L1_Format</group>
      <groupName>格式问题</groupName>
      <ability>L2_HalfPunc</ability>
      <abilityName>全半角检查</abilityName>
      <candidateList>
        <item>（</item>
      </candidateList>
      <explain>文本全半角错误。</explain>
      <paraID>689E989F</paraID>
      <start>5</start>
      <end>6</end>
      <status>unmodified</status>
      <modifiedWord/>
      <trackRevisions>false</trackRevisions>
    </reviewItem>
    <reviewItem>
      <errorID>62c826f1-462f-4675-b516-230ed1733a8e</errorID>
      <errorWord>(</errorWord>
      <group>L1_Format</group>
      <groupName>格式问题</groupName>
      <ability>L2_HalfPunc</ability>
      <abilityName>全半角检查</abilityName>
      <candidateList>
        <item>（</item>
      </candidateList>
      <explain>文本全半角错误。</explain>
      <paraID>7BD64D81</paraID>
      <start>5</start>
      <end>6</end>
      <status>unmodified</status>
      <modifiedWord/>
      <trackRevisions>false</trackRevisions>
    </reviewItem>
    <reviewItem>
      <errorID>f4392a79-b4ad-4cee-87de-276821a99940</errorID>
      <errorWord>(</errorWord>
      <group>L1_Format</group>
      <groupName>格式问题</groupName>
      <ability>L2_HalfPunc</ability>
      <abilityName>全半角检查</abilityName>
      <candidateList>
        <item>（</item>
      </candidateList>
      <explain>文本全半角错误。</explain>
      <paraID>3F24F902</paraID>
      <start>5</start>
      <end>6</end>
      <status>unmodified</status>
      <modifiedWord/>
      <trackRevisions>false</trackRevisions>
    </reviewItem>
    <reviewItem>
      <errorID>56e67e02-8394-4fba-80b0-3dcc347e7751</errorID>
      <errorWord>(</errorWord>
      <group>L1_Format</group>
      <groupName>格式问题</groupName>
      <ability>L2_HalfPunc</ability>
      <abilityName>全半角检查</abilityName>
      <candidateList>
        <item>（</item>
      </candidateList>
      <explain>文本全半角错误。</explain>
      <paraID> 491475A</paraID>
      <start>5</start>
      <end>6</end>
      <status>unmodified</status>
      <modifiedWord/>
      <trackRevisions>false</trackRevisions>
    </reviewItem>
    <reviewItem>
      <errorID>c97bd062-61e9-4d1d-b413-cd2a58c3d88e</errorID>
      <errorWord>)</errorWord>
      <group>L1_Format</group>
      <groupName>格式问题</groupName>
      <ability>L2_HalfPunc</ability>
      <abilityName>全半角检查</abilityName>
      <candidateList>
        <item>）</item>
      </candidateList>
      <explain>文本全半角错误。</explain>
      <paraID> 491475A</paraID>
      <start>8</start>
      <end>9</end>
      <status>unmodified</status>
      <modifiedWord/>
      <trackRevisions>false</trackRevisions>
    </reviewItem>
    <reviewItem>
      <errorID>15dac6ca-7045-4fc5-a0a4-f36e5fc6042b</errorID>
      <errorWord>(</errorWord>
      <group>L1_Format</group>
      <groupName>格式问题</groupName>
      <ability>L2_HalfPunc</ability>
      <abilityName>全半角检查</abilityName>
      <candidateList>
        <item>（</item>
      </candidateList>
      <explain>文本全半角错误。</explain>
      <paraID>546D1DF2</paraID>
      <start>5</start>
      <end>6</end>
      <status>unmodified</status>
      <modifiedWord/>
      <trackRevisions>false</trackRevisions>
    </reviewItem>
    <reviewItem>
      <errorID>156bdf30-834c-486f-87f1-98a11f38dc02</errorID>
      <errorWord>)</errorWord>
      <group>L1_Format</group>
      <groupName>格式问题</groupName>
      <ability>L2_HalfPunc</ability>
      <abilityName>全半角检查</abilityName>
      <candidateList>
        <item>）</item>
      </candidateList>
      <explain>文本全半角错误。</explain>
      <paraID>546D1DF2</paraID>
      <start>8</start>
      <end>9</end>
      <status>unmodified</status>
      <modifiedWord/>
      <trackRevisions>false</trackRevisions>
    </reviewItem>
    <reviewItem>
      <errorID>83d145d2-6e7b-4598-9c6f-f9a5602f920c</errorID>
      <errorWord>(</errorWord>
      <group>L1_Format</group>
      <groupName>格式问题</groupName>
      <ability>L2_HalfPunc</ability>
      <abilityName>全半角检查</abilityName>
      <candidateList>
        <item>（</item>
      </candidateList>
      <explain>文本全半角错误。</explain>
      <paraID>52FB2E8A</paraID>
      <start>5</start>
      <end>6</end>
      <status>unmodified</status>
      <modifiedWord/>
      <trackRevisions>false</trackRevisions>
    </reviewItem>
    <reviewItem>
      <errorID>47168893-69ef-4775-9770-4501cbf1d43b</errorID>
      <errorWord>)</errorWord>
      <group>L1_Format</group>
      <groupName>格式问题</groupName>
      <ability>L2_HalfPunc</ability>
      <abilityName>全半角检查</abilityName>
      <candidateList>
        <item>）</item>
      </candidateList>
      <explain>文本全半角错误。</explain>
      <paraID>52FB2E8A</paraID>
      <start>8</start>
      <end>9</end>
      <status>unmodified</status>
      <modifiedWord/>
      <trackRevisions>false</trackRevisions>
    </reviewItem>
    <reviewItem>
      <errorID>b5ba958a-b8d9-4270-8896-0a6d083e52f0</errorID>
      <errorWord>)</errorWord>
      <group>L1_Format</group>
      <groupName>格式问题</groupName>
      <ability>L2_HalfPunc</ability>
      <abilityName>全半角检查</abilityName>
      <candidateList>
        <item>）</item>
      </candidateList>
      <explain>文本全半角错误。</explain>
      <paraID>40537D60</paraID>
      <start>116</start>
      <end>117</end>
      <status>unmodified</status>
      <modifiedWord/>
      <trackRevisions>false</trackRevisions>
    </reviewItem>
    <reviewItem>
      <errorID>db8a7f5f-4669-4abc-bddf-c338cfa1bf9c</errorID>
      <errorWord>(</errorWord>
      <group>L1_Format</group>
      <groupName>格式问题</groupName>
      <ability>L2_HalfPunc</ability>
      <abilityName>全半角检查</abilityName>
      <candidateList>
        <item>（</item>
      </candidateList>
      <explain>文本全半角错误。</explain>
      <paraID>2D2F9AD3</paraID>
      <start>32</start>
      <end>33</end>
      <status>unmodified</status>
      <modifiedWord/>
      <trackRevisions>false</trackRevisions>
    </reviewItem>
    <reviewItem>
      <errorID>95c92978-b38d-40c0-99b2-528400372e11</errorID>
      <errorWord>)</errorWord>
      <group>L1_Format</group>
      <groupName>格式问题</groupName>
      <ability>L2_HalfPunc</ability>
      <abilityName>全半角检查</abilityName>
      <candidateList>
        <item>）</item>
      </candidateList>
      <explain>文本全半角错误。</explain>
      <paraID>2D2F9AD3</paraID>
      <start>42</start>
      <end>43</end>
      <status>unmodified</status>
      <modifiedWord/>
      <trackRevisions>false</trackRevisions>
    </reviewItem>
    <reviewItem>
      <errorID>d63f0f3c-a5e9-4dc1-a671-fcac2b12e11b</errorID>
      <errorWord>-</errorWord>
      <group>L1_Format</group>
      <groupName>格式问题</groupName>
      <ability>L2_HalfPunc</ability>
      <abilityName>全半角检查</abilityName>
      <candidateList>
        <item>－</item>
      </candidateList>
      <explain>文本全半角错误。</explain>
      <paraID>71976AAD</paraID>
      <start>64</start>
      <end>65</end>
      <status>unmodified</status>
      <modifiedWord/>
      <trackRevisions>false</trackRevisions>
    </reviewItem>
    <reviewItem>
      <errorID>ebab71a1-5122-4589-895c-1c540ca3171a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7C7EE91A</paraID>
      <start>0</start>
      <end>2</end>
      <status>unmodified</status>
      <modifiedWord/>
      <trackRevisions>false</trackRevisions>
    </reviewItem>
    <reviewItem>
      <errorID>3a1e50c2-fdd5-4beb-85fc-8d177a51e0cb</errorID>
      <errorWord>IV</errorWord>
      <group>L1_Knowledge</group>
      <groupName>知识性问题</groupName>
      <ability>L2_Knowledge</ability>
      <abilityName>其他知识</abilityName>
      <candidateList>
        <item>Ⅳ</item>
      </candidateList>
      <explain/>
      <paraID>534DBA16</paraID>
      <start>66</start>
      <end>68</end>
      <status>unmodified</status>
      <modifiedWord/>
      <trackRevisions>false</trackRevisions>
    </reviewItem>
    <reviewItem>
      <errorID>e30bb5df-9f20-4703-bff6-3d968d2fd782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585E9E21</paraID>
      <start>75</start>
      <end>76</end>
      <status>unmodified</status>
      <modifiedWord/>
      <trackRevisions>false</trackRevisions>
    </reviewItem>
    <reviewItem>
      <errorID>037de229-2ce9-4e61-aba9-109c2072f000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3249ADE7</paraID>
      <start>0</start>
      <end>2</end>
      <status>unmodified</status>
      <modifiedWord/>
      <trackRevisions>false</trackRevisions>
    </reviewItem>
    <reviewItem>
      <errorID>acf74277-1b98-4004-bd89-ac9f45d86154</errorID>
      <errorWord>(</errorWord>
      <group>L1_Format</group>
      <groupName>格式问题</groupName>
      <ability>L2_HalfPunc</ability>
      <abilityName>全半角检查</abilityName>
      <candidateList>
        <item>（</item>
      </candidateList>
      <explain>文本全半角错误。</explain>
      <paraID>68786508</paraID>
      <start>10</start>
      <end>11</end>
      <status>unmodified</status>
      <modifiedWord/>
      <trackRevisions>false</trackRevisions>
    </reviewItem>
    <reviewItem>
      <errorID>d0e8132f-5de5-4941-a21b-cce3393b81da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56E93432</paraID>
      <start>0</start>
      <end>2</end>
      <status>unmodified</status>
      <modifiedWord/>
      <trackRevisions>false</trackRevisions>
    </reviewItem>
    <reviewItem>
      <errorID>8d9eb2a8-532e-48db-ba0f-88eb23dbf7d2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6072668C</paraID>
      <start>22</start>
      <end>23</end>
      <status>unmodified</status>
      <modifiedWord/>
      <trackRevisions>false</trackRevisions>
    </reviewItem>
    <reviewItem>
      <errorID>16c297be-0bb5-479a-85a8-f1b7ba1e8a2c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1B4F6228</paraID>
      <start>0</start>
      <end>2</end>
      <status>unmodified</status>
      <modifiedWord/>
      <trackRevisions>false</trackRevisions>
    </reviewItem>
    <reviewItem>
      <errorID>3492468a-3e00-4bff-8d99-6027655596ff</errorID>
      <errorWord>(</errorWord>
      <group>L1_Format</group>
      <groupName>格式问题</groupName>
      <ability>L2_HalfPunc</ability>
      <abilityName>全半角检查</abilityName>
      <candidateList>
        <item>（</item>
      </candidateList>
      <explain>文本全半角错误。</explain>
      <paraID> 9CC3668</paraID>
      <start>57</start>
      <end>58</end>
      <status>unmodified</status>
      <modifiedWord/>
      <trackRevisions>false</trackRevisions>
    </reviewItem>
    <reviewItem>
      <errorID>ea13359b-5e12-4cb7-83f2-038317cda248</errorID>
      <errorWord>)</errorWord>
      <group>L1_Format</group>
      <groupName>格式问题</groupName>
      <ability>L2_HalfPunc</ability>
      <abilityName>全半角检查</abilityName>
      <candidateList>
        <item>）</item>
      </candidateList>
      <explain>文本全半角错误。</explain>
      <paraID> 9CC3668</paraID>
      <start>67</start>
      <end>68</end>
      <status>unmodified</status>
      <modifiedWord/>
      <trackRevisions>false</trackRevisions>
    </reviewItem>
    <reviewItem>
      <errorID>26820415-9d03-438d-a99f-2c900b1d82a0</errorID>
      <errorWord>)</errorWord>
      <group>L1_Format</group>
      <groupName>格式问题</groupName>
      <ability>L2_HalfPunc</ability>
      <abilityName>全半角检查</abilityName>
      <candidateList>
        <item>）</item>
      </candidateList>
      <explain>文本全半角错误。</explain>
      <paraID>3A77CE98</paraID>
      <start>28</start>
      <end>29</end>
      <status>unmodified</status>
      <modifiedWord/>
      <trackRevisions>false</trackRevisions>
    </reviewItem>
    <reviewItem>
      <errorID>d5d2eda2-e81a-414b-a1f5-ffddb6378d0d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6B50509F</paraID>
      <start>0</start>
      <end>2</end>
      <status>unmodified</status>
      <modifiedWord/>
      <trackRevisions>false</trackRevisions>
    </reviewItem>
    <reviewItem>
      <errorID>106ed2ed-ca81-47fb-88c2-309ad8bf5503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18BAB0D3</paraID>
      <start>21</start>
      <end>22</end>
      <status>unmodified</status>
      <modifiedWord/>
      <trackRevisions>false</trackRevisions>
    </reviewItem>
    <reviewItem>
      <errorID>51d35169-2711-4779-83dd-055640fc102a</errorID>
      <errorWord>-</errorWord>
      <group>L1_Format</group>
      <groupName>格式问题</groupName>
      <ability>L2_HalfPunc</ability>
      <abilityName>全半角检查</abilityName>
      <candidateList>
        <item>－</item>
      </candidateList>
      <explain>文本全半角错误。</explain>
      <paraID>18BAB0D3</paraID>
      <start>58</start>
      <end>59</end>
      <status>unmodified</status>
      <modifiedWord/>
      <trackRevisions>false</trackRevisions>
    </reviewItem>
    <reviewItem>
      <errorID>adcb8e69-d328-4e37-b70a-5c3731c93ba1</errorID>
      <errorWord>-</errorWord>
      <group>L1_Format</group>
      <groupName>格式问题</groupName>
      <ability>L2_HalfPunc</ability>
      <abilityName>全半角检查</abilityName>
      <candidateList>
        <item>－</item>
      </candidateList>
      <explain>文本全半角错误。</explain>
      <paraID>18BAB0D3</paraID>
      <start>62</start>
      <end>63</end>
      <status>unmodified</status>
      <modifiedWord/>
      <trackRevisions>false</trackRevisions>
    </reviewItem>
    <reviewItem>
      <errorID>ca8e7ff0-f5a7-4b4f-bb9c-c9ac1bd7e72d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672D593F</paraID>
      <start>0</start>
      <end>2</end>
      <status>unmodified</status>
      <modifiedWord/>
      <trackRevisions>false</trackRevisions>
    </reviewItem>
    <reviewItem>
      <errorID>c87fb8ad-9482-4eec-865e-f0b75acb79fb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14870A74</paraID>
      <start>21</start>
      <end>22</end>
      <status>unmodified</status>
      <modifiedWord/>
      <trackRevisions>false</trackRevisions>
    </reviewItem>
    <reviewItem>
      <errorID>09dd2e99-9636-45d3-a3a1-c71a54a67048</errorID>
      <errorWord>-</errorWord>
      <group>L1_Format</group>
      <groupName>格式问题</groupName>
      <ability>L2_HalfPunc</ability>
      <abilityName>全半角检查</abilityName>
      <candidateList>
        <item>－</item>
      </candidateList>
      <explain>文本全半角错误。</explain>
      <paraID>14870A74</paraID>
      <start>58</start>
      <end>59</end>
      <status>unmodified</status>
      <modifiedWord/>
      <trackRevisions>false</trackRevisions>
    </reviewItem>
    <reviewItem>
      <errorID>26caf5b7-4e0e-48b8-9c14-8c99b1e36b03</errorID>
      <errorWord>-</errorWord>
      <group>L1_Format</group>
      <groupName>格式问题</groupName>
      <ability>L2_HalfPunc</ability>
      <abilityName>全半角检查</abilityName>
      <candidateList>
        <item>－</item>
      </candidateList>
      <explain>文本全半角错误。</explain>
      <paraID>14870A74</paraID>
      <start>62</start>
      <end>63</end>
      <status>unmodified</status>
      <modifiedWord/>
      <trackRevisions>false</trackRevisions>
    </reviewItem>
    <reviewItem>
      <errorID>51d4f479-8dd7-4ced-a370-8b1d827e78f9</errorID>
      <errorWord>（</errorWord>
      <group>L1_Punc</group>
      <groupName>标点问题</groupName>
      <ability>L2_Punc</ability>
      <abilityName>标点符号检查</abilityName>
      <candidateList/>
      <explain>同一形式括号套用。</explain>
      <paraID>14870A74</paraID>
      <start>137</start>
      <end>138</end>
      <status>unmodified</status>
      <modifiedWord/>
      <trackRevisions>false</trackRevisions>
    </reviewItem>
    <reviewItem>
      <errorID>25257a62-da7d-464a-9345-30b9b5fe4fde</errorID>
      <errorWord>）</errorWord>
      <group>L1_Punc</group>
      <groupName>标点问题</groupName>
      <ability>L2_Punc</ability>
      <abilityName>标点符号检查</abilityName>
      <candidateList/>
      <explain>同一形式括号套用。</explain>
      <paraID>14870A74</paraID>
      <start>143</start>
      <end>144</end>
      <status>unmodified</status>
      <modifiedWord/>
      <trackRevisions>false</trackRevisions>
    </reviewItem>
    <reviewItem>
      <errorID>94ac9fff-5de5-4472-8c7e-23d11c55afc9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B0851BF</paraID>
      <start>0</start>
      <end>2</end>
      <status>unmodified</status>
      <modifiedWord/>
      <trackRevisions>false</trackRevisions>
    </reviewItem>
    <reviewItem>
      <errorID>3565fd1b-02d1-47fa-b8f8-b72b8769b675</errorID>
      <errorWord>(</errorWord>
      <group>L1_Format</group>
      <groupName>格式问题</groupName>
      <ability>L2_HalfPunc</ability>
      <abilityName>全半角检查</abilityName>
      <candidateList>
        <item>（</item>
      </candidateList>
      <explain>文本全半角错误。</explain>
      <paraID>301723E6</paraID>
      <start>20</start>
      <end>21</end>
      <status>unmodified</status>
      <modifiedWord/>
      <trackRevisions>false</trackRevisions>
    </reviewItem>
    <reviewItem>
      <errorID>2233acde-4695-4815-9a15-ae4048fc581e</errorID>
      <errorWord>)</errorWord>
      <group>L1_Format</group>
      <groupName>格式问题</groupName>
      <ability>L2_HalfPunc</ability>
      <abilityName>全半角检查</abilityName>
      <candidateList>
        <item>）</item>
      </candidateList>
      <explain>文本全半角错误。</explain>
      <paraID>301723E6</paraID>
      <start>33</start>
      <end>34</end>
      <status>unmodified</status>
      <modifiedWord/>
      <trackRevisions>false</trackRevisions>
    </reviewItem>
    <reviewItem>
      <errorID>64bc4725-17b7-4153-9911-d744cc9abce5</errorID>
      <errorWord>*</errorWord>
      <group>L1_Punc</group>
      <groupName>标点问题</groupName>
      <ability>L2_Punc</ability>
      <abilityName>标点符号检查</abilityName>
      <candidateList/>
      <explain/>
      <paraID>52DEE7CA</paraID>
      <start>0</start>
      <end>1</end>
      <status>unmodified</status>
      <modifiedWord/>
      <trackRevisions>false</trackRevisions>
    </reviewItem>
    <reviewItem>
      <errorID>879e04b2-7465-4cd7-ba9d-5aa7e35dc5f8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23B7601</paraID>
      <start>0</start>
      <end>2</end>
      <status>unmodified</status>
      <modifiedWord/>
      <trackRevisions>false</trackRevisions>
    </reviewItem>
    <reviewItem>
      <errorID>df72313d-3fc6-4f59-8d6c-5be5b8fa137e</errorID>
      <errorWord>（</errorWord>
      <group>L1_Format</group>
      <groupName>格式问题</groupName>
      <ability>L2_HalfPunc</ability>
      <abilityName>全半角检查</abilityName>
      <candidateList>
        <item>(</item>
      </candidateList>
      <explain>文本全半角错误。</explain>
      <paraID>6F543246</paraID>
      <start>0</start>
      <end>1</end>
      <status>unmodified</status>
      <modifiedWord/>
      <trackRevisions>false</trackRevisions>
    </reviewItem>
    <reviewItem>
      <errorID>7ba212e6-c4b7-40ee-a080-b3c2eb2126da</errorID>
      <errorWord>）</errorWord>
      <group>L1_Format</group>
      <groupName>格式问题</groupName>
      <ability>L2_HalfPunc</ability>
      <abilityName>全半角检查</abilityName>
      <candidateList>
        <item>)</item>
      </candidateList>
      <explain>文本全半角错误。</explain>
      <paraID>6F543246</paraID>
      <start>3</start>
      <end>4</end>
      <status>unmodified</status>
      <modifiedWord/>
      <trackRevisions>false</trackRevisions>
    </reviewItem>
    <reviewItem>
      <errorID>5f09c0b7-883b-48df-bc9d-5b19b9414039</errorID>
      <errorWord>（</errorWord>
      <group>L1_Format</group>
      <groupName>格式问题</groupName>
      <ability>L2_HalfPunc</ability>
      <abilityName>全半角检查</abilityName>
      <candidateList>
        <item>(</item>
      </candidateList>
      <explain>文本全半角错误。</explain>
      <paraID> A156818</paraID>
      <start>0</start>
      <end>1</end>
      <status>unmodified</status>
      <modifiedWord/>
      <trackRevisions>false</trackRevisions>
    </reviewItem>
    <reviewItem>
      <errorID>6c27a384-7d0a-416c-8fc3-1279ad7b5c5f</errorID>
      <errorWord>）</errorWord>
      <group>L1_Format</group>
      <groupName>格式问题</groupName>
      <ability>L2_HalfPunc</ability>
      <abilityName>全半角检查</abilityName>
      <candidateList>
        <item>)</item>
      </candidateList>
      <explain>文本全半角错误。</explain>
      <paraID> A156818</paraID>
      <start>6</start>
      <end>7</end>
      <status>unmodified</status>
      <modifiedWord/>
      <trackRevisions>false</trackRevisions>
    </reviewItem>
    <reviewItem>
      <errorID>4abb0be4-b9a2-49c6-abf7-7eaf70c2b1a9</errorID>
      <errorWord>（</errorWord>
      <group>L1_Format</group>
      <groupName>格式问题</groupName>
      <ability>L2_HalfPunc</ability>
      <abilityName>全半角检查</abilityName>
      <candidateList>
        <item>(</item>
      </candidateList>
      <explain>文本全半角错误。</explain>
      <paraID>4A6E6E42</paraID>
      <start>0</start>
      <end>1</end>
      <status>unmodified</status>
      <modifiedWord/>
      <trackRevisions>false</trackRevisions>
    </reviewItem>
    <reviewItem>
      <errorID>cb5ba28d-e1bd-49e7-aa0a-d016a00fd1e3</errorID>
      <errorWord>）</errorWord>
      <group>L1_Format</group>
      <groupName>格式问题</groupName>
      <ability>L2_HalfPunc</ability>
      <abilityName>全半角检查</abilityName>
      <candidateList>
        <item>)</item>
      </candidateList>
      <explain>文本全半角错误。</explain>
      <paraID>4A6E6E42</paraID>
      <start>6</start>
      <end>7</end>
      <status>unmodified</status>
      <modifiedWord/>
      <trackRevisions>false</trackRevisions>
    </reviewItem>
    <reviewItem>
      <errorID>2193e519-9074-4e1b-8af2-e627406f0afc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4F0D93F0</paraID>
      <start>0</start>
      <end>2</end>
      <status>unmodified</status>
      <modifiedWord/>
      <trackRevisions>false</trackRevisions>
    </reviewItem>
    <reviewItem>
      <errorID>ade9e055-f7c0-4cf3-8458-15886f893883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72E9250</paraID>
      <start>0</start>
      <end>2</end>
      <status>unmodified</status>
      <modifiedWord/>
      <trackRevisions>false</trackRevisions>
    </reviewItem>
    <reviewItem>
      <errorID>ed6b591e-318e-4e55-be47-e3c245c131de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7CA20D98</paraID>
      <start>0</start>
      <end>2</end>
      <status>unmodified</status>
      <modifiedWord/>
      <trackRevisions>false</trackRevisions>
    </reviewItem>
    <reviewItem>
      <errorID>75c80236-0a71-451d-b46c-9cc5b2d63035</errorID>
      <errorWord>水污染排放</errorWord>
      <group>L1_Knowledge</group>
      <groupName>知识性问题</groupName>
      <ability>L2_Knowledge</ability>
      <abilityName>其他知识</abilityName>
      <candidateList>
        <item>水污染物排放</item>
      </candidateList>
      <explain/>
      <paraID>520EBB41</paraID>
      <start>11</start>
      <end>16</end>
      <status>unmodified</status>
      <modifiedWord/>
      <trackRevisions>false</trackRevisions>
    </reviewItem>
    <reviewItem>
      <errorID>c00846f9-c712-4728-862c-004945eb11ab</errorID>
      <errorWord>(</errorWord>
      <group>L1_Format</group>
      <groupName>格式问题</groupName>
      <ability>L2_HalfPunc</ability>
      <abilityName>全半角检查</abilityName>
      <candidateList>
        <item>（</item>
      </candidateList>
      <explain>文本全半角错误。</explain>
      <paraID> F3D166F</paraID>
      <start>15</start>
      <end>16</end>
      <status>unmodified</status>
      <modifiedWord/>
      <trackRevisions>false</trackRevisions>
    </reviewItem>
    <reviewItem>
      <errorID>d03db737-6fda-48b8-986c-6dbfb0cbbac8</errorID>
      <errorWord>)</errorWord>
      <group>L1_Format</group>
      <groupName>格式问题</groupName>
      <ability>L2_HalfPunc</ability>
      <abilityName>全半角检查</abilityName>
      <candidateList>
        <item>）</item>
      </candidateList>
      <explain>文本全半角错误。</explain>
      <paraID> F3D166F</paraID>
      <start>17</start>
      <end>18</end>
      <status>unmodified</status>
      <modifiedWord/>
      <trackRevisions>false</trackRevisions>
    </reviewItem>
    <reviewItem>
      <errorID>043951f7-c42e-4b8a-8cc7-e74c68825c56</errorID>
      <errorWord>(</errorWord>
      <group>L1_Format</group>
      <groupName>格式问题</groupName>
      <ability>L2_HalfPunc</ability>
      <abilityName>全半角检查</abilityName>
      <candidateList>
        <item>（</item>
      </candidateList>
      <explain>文本全半角错误。</explain>
      <paraID>3B1D51C3</paraID>
      <start>14</start>
      <end>15</end>
      <status>unmodified</status>
      <modifiedWord/>
      <trackRevisions>false</trackRevisions>
    </reviewItem>
    <reviewItem>
      <errorID>d611dbc2-2853-4000-ace2-24ff6d150f6a</errorID>
      <errorWord>)</errorWord>
      <group>L1_Format</group>
      <groupName>格式问题</groupName>
      <ability>L2_HalfPunc</ability>
      <abilityName>全半角检查</abilityName>
      <candidateList>
        <item>）</item>
      </candidateList>
      <explain>文本全半角错误。</explain>
      <paraID>3B1D51C3</paraID>
      <start>16</start>
      <end>17</end>
      <status>unmodified</status>
      <modifiedWord/>
      <trackRevisions>false</trackRevisions>
    </reviewItem>
    <reviewItem>
      <errorID>9455d81d-c99c-4ad9-a653-1361da1acb1e</errorID>
      <errorWord>(</errorWord>
      <group>L1_Format</group>
      <groupName>格式问题</groupName>
      <ability>L2_HalfPunc</ability>
      <abilityName>全半角检查</abilityName>
      <candidateList>
        <item>（</item>
      </candidateList>
      <explain>文本全半角错误。</explain>
      <paraID>298CFF85</paraID>
      <start>14</start>
      <end>15</end>
      <status>unmodified</status>
      <modifiedWord/>
      <trackRevisions>false</trackRevisions>
    </reviewItem>
    <reviewItem>
      <errorID>78a3a8c9-050c-4227-b054-a31c2f49a08b</errorID>
      <errorWord>)</errorWord>
      <group>L1_Format</group>
      <groupName>格式问题</groupName>
      <ability>L2_HalfPunc</ability>
      <abilityName>全半角检查</abilityName>
      <candidateList>
        <item>）</item>
      </candidateList>
      <explain>文本全半角错误。</explain>
      <paraID>298CFF85</paraID>
      <start>16</start>
      <end>17</end>
      <status>unmodified</status>
      <modifiedWord/>
      <trackRevisions>false</trackRevisions>
    </reviewItem>
    <reviewItem>
      <errorID>f6787b76-8667-4f98-b7af-655c50109073</errorID>
      <errorWord>(</errorWord>
      <group>L1_Format</group>
      <groupName>格式问题</groupName>
      <ability>L2_HalfPunc</ability>
      <abilityName>全半角检查</abilityName>
      <candidateList>
        <item>（</item>
      </candidateList>
      <explain>文本全半角错误。</explain>
      <paraID>6272A7E6</paraID>
      <start>14</start>
      <end>15</end>
      <status>unmodified</status>
      <modifiedWord/>
      <trackRevisions>false</trackRevisions>
    </reviewItem>
    <reviewItem>
      <errorID>b0ebc378-a437-4771-a4f4-fa4f4c52324b</errorID>
      <errorWord>)</errorWord>
      <group>L1_Format</group>
      <groupName>格式问题</groupName>
      <ability>L2_HalfPunc</ability>
      <abilityName>全半角检查</abilityName>
      <candidateList>
        <item>）</item>
      </candidateList>
      <explain>文本全半角错误。</explain>
      <paraID>6272A7E6</paraID>
      <start>16</start>
      <end>17</end>
      <status>unmodified</status>
      <modifiedWord/>
      <trackRevisions>false</trackRevisions>
    </reviewItem>
    <reviewItem>
      <errorID>86db482f-99d5-4a07-8585-561db607b941</errorID>
      <errorWord>:</errorWord>
      <group>L1_Format</group>
      <groupName>格式问题</groupName>
      <ability>L2_HalfPunc</ability>
      <abilityName>全半角检查</abilityName>
      <candidateList>
        <item>：</item>
      </candidateList>
      <explain>文本全半角错误。</explain>
      <paraID> 7924F9A</paraID>
      <start>53</start>
      <end>54</end>
      <status>unmodified</status>
      <modifiedWord/>
      <trackRevisions>false</trackRevisions>
    </reviewItem>
    <reviewItem>
      <errorID>b276aeb6-7da7-47f3-b9d7-8a99c85afa99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1C19D924</paraID>
      <start>0</start>
      <end>2</end>
      <status>unmodified</status>
      <modifiedWord/>
      <trackRevisions>false</trackRevisions>
    </reviewItem>
    <reviewItem>
      <errorID>575c4cc1-2502-431b-a10f-fa9555eaba78</errorID>
      <errorWord>~</errorWord>
      <group>L1_Format</group>
      <groupName>格式问题</groupName>
      <ability>L2_HalfPunc</ability>
      <abilityName>全半角检查</abilityName>
      <candidateList>
        <item>～</item>
      </candidateList>
      <explain>文本全半角错误。</explain>
      <paraID>5BB1BBBB</paraID>
      <start>188</start>
      <end>189</end>
      <status>unmodified</status>
      <modifiedWord/>
      <trackRevisions>false</trackRevisions>
    </reviewItem>
    <reviewItem>
      <errorID>6700cf20-0252-406f-b35f-e72f7b6f734f</errorID>
      <errorWord>~</errorWord>
      <group>L1_Format</group>
      <groupName>格式问题</groupName>
      <ability>L2_HalfPunc</ability>
      <abilityName>全半角检查</abilityName>
      <candidateList>
        <item>～</item>
      </candidateList>
      <explain>文本全半角错误。</explain>
      <paraID>5BB1BBBB</paraID>
      <start>235</start>
      <end>236</end>
      <status>unmodified</status>
      <modifiedWord/>
      <trackRevisions>false</trackRevisions>
    </reviewItem>
    <reviewItem>
      <errorID>18a5d68f-3af3-4d87-a5e3-b09413f71871</errorID>
      <errorWord>数</errorWord>
      <group>L1_Word</group>
      <groupName>字词问题</groupName>
      <ability>L2_Typo</ability>
      <abilityName>字词错误</abilityName>
      <candidateList>
        <item>数据</item>
      </candidateList>
      <explain/>
      <paraID>11A1DBB6</paraID>
      <start>24</start>
      <end>25</end>
      <status>unmodified</status>
      <modifiedWord/>
      <trackRevisions>false</trackRevisions>
    </reviewItem>
    <reviewItem>
      <errorID>787736df-eb4e-4f9f-97f4-15cb87f4bf01</errorID>
      <errorWord>(</errorWord>
      <group>L1_Format</group>
      <groupName>格式问题</groupName>
      <ability>L2_HalfPunc</ability>
      <abilityName>全半角检查</abilityName>
      <candidateList>
        <item>（</item>
      </candidateList>
      <explain>文本全半角错误。</explain>
      <paraID>1927DAE0</paraID>
      <start>15</start>
      <end>16</end>
      <status>unmodified</status>
      <modifiedWord/>
      <trackRevisions>false</trackRevisions>
    </reviewItem>
    <reviewItem>
      <errorID>6f76d34b-c02b-40c0-80cf-722137fc5010</errorID>
      <errorWord>)</errorWord>
      <group>L1_Format</group>
      <groupName>格式问题</groupName>
      <ability>L2_HalfPunc</ability>
      <abilityName>全半角检查</abilityName>
      <candidateList>
        <item>）</item>
      </candidateList>
      <explain>文本全半角错误。</explain>
      <paraID>1927DAE0</paraID>
      <start>20</start>
      <end>21</end>
      <status>unmodified</status>
      <modifiedWord/>
      <trackRevisions>false</trackRevisions>
    </reviewItem>
    <reviewItem>
      <errorID>c0a968b6-43d4-40f8-a80f-a1bb355b162e</errorID>
      <errorWord>(</errorWord>
      <group>L1_Format</group>
      <groupName>格式问题</groupName>
      <ability>L2_HalfPunc</ability>
      <abilityName>全半角检查</abilityName>
      <candidateList>
        <item>（</item>
      </candidateList>
      <explain>文本全半角错误。</explain>
      <paraID>266CA52F</paraID>
      <start>10</start>
      <end>11</end>
      <status>unmodified</status>
      <modifiedWord/>
      <trackRevisions>false</trackRevisions>
    </reviewItem>
    <reviewItem>
      <errorID>ac5ce311-7367-4ec2-9663-95ed4ded0375</errorID>
      <errorWord>)</errorWord>
      <group>L1_Format</group>
      <groupName>格式问题</groupName>
      <ability>L2_HalfPunc</ability>
      <abilityName>全半角检查</abilityName>
      <candidateList>
        <item>）</item>
      </candidateList>
      <explain>文本全半角错误。</explain>
      <paraID>266CA52F</paraID>
      <start>13</start>
      <end>14</end>
      <status>unmodified</status>
      <modifiedWord/>
      <trackRevisions>false</trackRevisions>
    </reviewItem>
    <reviewItem>
      <errorID>7c99786a-978a-4811-a793-25aec3622fe4</errorID>
      <errorWord>(</errorWord>
      <group>L1_Format</group>
      <groupName>格式问题</groupName>
      <ability>L2_HalfPunc</ability>
      <abilityName>全半角检查</abilityName>
      <candidateList>
        <item>（</item>
      </candidateList>
      <explain>文本全半角错误。</explain>
      <paraID>4C652E1E</paraID>
      <start>11</start>
      <end>12</end>
      <status>unmodified</status>
      <modifiedWord/>
      <trackRevisions>false</trackRevisions>
    </reviewItem>
    <reviewItem>
      <errorID>474a8c5c-23c8-469c-a4ee-8cf67f9dfdc5</errorID>
      <errorWord>)</errorWord>
      <group>L1_Format</group>
      <groupName>格式问题</groupName>
      <ability>L2_HalfPunc</ability>
      <abilityName>全半角检查</abilityName>
      <candidateList>
        <item>）</item>
      </candidateList>
      <explain>文本全半角错误。</explain>
      <paraID>4C652E1E</paraID>
      <start>14</start>
      <end>15</end>
      <status>unmodified</status>
      <modifiedWord/>
      <trackRevisions>false</trackRevisions>
    </reviewItem>
    <reviewItem>
      <errorID>34015be3-b8e0-4408-bb8b-54e50477f334</errorID>
      <errorWord>(</errorWord>
      <group>L1_Format</group>
      <groupName>格式问题</groupName>
      <ability>L2_HalfPunc</ability>
      <abilityName>全半角检查</abilityName>
      <candidateList>
        <item>（</item>
      </candidateList>
      <explain>文本全半角错误。</explain>
      <paraID>56602EEA</paraID>
      <start>7</start>
      <end>8</end>
      <status>unmodified</status>
      <modifiedWord/>
      <trackRevisions>false</trackRevisions>
    </reviewItem>
    <reviewItem>
      <errorID>7b89e1ef-d3f4-4ed8-94c9-c44b80fc14f3</errorID>
      <errorWord>)</errorWord>
      <group>L1_Format</group>
      <groupName>格式问题</groupName>
      <ability>L2_HalfPunc</ability>
      <abilityName>全半角检查</abilityName>
      <candidateList>
        <item>）</item>
      </candidateList>
      <explain>文本全半角错误。</explain>
      <paraID>56602EEA</paraID>
      <start>12</start>
      <end>13</end>
      <status>unmodified</status>
      <modifiedWord/>
      <trackRevisions>false</trackRevisions>
    </reviewItem>
    <reviewItem>
      <errorID>c025601a-35a3-459d-a119-3a595cf79f93</errorID>
      <errorWord>(</errorWord>
      <group>L1_Format</group>
      <groupName>格式问题</groupName>
      <ability>L2_HalfPunc</ability>
      <abilityName>全半角检查</abilityName>
      <candidateList>
        <item>（</item>
      </candidateList>
      <explain>文本全半角错误。</explain>
      <paraID>38F97AF7</paraID>
      <start>11</start>
      <end>12</end>
      <status>unmodified</status>
      <modifiedWord/>
      <trackRevisions>false</trackRevisions>
    </reviewItem>
    <reviewItem>
      <errorID>0eae82d0-368a-459a-9a8f-61ba8128f0d9</errorID>
      <errorWord>)</errorWord>
      <group>L1_Format</group>
      <groupName>格式问题</groupName>
      <ability>L2_HalfPunc</ability>
      <abilityName>全半角检查</abilityName>
      <candidateList>
        <item>）</item>
      </candidateList>
      <explain>文本全半角错误。</explain>
      <paraID>38F97AF7</paraID>
      <start>14</start>
      <end>15</end>
      <status>unmodified</status>
      <modifiedWord/>
      <trackRevisions>false</trackRevisions>
    </reviewItem>
    <reviewItem>
      <errorID>b6f078e0-8c73-49d4-972e-537738b69a44</errorID>
      <errorWord>(</errorWord>
      <group>L1_Format</group>
      <groupName>格式问题</groupName>
      <ability>L2_HalfPunc</ability>
      <abilityName>全半角检查</abilityName>
      <candidateList>
        <item>（</item>
      </candidateList>
      <explain>文本全半角错误。</explain>
      <paraID> 464899C</paraID>
      <start>7</start>
      <end>8</end>
      <status>unmodified</status>
      <modifiedWord/>
      <trackRevisions>false</trackRevisions>
    </reviewItem>
    <reviewItem>
      <errorID>d797abac-8ae9-4db1-b981-ba967a4f14bc</errorID>
      <errorWord>)</errorWord>
      <group>L1_Format</group>
      <groupName>格式问题</groupName>
      <ability>L2_HalfPunc</ability>
      <abilityName>全半角检查</abilityName>
      <candidateList>
        <item>）</item>
      </candidateList>
      <explain>文本全半角错误。</explain>
      <paraID> 464899C</paraID>
      <start>12</start>
      <end>13</end>
      <status>unmodified</status>
      <modifiedWord/>
      <trackRevisions>false</trackRevisions>
    </reviewItem>
    <reviewItem>
      <errorID>293d92c5-4a94-4827-90c2-4d17983d08af</errorID>
      <errorWord>(</errorWord>
      <group>L1_Format</group>
      <groupName>格式问题</groupName>
      <ability>L2_HalfPunc</ability>
      <abilityName>全半角检查</abilityName>
      <candidateList>
        <item>（</item>
      </candidateList>
      <explain>文本全半角错误。</explain>
      <paraID>18C12C81</paraID>
      <start>9</start>
      <end>10</end>
      <status>unmodified</status>
      <modifiedWord/>
      <trackRevisions>false</trackRevisions>
    </reviewItem>
    <reviewItem>
      <errorID>4ba94299-f75c-4fc9-90fd-89b38a6546b2</errorID>
      <errorWord>)</errorWord>
      <group>L1_Format</group>
      <groupName>格式问题</groupName>
      <ability>L2_HalfPunc</ability>
      <abilityName>全半角检查</abilityName>
      <candidateList>
        <item>）</item>
      </candidateList>
      <explain>文本全半角错误。</explain>
      <paraID>18C12C81</paraID>
      <start>12</start>
      <end>13</end>
      <status>unmodified</status>
      <modifiedWord/>
      <trackRevisions>false</trackRevisions>
    </reviewItem>
    <reviewItem>
      <errorID>e248d262-3dd8-499c-9fa2-1546648dc527</errorID>
      <errorWord>(</errorWord>
      <group>L1_Format</group>
      <groupName>格式问题</groupName>
      <ability>L2_HalfPunc</ability>
      <abilityName>全半角检查</abilityName>
      <candidateList>
        <item>（</item>
      </candidateList>
      <explain>文本全半角错误。</explain>
      <paraID>4D795D77</paraID>
      <start>7</start>
      <end>8</end>
      <status>unmodified</status>
      <modifiedWord/>
      <trackRevisions>false</trackRevisions>
    </reviewItem>
    <reviewItem>
      <errorID>8fb0e073-0f12-4023-9a63-fc98e9d89586</errorID>
      <errorWord>)</errorWord>
      <group>L1_Format</group>
      <groupName>格式问题</groupName>
      <ability>L2_HalfPunc</ability>
      <abilityName>全半角检查</abilityName>
      <candidateList>
        <item>）</item>
      </candidateList>
      <explain>文本全半角错误。</explain>
      <paraID>4D795D77</paraID>
      <start>13</start>
      <end>14</end>
      <status>unmodified</status>
      <modifiedWord/>
      <trackRevisions>false</trackRevisions>
    </reviewItem>
    <reviewItem>
      <errorID>d992f182-9d43-4b7f-aff3-4c9819ece83c</errorID>
      <errorWord>~</errorWord>
      <group>L1_Format</group>
      <groupName>格式问题</groupName>
      <ability>L2_HalfPunc</ability>
      <abilityName>全半角检查</abilityName>
      <candidateList>
        <item>～</item>
      </candidateList>
      <explain>文本全半角错误。</explain>
      <paraID>4D795D77</paraID>
      <start>37</start>
      <end>38</end>
      <status>unmodified</status>
      <modifiedWord/>
      <trackRevisions>false</trackRevisions>
    </reviewItem>
    <reviewItem>
      <errorID>12291fe8-21c6-4c8b-927a-98d0d5d2333f</errorID>
      <errorWord>~</errorWord>
      <group>L1_Format</group>
      <groupName>格式问题</groupName>
      <ability>L2_HalfPunc</ability>
      <abilityName>全半角检查</abilityName>
      <candidateList>
        <item>～</item>
      </candidateList>
      <explain>文本全半角错误。</explain>
      <paraID>4D795D77</paraID>
      <start>58</start>
      <end>59</end>
      <status>unmodified</status>
      <modifiedWord/>
      <trackRevisions>false</trackRevisions>
    </reviewItem>
    <reviewItem>
      <errorID>8109abcf-55da-4035-8930-04eb4b93b406</errorID>
      <errorWord>(</errorWord>
      <group>L1_Format</group>
      <groupName>格式问题</groupName>
      <ability>L2_HalfPunc</ability>
      <abilityName>全半角检查</abilityName>
      <candidateList>
        <item>（</item>
      </candidateList>
      <explain>文本全半角错误。</explain>
      <paraID>1433FCE1</paraID>
      <start>14</start>
      <end>15</end>
      <status>unmodified</status>
      <modifiedWord/>
      <trackRevisions>false</trackRevisions>
    </reviewItem>
    <reviewItem>
      <errorID>c12175fc-4c2d-4dca-b9b7-ccab97d8a580</errorID>
      <errorWord>)</errorWord>
      <group>L1_Format</group>
      <groupName>格式问题</groupName>
      <ability>L2_HalfPunc</ability>
      <abilityName>全半角检查</abilityName>
      <candidateList>
        <item>）</item>
      </candidateList>
      <explain>文本全半角错误。</explain>
      <paraID>1433FCE1</paraID>
      <start>16</start>
      <end>17</end>
      <status>unmodified</status>
      <modifiedWord/>
      <trackRevisions>false</trackRevisions>
    </reviewItem>
    <reviewItem>
      <errorID>6ead5281-8ee5-4db7-9a83-ea7e1dd133f7</errorID>
      <errorWord>(</errorWord>
      <group>L1_Format</group>
      <groupName>格式问题</groupName>
      <ability>L2_HalfPunc</ability>
      <abilityName>全半角检查</abilityName>
      <candidateList>
        <item>（</item>
      </candidateList>
      <explain>文本全半角错误。</explain>
      <paraID>795535BD</paraID>
      <start>13</start>
      <end>14</end>
      <status>unmodified</status>
      <modifiedWord/>
      <trackRevisions>false</trackRevisions>
    </reviewItem>
    <reviewItem>
      <errorID>78df29d3-2287-4649-bcee-aac7c1d6fdf1</errorID>
      <errorWord>)</errorWord>
      <group>L1_Format</group>
      <groupName>格式问题</groupName>
      <ability>L2_HalfPunc</ability>
      <abilityName>全半角检查</abilityName>
      <candidateList>
        <item>）</item>
      </candidateList>
      <explain>文本全半角错误。</explain>
      <paraID>795535BD</paraID>
      <start>15</start>
      <end>16</end>
      <status>unmodified</status>
      <modifiedWord/>
      <trackRevisions>false</trackRevisions>
    </reviewItem>
    <reviewItem>
      <errorID>f773072e-0a10-444e-9360-f6f8d67f45a6</errorID>
      <errorWord>(</errorWord>
      <group>L1_Format</group>
      <groupName>格式问题</groupName>
      <ability>L2_HalfPunc</ability>
      <abilityName>全半角检查</abilityName>
      <candidateList>
        <item>（</item>
      </candidateList>
      <explain>文本全半角错误。</explain>
      <paraID>45C3FFA4</paraID>
      <start>24</start>
      <end>25</end>
      <status>unmodified</status>
      <modifiedWord/>
      <trackRevisions>false</trackRevisions>
    </reviewItem>
    <reviewItem>
      <errorID>3c3ed07a-4049-40a3-9394-f069ff07d6e1</errorID>
      <errorWord>)</errorWord>
      <group>L1_Format</group>
      <groupName>格式问题</groupName>
      <ability>L2_HalfPunc</ability>
      <abilityName>全半角检查</abilityName>
      <candidateList>
        <item>）</item>
      </candidateList>
      <explain>文本全半角错误。</explain>
      <paraID>45C3FFA4</paraID>
      <start>37</start>
      <end>38</end>
      <status>unmodified</status>
      <modifiedWord/>
      <trackRevisions>false</trackRevisions>
    </reviewItem>
    <reviewItem>
      <errorID>65c39e30-eb22-4688-9aae-f1ec3952d9e0</errorID>
      <errorWord>(</errorWord>
      <group>L1_Format</group>
      <groupName>格式问题</groupName>
      <ability>L2_HalfPunc</ability>
      <abilityName>全半角检查</abilityName>
      <candidateList>
        <item>（</item>
      </candidateList>
      <explain>文本全半角错误。</explain>
      <paraID>33C11985</paraID>
      <start>25</start>
      <end>26</end>
      <status>unmodified</status>
      <modifiedWord/>
      <trackRevisions>false</trackRevisions>
    </reviewItem>
    <reviewItem>
      <errorID>5cd1091d-00a7-4b5f-a454-29e1c520dea4</errorID>
      <errorWord>)</errorWord>
      <group>L1_Format</group>
      <groupName>格式问题</groupName>
      <ability>L2_HalfPunc</ability>
      <abilityName>全半角检查</abilityName>
      <candidateList>
        <item>）</item>
      </candidateList>
      <explain>文本全半角错误。</explain>
      <paraID>33C11985</paraID>
      <start>27</start>
      <end>28</end>
      <status>unmodified</status>
      <modifiedWord/>
      <trackRevisions>false</trackRevisions>
    </reviewItem>
    <reviewItem>
      <errorID>c7916b73-214d-4332-b406-af1bb32ed79f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36B53739</paraID>
      <start>0</start>
      <end>2</end>
      <status>unmodified</status>
      <modifiedWord/>
      <trackRevisions>false</trackRevisions>
    </reviewItem>
    <reviewItem>
      <errorID>7bf25a35-103a-415f-858e-0f09bcbc21ca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261C5259</paraID>
      <start>0</start>
      <end>2</end>
      <status>unmodified</status>
      <modifiedWord/>
      <trackRevisions>false</trackRevisions>
    </reviewItem>
    <reviewItem>
      <errorID>159f1c81-3308-46d8-82ab-04ea2094125b</errorID>
      <errorWord>腮</errorWord>
      <group>L1_Word</group>
      <groupName>字词问题</groupName>
      <ability>L2_Typo</ability>
      <abilityName>字词错误</abilityName>
      <candidateList>
        <item>鳃</item>
      </candidateList>
      <explain/>
      <paraID>65C09DFA</paraID>
      <start>47</start>
      <end>48</end>
      <status>modified</status>
      <modifiedWord>鳃</modifiedWord>
      <trackRevisions>false</trackRevisions>
    </reviewItem>
    <reviewItem>
      <errorID>e073a7bf-b69a-4f44-bff3-afc432d51753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23F99661</paraID>
      <start>199</start>
      <end>200</end>
      <status>modified</status>
      <modifiedWord>地</modifiedWord>
      <trackRevisions>false</trackRevisions>
    </reviewItem>
    <reviewItem>
      <errorID>2f025fee-6bb6-449d-ad37-7323616a49c4</errorID>
      <errorWord>腮</errorWord>
      <group>L1_Word</group>
      <groupName>字词问题</groupName>
      <ability>L2_Typo</ability>
      <abilityName>字词错误</abilityName>
      <candidateList>
        <item>鳃</item>
      </candidateList>
      <explain/>
      <paraID>799C428A</paraID>
      <start>191</start>
      <end>192</end>
      <status>modified</status>
      <modifiedWord>鳃</modifiedWord>
      <trackRevisions>false</trackRevisions>
    </reviewItem>
    <reviewItem>
      <errorID>8b1032f2-c58a-4d33-9d56-fdb9b0286908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1DBABAF2</paraID>
      <start>0</start>
      <end>2</end>
      <status>unmodified</status>
      <modifiedWord/>
      <trackRevisions>false</trackRevisions>
    </reviewItem>
    <reviewItem>
      <errorID>c399301c-71d2-444e-a29a-2be5609f06a0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35AE7352</paraID>
      <start>29</start>
      <end>30</end>
      <status>unmodified</status>
      <modifiedWord/>
      <trackRevisions>false</trackRevisions>
    </reviewItem>
    <reviewItem>
      <errorID>7b77850d-abc1-44ab-8af6-0f8775da3c0e</errorID>
      <errorWord>~</errorWord>
      <group>L1_Format</group>
      <groupName>格式问题</groupName>
      <ability>L2_HalfPunc</ability>
      <abilityName>全半角检查</abilityName>
      <candidateList>
        <item>～</item>
      </candidateList>
      <explain>文本全半角错误。</explain>
      <paraID>1E9EB443</paraID>
      <start>38</start>
      <end>39</end>
      <status>unmodified</status>
      <modifiedWord/>
      <trackRevisions>false</trackRevisions>
    </reviewItem>
    <reviewItem>
      <errorID>17e995f3-629a-410a-8e17-076ff7fbd116</errorID>
      <errorWord>~</errorWord>
      <group>L1_Format</group>
      <groupName>格式问题</groupName>
      <ability>L2_HalfPunc</ability>
      <abilityName>全半角检查</abilityName>
      <candidateList>
        <item>～</item>
      </candidateList>
      <explain>文本全半角错误。</explain>
      <paraID>107C69AB</paraID>
      <start>39</start>
      <end>40</end>
      <status>unmodified</status>
      <modifiedWord/>
      <trackRevisions>false</trackRevisions>
    </reviewItem>
    <reviewItem>
      <errorID>59b3afee-b227-43f8-a5b6-339fd291f7ec</errorID>
      <errorWord>(</errorWord>
      <group>L1_Format</group>
      <groupName>格式问题</groupName>
      <ability>L2_HalfPunc</ability>
      <abilityName>全半角检查</abilityName>
      <candidateList>
        <item>（</item>
      </candidateList>
      <explain>文本全半角错误。</explain>
      <paraID>5515B2BF</paraID>
      <start>2</start>
      <end>3</end>
      <status>unmodified</status>
      <modifiedWord/>
      <trackRevisions>false</trackRevisions>
    </reviewItem>
    <reviewItem>
      <errorID>35c365ca-b08d-4b56-bc2a-41493237688f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3E6012BB</paraID>
      <start>0</start>
      <end>2</end>
      <status>unmodified</status>
      <modifiedWord/>
      <trackRevisions>false</trackRevisions>
    </reviewItem>
    <reviewItem>
      <errorID>dc4a847b-a4e6-42ec-bdac-5c9f7515e608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33BD1904</paraID>
      <start>0</start>
      <end>2</end>
      <status>unmodified</status>
      <modifiedWord/>
      <trackRevisions>false</trackRevisions>
    </reviewItem>
    <reviewItem>
      <errorID>f3ef2fc4-1ff6-4ea4-ac1f-6e065b6419f0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AE8A320</paraID>
      <start>0</start>
      <end>2</end>
      <status>unmodified</status>
      <modifiedWord/>
      <trackRevisions>false</trackRevisions>
    </reviewItem>
    <reviewItem>
      <errorID>0a3a7ede-13f3-4ab4-8d57-49f90b007554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7A53970C</paraID>
      <start>0</start>
      <end>2</end>
      <status>unmodified</status>
      <modifiedWord/>
      <trackRevisions>false</trackRevisions>
    </reviewItem>
    <reviewItem>
      <errorID>1fc40cac-b1ee-481b-965f-4cba00342f6d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38226A02</paraID>
      <start>0</start>
      <end>2</end>
      <status>unmodified</status>
      <modifiedWord/>
      <trackRevisions>false</trackRevisions>
    </reviewItem>
    <reviewItem>
      <errorID>01caf934-e12b-4a63-a345-68e12792e2ed</errorID>
      <errorWord>)</errorWord>
      <group>L1_Format</group>
      <groupName>格式问题</groupName>
      <ability>L2_HalfPunc</ability>
      <abilityName>全半角检查</abilityName>
      <candidateList>
        <item>）</item>
      </candidateList>
      <explain>文本全半角错误。</explain>
      <paraID>70A180A3</paraID>
      <start>144</start>
      <end>145</end>
      <status>unmodified</status>
      <modifiedWord/>
      <trackRevisions>false</trackRevisions>
    </reviewItem>
    <reviewItem>
      <errorID>ce1ef2e1-b5d0-4ce9-9087-ce450300ad8a</errorID>
      <errorWord>：/</errorWord>
      <group>L1_Punc</group>
      <groupName>标点问题</groupName>
      <ability>L2_Punc</ability>
      <abilityName>标点符号检查</abilityName>
      <candidateList>
        <item>：</item>
      </candidateList>
      <explain/>
      <paraID> 5427C5F</paraID>
      <start>6</start>
      <end>8</end>
      <status>unmodified</status>
      <modifiedWord/>
      <trackRevisions>false</trackRevisions>
    </reviewItem>
    <reviewItem>
      <errorID>fdc0f7df-f40d-4707-aa22-a12f5cfeeb65</errorID>
      <errorWord>：</errorWord>
      <group>L1_Format</group>
      <groupName>格式问题</groupName>
      <ability>L2_HalfPunc</ability>
      <abilityName>全半角检查</abilityName>
      <candidateList>
        <item>:</item>
      </candidateList>
      <explain>文本全半角错误。</explain>
      <paraID>11BEC4E4</paraID>
      <start>12</start>
      <end>13</end>
      <status>unmodified</status>
      <modifiedWord/>
      <trackRevisions>false</trackRevisions>
    </reviewItem>
    <reviewItem>
      <errorID>4c40550a-f8cc-4257-8230-b982a2679fcb</errorID>
      <errorWord>(</errorWord>
      <group>L1_Format</group>
      <groupName>格式问题</groupName>
      <ability>L2_HalfPunc</ability>
      <abilityName>全半角检查</abilityName>
      <candidateList>
        <item>（</item>
      </candidateList>
      <explain>文本全半角错误。</explain>
      <paraID>6190D120</paraID>
      <start>14</start>
      <end>15</end>
      <status>unmodified</status>
      <modifiedWord/>
      <trackRevisions>false</trackRevisions>
    </reviewItem>
    <reviewItem>
      <errorID>e5d21f72-3214-477f-8e66-7eb3b8d6d61f</errorID>
      <errorWord>)</errorWord>
      <group>L1_Format</group>
      <groupName>格式问题</groupName>
      <ability>L2_HalfPunc</ability>
      <abilityName>全半角检查</abilityName>
      <candidateList>
        <item>）</item>
      </candidateList>
      <explain>文本全半角错误。</explain>
      <paraID>6190D120</paraID>
      <start>18</start>
      <end>19</end>
      <status>unmodified</status>
      <modifiedWord/>
      <trackRevisions>false</trackRevisions>
    </reviewItem>
    <reviewItem>
      <errorID>f18ac936-0d07-4d2e-a4d2-b6b27f423616</errorID>
      <errorWord>(</errorWord>
      <group>L1_Format</group>
      <groupName>格式问题</groupName>
      <ability>L2_HalfPunc</ability>
      <abilityName>全半角检查</abilityName>
      <candidateList>
        <item>（</item>
      </candidateList>
      <explain>文本全半角错误。</explain>
      <paraID>6190D120</paraID>
      <start>32</start>
      <end>33</end>
      <status>unmodified</status>
      <modifiedWord/>
      <trackRevisions>false</trackRevisions>
    </reviewItem>
    <reviewItem>
      <errorID>d51374b1-1f36-4fc0-93c4-d6dd2c1ff6a7</errorID>
      <errorWord>)</errorWord>
      <group>L1_Format</group>
      <groupName>格式问题</groupName>
      <ability>L2_HalfPunc</ability>
      <abilityName>全半角检查</abilityName>
      <candidateList>
        <item>）</item>
      </candidateList>
      <explain>文本全半角错误。</explain>
      <paraID>6190D120</paraID>
      <start>34</start>
      <end>35</end>
      <status>unmodified</status>
      <modifiedWord/>
      <trackRevisions>false</trackRevisions>
    </reviewItem>
    <reviewItem>
      <errorID>bb86180e-bcfa-42eb-b19a-2acee3e142b9</errorID>
      <errorWord>，…，</errorWord>
      <group>L1_Punc</group>
      <groupName>标点问题</groupName>
      <ability>L2_Punc</ability>
      <abilityName>标点符号检查</abilityName>
      <candidateList>
        <item>，</item>
      </candidateList>
      <explain/>
      <paraID>3B6500C2</paraID>
      <start>5</start>
      <end>8</end>
      <status>unmodified</status>
      <modifiedWord/>
      <trackRevisions>false</trackRevisions>
    </reviewItem>
    <reviewItem>
      <errorID>57ec3eac-4f0e-45cd-9697-da4fba1d1c6a</errorID>
      <errorWord>，…，</errorWord>
      <group>L1_Punc</group>
      <groupName>标点问题</groupName>
      <ability>L2_Punc</ability>
      <abilityName>标点符号检查</abilityName>
      <candidateList>
        <item>，</item>
      </candidateList>
      <explain/>
      <paraID>7461F834</paraID>
      <start>5</start>
      <end>8</end>
      <status>unmodified</status>
      <modifiedWord/>
      <trackRevisions>false</trackRevisions>
    </reviewItem>
    <reviewItem>
      <errorID>f1f2c340-09cc-4e1b-9e1b-cfba5e07e345</errorID>
      <errorWord>(</errorWord>
      <group>L1_Format</group>
      <groupName>格式问题</groupName>
      <ability>L2_HalfPunc</ability>
      <abilityName>全半角检查</abilityName>
      <candidateList>
        <item>（</item>
      </candidateList>
      <explain>文本全半角错误。</explain>
      <paraID>44CC6421</paraID>
      <start>56</start>
      <end>57</end>
      <status>unmodified</status>
      <modifiedWord/>
      <trackRevisions>false</trackRevisions>
    </reviewItem>
    <reviewItem>
      <errorID>57d5e094-cf40-454b-8c6d-9d919e1a3318</errorID>
      <errorWord>)</errorWord>
      <group>L1_Format</group>
      <groupName>格式问题</groupName>
      <ability>L2_HalfPunc</ability>
      <abilityName>全半角检查</abilityName>
      <candidateList>
        <item>）</item>
      </candidateList>
      <explain>文本全半角错误。</explain>
      <paraID>44CC6421</paraID>
      <start>65</start>
      <end>66</end>
      <status>unmodified</status>
      <modifiedWord/>
      <trackRevisions>false</trackRevisions>
    </reviewItem>
    <reviewItem>
      <errorID>5b44675a-b5db-492d-a654-18ade8c0a5ce</errorID>
      <errorWord>期</errorWord>
      <group>L1_Word</group>
      <groupName>字词问题</groupName>
      <ability>L2_Typo</ability>
      <abilityName>字词错误</abilityName>
      <candidateList>
        <item>期间</item>
      </candidateList>
      <explain>〈名〉某个时期里面：农忙～｜春节～｜抗战～。</explain>
      <paraID>119122D7</paraID>
      <start>55</start>
      <end>56</end>
      <status>unmodified</status>
      <modifiedWord/>
      <trackRevisions>false</trackRevisions>
    </reviewItem>
    <reviewItem>
      <errorID>d6a9df78-57b5-4724-99a3-1dec8cf04837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2A8C4267</paraID>
      <start>87</start>
      <end>88</end>
      <status>unmodified</status>
      <modifiedWord/>
      <trackRevisions>false</trackRevisions>
    </reviewItem>
    <reviewItem>
      <errorID>d85748ab-3e77-4bf5-af60-10a72595e850</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2A8C4267</paraID>
      <start>94</start>
      <end>95</end>
      <status>unmodified</status>
      <modifiedWord/>
      <trackRevisions>false</trackRevisions>
    </reviewItem>
    <reviewItem>
      <errorID>7a105359-a387-4a12-92a1-a21628b90e03</errorID>
      <errorWord>石油类</errorWord>
      <group>L1_Word</group>
      <groupName>字词问题</groupName>
      <ability>L2_Typo</ability>
      <abilityName>字词错误</abilityName>
      <candidateList>
        <item>石油</item>
      </candidateList>
      <explain/>
      <paraID>2D93A6CC</paraID>
      <start>74</start>
      <end>77</end>
      <status>unmodified</status>
      <modifiedWord/>
      <trackRevisions>false</trackRevisions>
    </reviewItem>
    <reviewItem>
      <errorID>e35475fd-50ee-4527-9da8-ce2288fbb085</errorID>
      <errorWord>共同协商</errorWord>
      <group>L1_Grammar</group>
      <groupName>语法问题</groupName>
      <ability>L2_Grammar</ability>
      <abilityName>语法错误</abilityName>
      <candidateList>
        <item>协商</item>
      </candidateList>
      <explain/>
      <paraID>49608A90</paraID>
      <start>23</start>
      <end>27</end>
      <status>unmodified</status>
      <modifiedWord/>
      <trackRevisions>false</trackRevisions>
    </reviewItem>
    <reviewItem>
      <errorID>213b5cd7-44af-481c-9e12-042fee385dbd</errorID>
      <errorWord>~</errorWord>
      <group>L1_Format</group>
      <groupName>格式问题</groupName>
      <ability>L2_HalfPunc</ability>
      <abilityName>全半角检查</abilityName>
      <candidateList>
        <item>～</item>
      </candidateList>
      <explain>文本全半角错误。</explain>
      <paraID>5330C54B</paraID>
      <start>131</start>
      <end>132</end>
      <status>unmodified</status>
      <modifiedWord/>
      <trackRevisions>false</trackRevisions>
    </reviewItem>
    <reviewItem>
      <errorID>bc855803-ca45-4f8d-88e5-5223fd8f0de0</errorID>
      <errorWord>~</errorWord>
      <group>L1_Format</group>
      <groupName>格式问题</groupName>
      <ability>L2_HalfPunc</ability>
      <abilityName>全半角检查</abilityName>
      <candidateList>
        <item>～</item>
      </candidateList>
      <explain>文本全半角错误。</explain>
      <paraID>5330C54B</paraID>
      <start>167</start>
      <end>168</end>
      <status>unmodified</status>
      <modifiedWord/>
      <trackRevisions>false</trackRevisions>
    </reviewItem>
    <reviewItem>
      <errorID>eabced07-1470-4d71-afdb-88243580a351</errorID>
      <errorWord>~</errorWord>
      <group>L1_Format</group>
      <groupName>格式问题</groupName>
      <ability>L2_HalfPunc</ability>
      <abilityName>全半角检查</abilityName>
      <candidateList>
        <item>～</item>
      </candidateList>
      <explain>文本全半角错误。</explain>
      <paraID>1683BA8E</paraID>
      <start>250</start>
      <end>251</end>
      <status>unmodified</status>
      <modifiedWord/>
      <trackRevisions>false</trackRevisions>
    </reviewItem>
    <reviewItem>
      <errorID>7697f155-79f8-44e4-95d1-989cf5113201</errorID>
      <errorWord>-</errorWord>
      <group>L1_Format</group>
      <groupName>格式问题</groupName>
      <ability>L2_HalfPunc</ability>
      <abilityName>全半角检查</abilityName>
      <candidateList>
        <item>－</item>
      </candidateList>
      <explain>文本全半角错误。</explain>
      <paraID>7EE044E1</paraID>
      <start>79</start>
      <end>80</end>
      <status>unmodified</status>
      <modifiedWord/>
      <trackRevisions>false</trackRevisions>
    </reviewItem>
    <reviewItem>
      <errorID>ffbdd994-e27b-43f0-b03f-577bd2952bd1</errorID>
      <errorWord>-</errorWord>
      <group>L1_Format</group>
      <groupName>格式问题</groupName>
      <ability>L2_HalfPunc</ability>
      <abilityName>全半角检查</abilityName>
      <candidateList>
        <item>－</item>
      </candidateList>
      <explain>文本全半角错误。</explain>
      <paraID>6781CE78</paraID>
      <start>15</start>
      <end>16</end>
      <status>unmodified</status>
      <modifiedWord/>
      <trackRevisions>false</trackRevisions>
    </reviewItem>
    <reviewItem>
      <errorID>004195b2-2c23-428a-b8e7-355e7e8aa03e</errorID>
      <errorWord>-</errorWord>
      <group>L1_Format</group>
      <groupName>格式问题</groupName>
      <ability>L2_HalfPunc</ability>
      <abilityName>全半角检查</abilityName>
      <candidateList>
        <item>－</item>
      </candidateList>
      <explain>文本全半角错误。</explain>
      <paraID>6781CE78</paraID>
      <start>19</start>
      <end>20</end>
      <status>unmodified</status>
      <modifiedWord/>
      <trackRevisions>false</trackRevisions>
    </reviewItem>
    <reviewItem>
      <errorID>9c9e3ec8-3c0d-4973-8a3e-cf5f08939c16</errorID>
      <errorWord>期</errorWord>
      <group>L1_Word</group>
      <groupName>字词问题</groupName>
      <ability>L2_Typo</ability>
      <abilityName>字词错误</abilityName>
      <candidateList>
        <item>期间</item>
      </candidateList>
      <explain>〈名〉某个时期里面：农忙～｜春节～｜抗战～。</explain>
      <paraID>24A90F4E</paraID>
      <start>79</start>
      <end>80</end>
      <status>unmodified</status>
      <modifiedWord/>
      <trackRevisions>false</trackRevisions>
    </reviewItem>
    <reviewItem>
      <errorID>b3092ca3-f888-4bb0-b7fb-7d5182631ffc</errorID>
      <errorWord>中国人民共和国</errorWord>
      <group>L1_Political</group>
      <groupName>政治性问题</groupName>
      <ability>L2_Unpolitical</ability>
      <abilityName>政治敏感错误</abilityName>
      <candidateList>
        <item>中华人民共和国</item>
      </candidateList>
      <explain/>
      <paraID> ADEDD90</paraID>
      <start>11</start>
      <end>18</end>
      <status>modified</status>
      <modifiedWord>中华人民共和国</modifiedWord>
      <trackRevisions>false</trackRevisions>
    </reviewItem>
    <reviewItem>
      <errorID>5124de59-0ecd-4d93-9926-5da99f66d723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24279D38</paraID>
      <start>0</start>
      <end>2</end>
      <status>unmodified</status>
      <modifiedWord/>
      <trackRevisions>false</trackRevisions>
    </reviewItem>
    <reviewItem>
      <errorID>4812d5ed-7ae8-4671-98fa-022260818ae6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602B7A68</paraID>
      <start>0</start>
      <end>2</end>
      <status>unmodified</status>
      <modifiedWord/>
      <trackRevisions>false</trackRevisions>
    </reviewItem>
    <reviewItem>
      <errorID>5c2c32bb-2e52-429e-9695-3561ad7a2538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781B81CA</paraID>
      <start>0</start>
      <end>2</end>
      <status>unmodified</status>
      <modifiedWord/>
      <trackRevisions>false</trackRevisions>
    </reviewItem>
    <reviewItem>
      <errorID>2f16c5de-e7e4-42e8-8b76-560b0b4a62a5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23ECAE88</paraID>
      <start>0</start>
      <end>2</end>
      <status>unmodified</status>
      <modifiedWord/>
      <trackRevisions>false</trackRevisions>
    </reviewItem>
    <reviewItem>
      <errorID>b3ff5590-c8db-4453-a692-626d73116842</errorID>
      <errorWord>中国人民共和国</errorWord>
      <group>L1_Political</group>
      <groupName>政治性问题</groupName>
      <ability>L2_Unpolitical</ability>
      <abilityName>政治敏感错误</abilityName>
      <candidateList>
        <item>中华人民共和国</item>
      </candidateList>
      <explain/>
      <paraID>2D700EAF</paraID>
      <start>51</start>
      <end>58</end>
      <status>modified</status>
      <modifiedWord>中华人民共和国</modifiedWord>
      <trackRevisions>false</trackRevisions>
    </reviewItem>
    <reviewItem>
      <errorID>9281e9e3-e152-4b7f-871f-ce803d6a687a</errorID>
      <errorWord>污</errorWord>
      <group>L1_Word</group>
      <groupName>字词问题</groupName>
      <ability>L2_Typo</ability>
      <abilityName>字词错误</abilityName>
      <candidateList>
        <item>污染</item>
      </candidateList>
      <explain/>
      <paraID>4BFB7749</paraID>
      <start>3</start>
      <end>4</end>
      <status>unmodified</status>
      <modifiedWord/>
      <trackRevisions>false</trackRevisions>
    </reviewItem>
    <reviewItem>
      <errorID>3f399d3e-8243-498f-9692-388fbec1129c</errorID>
      <errorWord>(</errorWord>
      <group>L1_Format</group>
      <groupName>格式问题</groupName>
      <ability>L2_HalfPunc</ability>
      <abilityName>全半角检查</abilityName>
      <candidateList>
        <item>（</item>
      </candidateList>
      <explain>文本全半角错误。</explain>
      <paraID> F180342</paraID>
      <start>26</start>
      <end>27</end>
      <status>unmodified</status>
      <modifiedWord/>
      <trackRevisions>false</trackRevisions>
    </reviewItem>
    <reviewItem>
      <errorID>6caa80ae-eaf0-41bb-934b-352a2d87c5a2</errorID>
      <errorWord>)</errorWord>
      <group>L1_Format</group>
      <groupName>格式问题</groupName>
      <ability>L2_HalfPunc</ability>
      <abilityName>全半角检查</abilityName>
      <candidateList>
        <item>）</item>
      </candidateList>
      <explain>文本全半角错误。</explain>
      <paraID> F180342</paraID>
      <start>29</start>
      <end>30</end>
      <status>unmodified</status>
      <modifiedWord/>
      <trackRevisions>false</trackRevisions>
    </reviewItem>
    <reviewItem>
      <errorID>3f61d674-7052-4605-9843-8d2fa412ded7</errorID>
      <errorWord>(</errorWord>
      <group>L1_Format</group>
      <groupName>格式问题</groupName>
      <ability>L2_HalfPunc</ability>
      <abilityName>全半角检查</abilityName>
      <candidateList>
        <item>（</item>
      </candidateList>
      <explain>文本全半角错误。</explain>
      <paraID> F180342</paraID>
      <start>36</start>
      <end>37</end>
      <status>unmodified</status>
      <modifiedWord/>
      <trackRevisions>false</trackRevisions>
    </reviewItem>
    <reviewItem>
      <errorID>87e33670-12ef-4475-9fe5-8fc3b5f3fe54</errorID>
      <errorWord>)</errorWord>
      <group>L1_Format</group>
      <groupName>格式问题</groupName>
      <ability>L2_HalfPunc</ability>
      <abilityName>全半角检查</abilityName>
      <candidateList>
        <item>）</item>
      </candidateList>
      <explain>文本全半角错误。</explain>
      <paraID> F180342</paraID>
      <start>40</start>
      <end>41</end>
      <status>unmodified</status>
      <modifiedWord/>
      <trackRevisions>false</trackRevisions>
    </reviewItem>
    <reviewItem>
      <errorID>fb779b4e-42f4-44e5-8847-42b3f41604b9</errorID>
      <errorWord>(</errorWord>
      <group>L1_Format</group>
      <groupName>格式问题</groupName>
      <ability>L2_HalfPunc</ability>
      <abilityName>全半角检查</abilityName>
      <candidateList>
        <item>（</item>
      </candidateList>
      <explain>文本全半角错误。</explain>
      <paraID> F180342</paraID>
      <start>84</start>
      <end>85</end>
      <status>unmodified</status>
      <modifiedWord/>
      <trackRevisions>false</trackRevisions>
    </reviewItem>
    <reviewItem>
      <errorID>95de1e36-4a5c-473e-9462-ee7666d62c15</errorID>
      <errorWord>)</errorWord>
      <group>L1_Format</group>
      <groupName>格式问题</groupName>
      <ability>L2_HalfPunc</ability>
      <abilityName>全半角检查</abilityName>
      <candidateList>
        <item>）</item>
      </candidateList>
      <explain>文本全半角错误。</explain>
      <paraID> F180342</paraID>
      <start>87</start>
      <end>88</end>
      <status>unmodified</status>
      <modifiedWord/>
      <trackRevisions>false</trackRevisions>
    </reviewItem>
    <reviewItem>
      <errorID>da0b5d1b-97ce-491c-a92f-4c5ef02c1fcb</errorID>
      <errorWord>(</errorWord>
      <group>L1_Format</group>
      <groupName>格式问题</groupName>
      <ability>L2_HalfPunc</ability>
      <abilityName>全半角检查</abilityName>
      <candidateList>
        <item>（</item>
      </candidateList>
      <explain>文本全半角错误。</explain>
      <paraID> F180342</paraID>
      <start>90</start>
      <end>91</end>
      <status>unmodified</status>
      <modifiedWord/>
      <trackRevisions>false</trackRevisions>
    </reviewItem>
    <reviewItem>
      <errorID>1dea078f-4aeb-4906-bb38-46042e8b15d9</errorID>
      <errorWord>)</errorWord>
      <group>L1_Format</group>
      <groupName>格式问题</groupName>
      <ability>L2_HalfPunc</ability>
      <abilityName>全半角检查</abilityName>
      <candidateList>
        <item>）</item>
      </candidateList>
      <explain>文本全半角错误。</explain>
      <paraID> F180342</paraID>
      <start>93</start>
      <end>94</end>
      <status>unmodified</status>
      <modifiedWord/>
      <trackRevisions>false</trackRevisions>
    </reviewItem>
    <reviewItem>
      <errorID>8ff3faff-e2a5-4ede-8dd9-0391fa9ccaec</errorID>
      <errorWord>(</errorWord>
      <group>L1_Format</group>
      <groupName>格式问题</groupName>
      <ability>L2_HalfPunc</ability>
      <abilityName>全半角检查</abilityName>
      <candidateList>
        <item>（</item>
      </candidateList>
      <explain>文本全半角错误。</explain>
      <paraID> F180342</paraID>
      <start>96</start>
      <end>97</end>
      <status>unmodified</status>
      <modifiedWord/>
      <trackRevisions>false</trackRevisions>
    </reviewItem>
    <reviewItem>
      <errorID>5cf05f98-23ce-4aec-bcfd-ae1d9014f487</errorID>
      <errorWord>)</errorWord>
      <group>L1_Format</group>
      <groupName>格式问题</groupName>
      <ability>L2_HalfPunc</ability>
      <abilityName>全半角检查</abilityName>
      <candidateList>
        <item>）</item>
      </candidateList>
      <explain>文本全半角错误。</explain>
      <paraID> F180342</paraID>
      <start>99</start>
      <end>100</end>
      <status>unmodified</status>
      <modifiedWord/>
      <trackRevisions>false</trackRevisions>
    </reviewItem>
    <reviewItem>
      <errorID>9c54eb10-09c3-4b3f-807e-e2306046c546</errorID>
      <errorWord>(</errorWord>
      <group>L1_Format</group>
      <groupName>格式问题</groupName>
      <ability>L2_HalfPunc</ability>
      <abilityName>全半角检查</abilityName>
      <candidateList>
        <item>（</item>
      </candidateList>
      <explain>文本全半角错误。</explain>
      <paraID> F180342</paraID>
      <start>102</start>
      <end>103</end>
      <status>unmodified</status>
      <modifiedWord/>
      <trackRevisions>false</trackRevisions>
    </reviewItem>
    <reviewItem>
      <errorID>dd01447a-5ffa-4d41-babd-e1d09a38938b</errorID>
      <errorWord>)</errorWord>
      <group>L1_Format</group>
      <groupName>格式问题</groupName>
      <ability>L2_HalfPunc</ability>
      <abilityName>全半角检查</abilityName>
      <candidateList>
        <item>）</item>
      </candidateList>
      <explain>文本全半角错误。</explain>
      <paraID> F180342</paraID>
      <start>105</start>
      <end>106</end>
      <status>unmodified</status>
      <modifiedWord/>
      <trackRevisions>false</trackRevisions>
    </reviewItem>
    <reviewItem>
      <errorID>41d75125-58cf-461f-b3d8-8790d0f15f6d</errorID>
      <errorWord>(</errorWord>
      <group>L1_Format</group>
      <groupName>格式问题</groupName>
      <ability>L2_HalfPunc</ability>
      <abilityName>全半角检查</abilityName>
      <candidateList>
        <item>（</item>
      </candidateList>
      <explain>文本全半角错误。</explain>
      <paraID> F180342</paraID>
      <start>109</start>
      <end>110</end>
      <status>unmodified</status>
      <modifiedWord/>
      <trackRevisions>false</trackRevisions>
    </reviewItem>
    <reviewItem>
      <errorID>4f892028-3864-4c35-92d6-e151cb9f65bd</errorID>
      <errorWord>)</errorWord>
      <group>L1_Format</group>
      <groupName>格式问题</groupName>
      <ability>L2_HalfPunc</ability>
      <abilityName>全半角检查</abilityName>
      <candidateList>
        <item>）</item>
      </candidateList>
      <explain>文本全半角错误。</explain>
      <paraID> F180342</paraID>
      <start>112</start>
      <end>113</end>
      <status>unmodified</status>
      <modifiedWord/>
      <trackRevisions>false</trackRevisions>
    </reviewItem>
    <reviewItem>
      <errorID>ef9e5da6-234d-4b4c-8b9a-513aba6d64ba</errorID>
      <errorWord>(</errorWord>
      <group>L1_Format</group>
      <groupName>格式问题</groupName>
      <ability>L2_HalfPunc</ability>
      <abilityName>全半角检查</abilityName>
      <candidateList>
        <item>（</item>
      </candidateList>
      <explain>文本全半角错误。</explain>
      <paraID> F180342</paraID>
      <start>115</start>
      <end>116</end>
      <status>unmodified</status>
      <modifiedWord/>
      <trackRevisions>false</trackRevisions>
    </reviewItem>
    <reviewItem>
      <errorID>65fe7800-c171-4e1d-ae92-96c0ad3d0eb0</errorID>
      <errorWord>)</errorWord>
      <group>L1_Format</group>
      <groupName>格式问题</groupName>
      <ability>L2_HalfPunc</ability>
      <abilityName>全半角检查</abilityName>
      <candidateList>
        <item>）</item>
      </candidateList>
      <explain>文本全半角错误。</explain>
      <paraID> F180342</paraID>
      <start>118</start>
      <end>119</end>
      <status>unmodified</status>
      <modifiedWord/>
      <trackRevisions>false</trackRevisions>
    </reviewItem>
    <reviewItem>
      <errorID>a44a88b3-05fb-4376-8bc3-507f65b4679b</errorID>
      <errorWord>(</errorWord>
      <group>L1_Format</group>
      <groupName>格式问题</groupName>
      <ability>L2_HalfPunc</ability>
      <abilityName>全半角检查</abilityName>
      <candidateList>
        <item>（</item>
      </candidateList>
      <explain>文本全半角错误。</explain>
      <paraID> F180342</paraID>
      <start>121</start>
      <end>122</end>
      <status>unmodified</status>
      <modifiedWord/>
      <trackRevisions>false</trackRevisions>
    </reviewItem>
    <reviewItem>
      <errorID>676714c9-9f77-4729-85d0-0fc256c8d8eb</errorID>
      <errorWord>)</errorWord>
      <group>L1_Format</group>
      <groupName>格式问题</groupName>
      <ability>L2_HalfPunc</ability>
      <abilityName>全半角检查</abilityName>
      <candidateList>
        <item>）</item>
      </candidateList>
      <explain>文本全半角错误。</explain>
      <paraID> F180342</paraID>
      <start>124</start>
      <end>125</end>
      <status>unmodified</status>
      <modifiedWord/>
      <trackRevisions>false</trackRevisions>
    </reviewItem>
    <reviewItem>
      <errorID>1e4c981b-5820-4ed1-9d62-d1b893388aed</errorID>
      <errorWord>中国人民共和国</errorWord>
      <group>L1_Political</group>
      <groupName>政治性问题</groupName>
      <ability>L2_Unpolitical</ability>
      <abilityName>政治敏感错误</abilityName>
      <candidateList>
        <item>中华人民共和国</item>
      </candidateList>
      <explain/>
      <paraID>627F6D4B</paraID>
      <start>12</start>
      <end>19</end>
      <status>modified</status>
      <modifiedWord>中华人民共和国</modifiedWord>
      <trackRevisions>false</trackRevisions>
    </reviewItem>
    <reviewItem>
      <errorID>5e2e28ce-9951-477b-8933-23d97c90e55e</errorID>
      <errorWord>海洋环境保护法</errorWord>
      <group>L1_Knowledge</group>
      <groupName>知识性问题</groupName>
      <ability>L2_Knowledge</ability>
      <abilityName>其他知识</abilityName>
      <candidateList>
        <item>中华人民共和国海洋环境保护法</item>
      </candidateList>
      <explain>当前法律法规名称使用简称，请注意是否应当使用全称。</explain>
      <paraID> 87F53A0</paraID>
      <start>12</start>
      <end>26</end>
      <status>modified</status>
      <modifiedWord>中华人民共和国海洋环境保护法</modifiedWord>
      <trackRevisions>false</trackRevisions>
    </reviewItem>
    <reviewItem>
      <errorID>41bcf552-e0c6-4eb4-860d-32c919dfb205</errorID>
      <errorWord>&lt;</errorWord>
      <group>L1_Format</group>
      <groupName>格式问题</groupName>
      <ability>L2_HalfPunc</ability>
      <abilityName>全半角检查</abilityName>
      <candidateList>
        <item>〈</item>
      </candidateList>
      <explain>文本全半角错误。</explain>
      <paraID>1700434A</paraID>
      <start>10</start>
      <end>11</end>
      <status>unmodified</status>
      <modifiedWord/>
      <trackRevisions>false</trackRevisions>
    </reviewItem>
    <reviewItem>
      <errorID>f21a061f-8d5b-4f35-820c-c72195e0ed55</errorID>
      <errorWord>&gt;</errorWord>
      <group>L1_Format</group>
      <groupName>格式问题</groupName>
      <ability>L2_HalfPunc</ability>
      <abilityName>全半角检查</abilityName>
      <candidateList>
        <item>〉</item>
      </candidateList>
      <explain>文本全半角错误。</explain>
      <paraID>1700434A</paraID>
      <start>25</start>
      <end>26</end>
      <status>unmodified</status>
      <modifiedWord/>
      <trackRevisions>false</trackRevisions>
    </reviewItem>
    <reviewItem>
      <errorID>0d1df205-fb9d-44db-88a0-07325943fa11</errorID>
      <errorWord>&lt;</errorWord>
      <group>L1_Format</group>
      <groupName>格式问题</groupName>
      <ability>L2_HalfPunc</ability>
      <abilityName>全半角检查</abilityName>
      <candidateList>
        <item>〈</item>
      </candidateList>
      <explain>文本全半角错误。</explain>
      <paraID>1700434A</paraID>
      <start>52</start>
      <end>53</end>
      <status>unmodified</status>
      <modifiedWord/>
      <trackRevisions>false</trackRevisions>
    </reviewItem>
    <reviewItem>
      <errorID>50f375a8-05e8-4212-8036-3e8b73d30481</errorID>
      <errorWord>&gt;</errorWord>
      <group>L1_Format</group>
      <groupName>格式问题</groupName>
      <ability>L2_HalfPunc</ability>
      <abilityName>全半角检查</abilityName>
      <candidateList>
        <item>〉</item>
      </candidateList>
      <explain>文本全半角错误。</explain>
      <paraID>1700434A</paraID>
      <start>69</start>
      <end>70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4c9743-acc3-45d8-a782-035eef023b6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117</Pages>
  <Words>21433</Words>
  <Characters>23148</Characters>
  <Lines>332</Lines>
  <Paragraphs>93</Paragraphs>
  <TotalTime>5</TotalTime>
  <ScaleCrop>false</ScaleCrop>
  <LinksUpToDate>false</LinksUpToDate>
  <CharactersWithSpaces>23269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2024-08-01T14:31:00Z</dcterms:created>
  <dc:creator>lhj</dc:creator>
  <cp:lastModifiedBy>岁月如歌</cp:lastModifiedBy>
  <cp:lastPrinted>2026-01-07T01:13:00Z</cp:lastPrinted>
  <dcterms:modified xsi:type="dcterms:W3CDTF">2026-03-19T06:25:23Z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413AEA27991E4E4EB1D5E0E8DB7E73F6_13</vt:lpwstr>
  </property>
  <property fmtid="{D5CDD505-2E9C-101B-9397-08002B2CF9AE}" pid="4" name="KSOTemplateDocerSaveRecord">
    <vt:lpwstr>eyJoZGlkIjoiNWYwYjdkYjZlZGM2NWFlNjkyM2U1MWM0ZTNmZWEwZTIiLCJ1c2VySWQiOiIxMDM3NjMxMjY0In0=</vt:lpwstr>
  </property>
</Properties>
</file>